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Essential Utilities,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14a-6(b)</w:t>
      </w:r>
    </w:p>
    <w:p>
      <w:pPr>
        <w:jc w:val="right"/>
        <w:spacing w:after="0" w:line="235" w:lineRule="auto"/>
        <w:rPr>
          <w:sz w:val="20"/>
          <w:szCs w:val="20"/>
          <w:color w:val="auto"/>
        </w:rPr>
      </w:pPr>
      <w:r>
        <w:rPr>
          <w:rFonts w:ascii="Arial" w:cs="Arial" w:eastAsia="Arial" w:hAnsi="Arial"/>
          <w:sz w:val="18"/>
          <w:szCs w:val="18"/>
          <w:color w:val="auto"/>
        </w:rPr>
        <w:t>under the Securities Exchange Act of 1934</w:t>
      </w:r>
    </w:p>
    <w:p>
      <w:pPr>
        <w:jc w:val="right"/>
        <w:spacing w:after="0" w:line="235" w:lineRule="auto"/>
        <w:rPr>
          <w:sz w:val="20"/>
          <w:szCs w:val="20"/>
          <w:color w:val="auto"/>
        </w:rPr>
      </w:pPr>
      <w:r>
        <w:rPr>
          <w:rFonts w:ascii="Arial" w:cs="Arial" w:eastAsia="Arial" w:hAnsi="Arial"/>
          <w:sz w:val="18"/>
          <w:szCs w:val="18"/>
          <w:color w:val="auto"/>
        </w:rPr>
        <w:t>Subject Company: Essential Utilities, Inc.</w:t>
      </w:r>
    </w:p>
    <w:p>
      <w:pPr>
        <w:jc w:val="right"/>
        <w:spacing w:after="0" w:line="235" w:lineRule="auto"/>
        <w:rPr>
          <w:sz w:val="20"/>
          <w:szCs w:val="20"/>
          <w:color w:val="auto"/>
        </w:rPr>
      </w:pPr>
      <w:r>
        <w:rPr>
          <w:rFonts w:ascii="Arial" w:cs="Arial" w:eastAsia="Arial" w:hAnsi="Arial"/>
          <w:sz w:val="18"/>
          <w:szCs w:val="18"/>
          <w:color w:val="auto"/>
        </w:rPr>
        <w:t>Commission File No.: 001-06659</w:t>
      </w:r>
    </w:p>
    <w:p>
      <w:pPr>
        <w:jc w:val="right"/>
        <w:spacing w:after="0"/>
        <w:rPr>
          <w:sz w:val="20"/>
          <w:szCs w:val="20"/>
          <w:color w:val="auto"/>
        </w:rPr>
      </w:pPr>
      <w:r>
        <w:rPr>
          <w:rFonts w:ascii="Arial" w:cs="Arial" w:eastAsia="Arial" w:hAnsi="Arial"/>
          <w:sz w:val="18"/>
          <w:szCs w:val="18"/>
          <w:color w:val="auto"/>
        </w:rPr>
        <w:t>Date: June 23, 2026</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TO: All Essential Employees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FROM: Chris Franklin</w:t>
      </w:r>
    </w:p>
    <w:p>
      <w:pPr>
        <w:spacing w:after="0"/>
        <w:rPr>
          <w:sz w:val="20"/>
          <w:szCs w:val="20"/>
          <w:color w:val="auto"/>
        </w:rPr>
      </w:pPr>
      <w:r>
        <w:rPr>
          <w:rFonts w:ascii="Arial" w:cs="Arial" w:eastAsia="Arial" w:hAnsi="Arial"/>
          <w:sz w:val="18"/>
          <w:szCs w:val="18"/>
          <w:color w:val="auto"/>
        </w:rPr>
        <w:t>SUBJECT: Integration Planning Update – VA Regulatory Approval</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Colleagues,</w:t>
      </w:r>
    </w:p>
    <w:p>
      <w:pPr>
        <w:spacing w:after="0" w:line="198" w:lineRule="exact"/>
        <w:rPr>
          <w:sz w:val="24"/>
          <w:szCs w:val="24"/>
          <w:color w:val="auto"/>
        </w:rPr>
      </w:pPr>
    </w:p>
    <w:p>
      <w:pPr>
        <w:jc w:val="both"/>
        <w:ind w:right="240"/>
        <w:spacing w:after="0" w:line="253" w:lineRule="auto"/>
        <w:rPr>
          <w:sz w:val="20"/>
          <w:szCs w:val="20"/>
          <w:color w:val="auto"/>
        </w:rPr>
      </w:pPr>
      <w:r>
        <w:rPr>
          <w:rFonts w:ascii="Arial" w:cs="Arial" w:eastAsia="Arial" w:hAnsi="Arial"/>
          <w:sz w:val="18"/>
          <w:szCs w:val="18"/>
          <w:color w:val="auto"/>
        </w:rPr>
        <w:t>I’m pleased to share that yesterday the Virginia State Corporation Commission approved our proposed merger with American Water. This marks the third favorable regulatory action toward completing the combination of the two companies and first regulatory approval in a state where both companies have regulated water and wastewater operations.</w:t>
      </w:r>
    </w:p>
    <w:p>
      <w:pPr>
        <w:spacing w:after="0" w:line="155" w:lineRule="exact"/>
        <w:rPr>
          <w:sz w:val="24"/>
          <w:szCs w:val="24"/>
          <w:color w:val="auto"/>
        </w:rPr>
      </w:pPr>
    </w:p>
    <w:p>
      <w:pPr>
        <w:ind w:right="120"/>
        <w:spacing w:after="0" w:line="253" w:lineRule="auto"/>
        <w:rPr>
          <w:sz w:val="20"/>
          <w:szCs w:val="20"/>
          <w:color w:val="auto"/>
        </w:rPr>
      </w:pPr>
      <w:r>
        <w:rPr>
          <w:rFonts w:ascii="Arial" w:cs="Arial" w:eastAsia="Arial" w:hAnsi="Arial"/>
          <w:sz w:val="18"/>
          <w:szCs w:val="18"/>
          <w:color w:val="auto"/>
        </w:rPr>
        <w:t>We received approval of the merger from the Kentucky Public Service Commission on April 21, 2026, and from the Public Utilities Commission of Ohio on May 13, 2026. Earlier in the year, shareholders of both Essential and American Water overwhelmingly approved the transaction–related proposals.</w:t>
      </w:r>
    </w:p>
    <w:p>
      <w:pPr>
        <w:spacing w:after="0" w:line="155" w:lineRule="exact"/>
        <w:rPr>
          <w:sz w:val="24"/>
          <w:szCs w:val="24"/>
          <w:color w:val="auto"/>
        </w:rPr>
      </w:pPr>
    </w:p>
    <w:p>
      <w:pPr>
        <w:ind w:right="220"/>
        <w:spacing w:after="0" w:line="271" w:lineRule="auto"/>
        <w:rPr>
          <w:sz w:val="20"/>
          <w:szCs w:val="20"/>
          <w:color w:val="auto"/>
        </w:rPr>
      </w:pPr>
      <w:r>
        <w:rPr>
          <w:rFonts w:ascii="Arial" w:cs="Arial" w:eastAsia="Arial" w:hAnsi="Arial"/>
          <w:sz w:val="18"/>
          <w:szCs w:val="18"/>
          <w:color w:val="auto"/>
        </w:rPr>
        <w:t>With three state regulatory approvals received, we are still working to obtain approvals from applicable public utility commissions, including Pennsylvania, North Carolina, Texas, New Jersey, and Illinois.</w:t>
      </w:r>
    </w:p>
    <w:p>
      <w:pPr>
        <w:spacing w:after="0" w:line="181" w:lineRule="exact"/>
        <w:rPr>
          <w:sz w:val="24"/>
          <w:szCs w:val="24"/>
          <w:color w:val="auto"/>
        </w:rPr>
      </w:pPr>
    </w:p>
    <w:p>
      <w:pPr>
        <w:ind w:right="600"/>
        <w:spacing w:after="0" w:line="271" w:lineRule="auto"/>
        <w:rPr>
          <w:sz w:val="20"/>
          <w:szCs w:val="20"/>
          <w:color w:val="auto"/>
        </w:rPr>
      </w:pPr>
      <w:r>
        <w:rPr>
          <w:rFonts w:ascii="Arial" w:cs="Arial" w:eastAsia="Arial" w:hAnsi="Arial"/>
          <w:sz w:val="18"/>
          <w:szCs w:val="18"/>
          <w:color w:val="auto"/>
        </w:rPr>
        <w:t>In addition to our regulatory integration planning work, we’re also continuing to examine the insights from our OHI survey as we define the aspirations and priorities for the future culture of the combined organization.</w:t>
      </w:r>
    </w:p>
    <w:p>
      <w:pPr>
        <w:spacing w:after="0" w:line="140" w:lineRule="exact"/>
        <w:rPr>
          <w:sz w:val="24"/>
          <w:szCs w:val="24"/>
          <w:color w:val="auto"/>
        </w:rPr>
      </w:pPr>
    </w:p>
    <w:p>
      <w:pPr>
        <w:jc w:val="both"/>
        <w:ind w:right="200"/>
        <w:spacing w:after="0" w:line="253" w:lineRule="auto"/>
        <w:rPr>
          <w:sz w:val="20"/>
          <w:szCs w:val="20"/>
          <w:color w:val="auto"/>
        </w:rPr>
      </w:pPr>
      <w:r>
        <w:rPr>
          <w:rFonts w:ascii="Arial" w:cs="Arial" w:eastAsia="Arial" w:hAnsi="Arial"/>
          <w:sz w:val="18"/>
          <w:szCs w:val="18"/>
          <w:color w:val="auto"/>
        </w:rPr>
        <w:t>The integration planning team is also actively working on determining the next level of positions for the combined company. You may recall that we announced the first two levels in early June and expect to announce the next level (which is expected to include over 100 Essential roles) by August. As information becomes available, we’ll communicate it to you.</w:t>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color w:val="auto"/>
        </w:rPr>
        <w:t>Thank you for your continued engagement and focus as our merger and integration planning efforts continue.</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Best,</w:t>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Chris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included in this communication are forward-looking statements within the meaning of Section 27A of the Securities Act of 1933, as amended, Section 21E of the Securities Exchange Act of 1934, as amended,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 -looking statements may relate to, among other things: statements about the benefits of the proposed merger, including future financial and operating results; the parties’ respective plans, objectives, expectations and intentions; the expected timing and likelihood of completion of the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w:t>
      </w:r>
    </w:p>
    <w:p>
      <w:pPr>
        <w:spacing w:after="0" w:line="18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These forward-looking statements are predictions based on currently available information, the parties’ current respective expectations and assumptions regarding future events that American Water Works Company, Inc. (“American Water”) and Essential Utilities, Inc.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definitive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 of each party to manage its respective existing operations and financing arrangements on 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line="238" w:lineRule="auto"/>
        <w:rPr>
          <w:sz w:val="20"/>
          <w:szCs w:val="20"/>
          <w:color w:val="auto"/>
        </w:rPr>
      </w:pPr>
      <w:r>
        <w:rPr>
          <w:rFonts w:ascii="Arial" w:cs="Arial" w:eastAsia="Arial" w:hAnsi="Arial"/>
          <w:sz w:val="18"/>
          <w:szCs w:val="18"/>
          <w:color w:val="auto"/>
        </w:rPr>
        <w:t>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Merger</w:t>
      </w:r>
    </w:p>
    <w:p>
      <w:pPr>
        <w:spacing w:after="0" w:line="1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5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2026-06-23T15:45:17Z</dcterms:created>
  <dcterms:modified xsi:type="dcterms:W3CDTF">2026-06-23T15:45:17Z</dcterms:modified>
</cp:coreProperties>
</file>