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2"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700" w:right="1980" w:hanging="3684"/>
        <w:spacing w:after="0" w:line="234" w:lineRule="auto"/>
        <w:rPr>
          <w:sz w:val="20"/>
          <w:szCs w:val="20"/>
          <w:color w:val="auto"/>
        </w:rPr>
      </w:pPr>
      <w:r>
        <w:rPr>
          <w:rFonts w:ascii="Times New Roman" w:cs="Times New Roman" w:eastAsia="Times New Roman" w:hAnsi="Times New Roman"/>
          <w:sz w:val="19"/>
          <w:szCs w:val="19"/>
          <w:b w:val="1"/>
          <w:bCs w:val="1"/>
          <w:color w:val="auto"/>
        </w:rPr>
        <w:t xml:space="preserve">S </w:t>
      </w:r>
      <w:r>
        <w:rPr>
          <w:rFonts w:ascii="Times New Roman" w:cs="Times New Roman" w:eastAsia="Times New Roman" w:hAnsi="Times New Roman"/>
          <w:sz w:val="19"/>
          <w:szCs w:val="19"/>
          <w:color w:val="auto"/>
        </w:rPr>
        <w:t>QUARTERLY REPORT PURSUANT TO SECTION 13 or 15 (d) OF THE SECURITIES EXCHANGE ACT OF 1934.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quarterly period ended September 30, 2022</w:t>
      </w:r>
    </w:p>
    <w:p>
      <w:pPr>
        <w:spacing w:after="0" w:line="67" w:lineRule="exact"/>
        <w:rPr>
          <w:sz w:val="24"/>
          <w:szCs w:val="24"/>
          <w:color w:val="auto"/>
        </w:rPr>
      </w:pPr>
    </w:p>
    <w:p>
      <w:pPr>
        <w:ind w:left="2960" w:right="1920" w:hanging="2952"/>
        <w:spacing w:after="0" w:line="265" w:lineRule="auto"/>
        <w:tabs>
          <w:tab w:leader="none" w:pos="144"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4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480" w:type="dxa"/>
            <w:vAlign w:val="bottom"/>
            <w:gridSpan w:val="4"/>
          </w:tcPr>
          <w:p>
            <w:pPr>
              <w:jc w:val="center"/>
              <w:ind w:right="1440"/>
              <w:spacing w:after="0" w:line="183" w:lineRule="exact"/>
              <w:rPr>
                <w:sz w:val="20"/>
                <w:szCs w:val="20"/>
                <w:color w:val="auto"/>
              </w:rPr>
            </w:pPr>
            <w:r>
              <w:rPr>
                <w:rFonts w:ascii="Times New Roman" w:cs="Times New Roman" w:eastAsia="Times New Roman" w:hAnsi="Times New Roman"/>
                <w:sz w:val="19"/>
                <w:szCs w:val="19"/>
                <w:color w:val="auto"/>
                <w:w w:val="99"/>
              </w:rPr>
              <w:t>(State or other jurisdiction of</w:t>
            </w:r>
          </w:p>
        </w:tc>
        <w:tc>
          <w:tcPr>
            <w:tcW w:w="2860" w:type="dxa"/>
            <w:vAlign w:val="bottom"/>
            <w:gridSpan w:val="5"/>
          </w:tcPr>
          <w:p>
            <w:pPr>
              <w:jc w:val="center"/>
              <w:ind w:left="1346"/>
              <w:spacing w:after="0" w:line="183"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480" w:type="dxa"/>
            <w:vAlign w:val="bottom"/>
            <w:gridSpan w:val="4"/>
          </w:tcPr>
          <w:p>
            <w:pPr>
              <w:jc w:val="center"/>
              <w:ind w:right="1440"/>
              <w:spacing w:after="0"/>
              <w:rPr>
                <w:sz w:val="20"/>
                <w:szCs w:val="20"/>
                <w:color w:val="auto"/>
              </w:rPr>
            </w:pPr>
            <w:r>
              <w:rPr>
                <w:rFonts w:ascii="Times New Roman" w:cs="Times New Roman" w:eastAsia="Times New Roman" w:hAnsi="Times New Roman"/>
                <w:sz w:val="19"/>
                <w:szCs w:val="19"/>
                <w:color w:val="auto"/>
                <w:w w:val="99"/>
              </w:rPr>
              <w:t>incorporation or organization)</w:t>
            </w:r>
          </w:p>
        </w:tc>
        <w:tc>
          <w:tcPr>
            <w:tcW w:w="2860" w:type="dxa"/>
            <w:vAlign w:val="bottom"/>
            <w:gridSpan w:val="5"/>
          </w:tcPr>
          <w:p>
            <w:pPr>
              <w:jc w:val="center"/>
              <w:ind w:left="1346"/>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363"/>
        </w:trPr>
        <w:tc>
          <w:tcPr>
            <w:tcW w:w="548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8"/>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spacing w:after="0" w:line="226"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38"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7"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63"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w:t>
      </w:r>
    </w:p>
    <w:p>
      <w:pPr>
        <w:spacing w:after="0" w:line="176" w:lineRule="exact"/>
        <w:rPr>
          <w:sz w:val="24"/>
          <w:szCs w:val="24"/>
          <w:color w:val="auto"/>
        </w:rPr>
      </w:pPr>
    </w:p>
    <w:p>
      <w:pPr>
        <w:jc w:val="both"/>
        <w:ind w:right="20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Times New Roman" w:cs="Times New Roman" w:eastAsia="Times New Roman" w:hAnsi="Times New Roman"/>
          <w:sz w:val="19"/>
          <w:szCs w:val="19"/>
          <w:b w:val="1"/>
          <w:bCs w:val="1"/>
          <w:color w:val="auto"/>
        </w:rPr>
        <w:t>S</w:t>
      </w:r>
    </w:p>
    <w:p>
      <w:pPr>
        <w:spacing w:after="0" w:line="231"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Times New Roman" w:cs="Times New Roman" w:eastAsia="Times New Roman" w:hAnsi="Times New Roman"/>
          <w:sz w:val="19"/>
          <w:szCs w:val="19"/>
          <w:b w:val="1"/>
          <w:bCs w:val="1"/>
          <w:color w:val="auto"/>
        </w:rPr>
        <w:t>£</w:t>
      </w: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Times New Roman" w:cs="Times New Roman" w:eastAsia="Times New Roman" w:hAnsi="Times New Roman"/>
          <w:sz w:val="19"/>
          <w:szCs w:val="19"/>
          <w:b w:val="1"/>
          <w:bCs w:val="1"/>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Times New Roman" w:cs="Times New Roman" w:eastAsia="Times New Roman" w:hAnsi="Times New Roman"/>
          <w:sz w:val="18"/>
          <w:szCs w:val="18"/>
          <w:b w:val="1"/>
          <w:bCs w:val="1"/>
          <w:color w:val="auto"/>
        </w:rPr>
        <w:t>£</w:t>
      </w:r>
    </w:p>
    <w:p>
      <w:pPr>
        <w:spacing w:after="0" w:line="380"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9"/>
          <w:szCs w:val="19"/>
          <w:b w:val="1"/>
          <w:bCs w:val="1"/>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No </w:t>
      </w:r>
      <w:r>
        <w:rPr>
          <w:rFonts w:ascii="Times New Roman" w:cs="Times New Roman" w:eastAsia="Times New Roman" w:hAnsi="Times New Roman"/>
          <w:sz w:val="19"/>
          <w:szCs w:val="19"/>
          <w:b w:val="1"/>
          <w:bCs w:val="1"/>
          <w:color w:val="auto"/>
        </w:rPr>
        <w:t>S</w:t>
      </w: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9"/>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38"/>
        </w:trPr>
        <w:tc>
          <w:tcPr>
            <w:tcW w:w="3380" w:type="dxa"/>
            <w:vAlign w:val="bottom"/>
            <w:tcBorders>
              <w:top w:val="single" w:sz="8" w:color="auto"/>
            </w:tcBorders>
          </w:tcPr>
          <w:p>
            <w:pPr>
              <w:jc w:val="center"/>
              <w:ind w:left="706"/>
              <w:spacing w:after="0"/>
              <w:rPr>
                <w:sz w:val="20"/>
                <w:szCs w:val="20"/>
                <w:color w:val="auto"/>
              </w:rPr>
            </w:pPr>
            <w:r>
              <w:rPr>
                <w:rFonts w:ascii="Times New Roman" w:cs="Times New Roman" w:eastAsia="Times New Roman" w:hAnsi="Times New Roman"/>
                <w:sz w:val="19"/>
                <w:szCs w:val="19"/>
                <w:color w:val="auto"/>
                <w:w w:val="99"/>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October 21, 2022</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262,290,857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0563C1"/>
        </w:rPr>
        <w:t>Table of Contents</w:t>
      </w:r>
    </w:p>
    <w:tbl>
      <w:tblPr>
        <w:tblLayout w:type="fixed"/>
        <w:tblInd w:w="0" w:type="dxa"/>
        <w:tblCellMar>
          <w:top w:w="0" w:type="dxa"/>
          <w:left w:w="0" w:type="dxa"/>
          <w:bottom w:w="0" w:type="dxa"/>
          <w:right w:w="0" w:type="dxa"/>
        </w:tblCellMar>
      </w:tblPr>
      <w:tr>
        <w:trPr>
          <w:trHeight w:val="302"/>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gridSpan w:val="20"/>
          </w:tcPr>
          <w:p>
            <w:pPr>
              <w:jc w:val="center"/>
              <w:ind w:right="1180"/>
              <w:spacing w:after="0"/>
              <w:rPr>
                <w:sz w:val="20"/>
                <w:szCs w:val="20"/>
                <w:color w:val="auto"/>
              </w:rPr>
            </w:pPr>
            <w:r>
              <w:rPr>
                <w:rFonts w:ascii="Times New Roman" w:cs="Times New Roman" w:eastAsia="Times New Roman" w:hAnsi="Times New Roman"/>
                <w:sz w:val="22"/>
                <w:szCs w:val="22"/>
                <w:color w:val="auto"/>
                <w:w w:val="98"/>
              </w:rPr>
              <w:t>ESSENTIAL UTILITIES, INC. AND SUBSIDIARIES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16"/>
          </w:tcPr>
          <w:p>
            <w:pPr>
              <w:jc w:val="center"/>
              <w:ind w:right="282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gridSpan w:val="3"/>
          </w:tcPr>
          <w:p>
            <w:pPr>
              <w:ind w:left="1260"/>
              <w:spacing w:after="0"/>
              <w:rPr>
                <w:sz w:val="20"/>
                <w:szCs w:val="20"/>
                <w:color w:val="auto"/>
              </w:rPr>
            </w:pPr>
            <w:r>
              <w:rPr>
                <w:rFonts w:ascii="Times New Roman" w:cs="Times New Roman" w:eastAsia="Times New Roman" w:hAnsi="Times New Roman"/>
                <w:sz w:val="22"/>
                <w:szCs w:val="22"/>
                <w:color w:val="auto"/>
                <w:w w:val="98"/>
              </w:rPr>
              <w:t>Page</w:t>
            </w: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20" w:type="dxa"/>
            <w:vAlign w:val="bottom"/>
            <w:gridSpan w:val="18"/>
            <w:shd w:val="clear" w:color="auto" w:fill="CCEEFF"/>
          </w:tcPr>
          <w:p>
            <w:pPr>
              <w:jc w:val="center"/>
              <w:ind w:right="2640"/>
              <w:spacing w:after="0" w:line="203" w:lineRule="exact"/>
              <w:rPr>
                <w:sz w:val="20"/>
                <w:szCs w:val="20"/>
                <w:color w:val="auto"/>
              </w:rPr>
            </w:pPr>
            <w:r>
              <w:rPr>
                <w:rFonts w:ascii="Times New Roman" w:cs="Times New Roman" w:eastAsia="Times New Roman" w:hAnsi="Times New Roman"/>
                <w:sz w:val="22"/>
                <w:szCs w:val="22"/>
                <w:color w:val="0563C1"/>
                <w:w w:val="98"/>
              </w:rPr>
              <w:t>Part I – Financial Information</w:t>
            </w:r>
          </w:p>
        </w:tc>
        <w:tc>
          <w:tcPr>
            <w:tcW w:w="1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890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Financial Statements:</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90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Balance Sheets (unaudited) – September 30, 2022 and December 31, 2021</w:t>
            </w:r>
          </w:p>
        </w:tc>
        <w:tc>
          <w:tcPr>
            <w:tcW w:w="1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Operations and Comprehensive Income (unaudited) –</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740" w:type="dxa"/>
            <w:vAlign w:val="bottom"/>
            <w:tcBorders>
              <w:top w:val="single" w:sz="8" w:color="0563C1"/>
            </w:tcBorders>
            <w:gridSpan w:val="25"/>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Three Months Ended September 30, 2022 and 2021</w:t>
            </w:r>
          </w:p>
        </w:tc>
        <w:tc>
          <w:tcPr>
            <w:tcW w:w="1840" w:type="dxa"/>
            <w:vAlign w:val="bottom"/>
            <w:tcBorders>
              <w:top w:val="single" w:sz="8" w:color="CCEEFF"/>
            </w:tcBorders>
            <w:gridSpan w:val="2"/>
            <w:shd w:val="clear" w:color="auto" w:fill="CCEEFF"/>
          </w:tcPr>
          <w:p>
            <w:pPr>
              <w:spacing w:after="0"/>
              <w:rPr>
                <w:sz w:val="20"/>
                <w:szCs w:val="20"/>
                <w:color w:val="auto"/>
              </w:rPr>
            </w:pPr>
          </w:p>
        </w:tc>
        <w:tc>
          <w:tcPr>
            <w:tcW w:w="168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Operations and Comprehensive Income (unaudited) –</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740" w:type="dxa"/>
            <w:vAlign w:val="bottom"/>
            <w:tcBorders>
              <w:top w:val="single" w:sz="8" w:color="0563C1"/>
            </w:tcBorders>
            <w:gridSpan w:val="25"/>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Nine Months Ended September 30, 2022 and 2021</w:t>
            </w:r>
          </w:p>
        </w:tc>
        <w:tc>
          <w:tcPr>
            <w:tcW w:w="1840" w:type="dxa"/>
            <w:vAlign w:val="bottom"/>
            <w:tcBorders>
              <w:top w:val="single" w:sz="8" w:color="CCEEFF"/>
            </w:tcBorders>
            <w:gridSpan w:val="2"/>
            <w:shd w:val="clear" w:color="auto" w:fill="CCEEFF"/>
          </w:tcPr>
          <w:p>
            <w:pPr>
              <w:spacing w:after="0"/>
              <w:rPr>
                <w:sz w:val="20"/>
                <w:szCs w:val="20"/>
                <w:color w:val="auto"/>
              </w:rPr>
            </w:pPr>
          </w:p>
        </w:tc>
        <w:tc>
          <w:tcPr>
            <w:tcW w:w="168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Capitalization (unaudited) –</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4520" w:type="dxa"/>
            <w:vAlign w:val="bottom"/>
            <w:tcBorders>
              <w:top w:val="single" w:sz="8" w:color="0563C1"/>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September 30, 2022 and December 31, 2021</w:t>
            </w:r>
          </w:p>
        </w:tc>
        <w:tc>
          <w:tcPr>
            <w:tcW w:w="4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760" w:type="dxa"/>
            <w:vAlign w:val="bottom"/>
            <w:tcBorders>
              <w:top w:val="single" w:sz="8" w:color="CCEEFF"/>
            </w:tcBorders>
            <w:gridSpan w:val="4"/>
            <w:shd w:val="clear" w:color="auto" w:fill="CCEEFF"/>
          </w:tcPr>
          <w:p>
            <w:pPr>
              <w:spacing w:after="0"/>
              <w:rPr>
                <w:sz w:val="20"/>
                <w:szCs w:val="20"/>
                <w:color w:val="auto"/>
              </w:rPr>
            </w:pPr>
          </w:p>
        </w:tc>
        <w:tc>
          <w:tcPr>
            <w:tcW w:w="168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Equity (unaudited) –</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3900" w:type="dxa"/>
            <w:vAlign w:val="bottom"/>
            <w:tcBorders>
              <w:top w:val="single" w:sz="8" w:color="0563C1"/>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Nine Months Ended September 30, 2022</w:t>
            </w:r>
          </w:p>
        </w:tc>
        <w:tc>
          <w:tcPr>
            <w:tcW w:w="380" w:type="dxa"/>
            <w:vAlign w:val="bottom"/>
            <w:tcBorders>
              <w:top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p>
        </w:tc>
        <w:tc>
          <w:tcPr>
            <w:tcW w:w="60" w:type="dxa"/>
            <w:vAlign w:val="bottom"/>
            <w:tcBorders>
              <w:top w:val="single" w:sz="8" w:color="CCEEFF"/>
            </w:tcBorders>
            <w:gridSpan w:val="2"/>
            <w:shd w:val="clear" w:color="auto" w:fill="CCEEFF"/>
          </w:tcPr>
          <w:p>
            <w:pPr>
              <w:spacing w:after="0"/>
              <w:rPr>
                <w:sz w:val="20"/>
                <w:szCs w:val="20"/>
                <w:color w:val="auto"/>
              </w:rPr>
            </w:pPr>
          </w:p>
        </w:tc>
        <w:tc>
          <w:tcPr>
            <w:tcW w:w="4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760" w:type="dxa"/>
            <w:vAlign w:val="bottom"/>
            <w:tcBorders>
              <w:top w:val="single" w:sz="8" w:color="CCEEFF"/>
            </w:tcBorders>
            <w:gridSpan w:val="4"/>
            <w:shd w:val="clear" w:color="auto" w:fill="CCEEFF"/>
          </w:tcPr>
          <w:p>
            <w:pPr>
              <w:spacing w:after="0"/>
              <w:rPr>
                <w:sz w:val="20"/>
                <w:szCs w:val="20"/>
                <w:color w:val="auto"/>
              </w:rPr>
            </w:pPr>
          </w:p>
        </w:tc>
        <w:tc>
          <w:tcPr>
            <w:tcW w:w="168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Equity (unaudited) –</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3840" w:type="dxa"/>
            <w:vAlign w:val="bottom"/>
            <w:tcBorders>
              <w:top w:val="single" w:sz="8" w:color="0563C1"/>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‎Nine Months Ended September 30, 2021</w:t>
            </w:r>
          </w:p>
        </w:tc>
        <w:tc>
          <w:tcPr>
            <w:tcW w:w="380" w:type="dxa"/>
            <w:vAlign w:val="bottom"/>
            <w:tcBorders>
              <w:top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p>
        </w:tc>
        <w:tc>
          <w:tcPr>
            <w:tcW w:w="60" w:type="dxa"/>
            <w:vAlign w:val="bottom"/>
            <w:tcBorders>
              <w:top w:val="single" w:sz="8" w:color="CCEEFF"/>
            </w:tcBorders>
            <w:gridSpan w:val="2"/>
            <w:shd w:val="clear" w:color="auto" w:fill="CCEEFF"/>
          </w:tcPr>
          <w:p>
            <w:pPr>
              <w:spacing w:after="0"/>
              <w:rPr>
                <w:sz w:val="20"/>
                <w:szCs w:val="20"/>
                <w:color w:val="auto"/>
              </w:rPr>
            </w:pPr>
          </w:p>
        </w:tc>
        <w:tc>
          <w:tcPr>
            <w:tcW w:w="4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760" w:type="dxa"/>
            <w:vAlign w:val="bottom"/>
            <w:tcBorders>
              <w:top w:val="single" w:sz="8" w:color="CCEEFF"/>
            </w:tcBorders>
            <w:gridSpan w:val="4"/>
            <w:shd w:val="clear" w:color="auto" w:fill="CCEEFF"/>
          </w:tcPr>
          <w:p>
            <w:pPr>
              <w:spacing w:after="0"/>
              <w:rPr>
                <w:sz w:val="20"/>
                <w:szCs w:val="20"/>
                <w:color w:val="auto"/>
              </w:rPr>
            </w:pPr>
          </w:p>
        </w:tc>
        <w:tc>
          <w:tcPr>
            <w:tcW w:w="168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Consolidated Statements of Cash Flow (unaudited) –</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640" w:type="dxa"/>
            <w:vAlign w:val="bottom"/>
            <w:gridSpan w:val="2"/>
            <w:shd w:val="clear" w:color="auto" w:fill="0563C1"/>
          </w:tcPr>
          <w:p>
            <w:pPr>
              <w:spacing w:after="0" w:line="20" w:lineRule="exact"/>
              <w:rPr>
                <w:sz w:val="1"/>
                <w:szCs w:val="1"/>
                <w:color w:val="auto"/>
              </w:rPr>
            </w:pPr>
          </w:p>
        </w:tc>
        <w:tc>
          <w:tcPr>
            <w:tcW w:w="800" w:type="dxa"/>
            <w:vAlign w:val="bottom"/>
            <w:tcBorders>
              <w:right w:val="single" w:sz="8" w:color="CCEEFF"/>
            </w:tcBorders>
            <w:gridSpan w:val="5"/>
            <w:shd w:val="clear" w:color="auto" w:fill="0563C1"/>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760" w:type="dxa"/>
            <w:vAlign w:val="bottom"/>
            <w:gridSpan w:val="4"/>
            <w:shd w:val="clear" w:color="auto" w:fill="CCEEFF"/>
          </w:tcPr>
          <w:p>
            <w:pPr>
              <w:spacing w:after="0" w:line="20" w:lineRule="exact"/>
              <w:rPr>
                <w:sz w:val="1"/>
                <w:szCs w:val="1"/>
                <w:color w:val="auto"/>
              </w:rPr>
            </w:pPr>
          </w:p>
        </w:tc>
        <w:tc>
          <w:tcPr>
            <w:tcW w:w="1680" w:type="dxa"/>
            <w:vAlign w:val="bottom"/>
            <w:gridSpan w:val="2"/>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58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Nine Months Ended September 30, 2022 and 2021,</w:t>
            </w:r>
          </w:p>
        </w:tc>
        <w:tc>
          <w:tcPr>
            <w:tcW w:w="1680" w:type="dxa"/>
            <w:vAlign w:val="bottom"/>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90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Notes to Consolidated Financial Statements (unaudited)</w:t>
            </w:r>
          </w:p>
        </w:tc>
        <w:tc>
          <w:tcPr>
            <w:tcW w:w="1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560" w:type="dxa"/>
            <w:vAlign w:val="bottom"/>
            <w:gridSpan w:val="30"/>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2. Management’s Discussion and Analysis of Financial</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shd w:val="clear" w:color="auto" w:fill="CCEEFF"/>
          </w:tcPr>
          <w:p>
            <w:pPr>
              <w:spacing w:after="0"/>
              <w:rPr>
                <w:sz w:val="20"/>
                <w:szCs w:val="20"/>
                <w:color w:val="auto"/>
              </w:rPr>
            </w:pPr>
          </w:p>
        </w:tc>
        <w:tc>
          <w:tcPr>
            <w:tcW w:w="4600" w:type="dxa"/>
            <w:vAlign w:val="bottom"/>
            <w:tcBorders>
              <w:top w:val="single" w:sz="8" w:color="0563C1"/>
              <w:right w:val="single" w:sz="8" w:color="CCEEFF"/>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Condition and Results of Operations</w:t>
            </w:r>
          </w:p>
        </w:tc>
        <w:tc>
          <w:tcPr>
            <w:tcW w:w="680" w:type="dxa"/>
            <w:vAlign w:val="bottom"/>
            <w:tcBorders>
              <w:top w:val="single" w:sz="8" w:color="CCEEFF"/>
            </w:tcBorders>
            <w:gridSpan w:val="6"/>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760" w:type="dxa"/>
            <w:vAlign w:val="bottom"/>
            <w:tcBorders>
              <w:top w:val="single" w:sz="8" w:color="CCEEFF"/>
            </w:tcBorders>
            <w:gridSpan w:val="4"/>
            <w:shd w:val="clear" w:color="auto" w:fill="CCEEFF"/>
          </w:tcPr>
          <w:p>
            <w:pPr>
              <w:spacing w:after="0"/>
              <w:rPr>
                <w:sz w:val="20"/>
                <w:szCs w:val="20"/>
                <w:color w:val="auto"/>
              </w:rPr>
            </w:pPr>
          </w:p>
        </w:tc>
        <w:tc>
          <w:tcPr>
            <w:tcW w:w="168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3.</w:t>
            </w:r>
          </w:p>
        </w:tc>
        <w:tc>
          <w:tcPr>
            <w:tcW w:w="890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Quantitative and Qualitative Disclosures About Market Risk</w:t>
            </w:r>
          </w:p>
        </w:tc>
        <w:tc>
          <w:tcPr>
            <w:tcW w:w="1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4.</w:t>
            </w:r>
          </w:p>
        </w:tc>
        <w:tc>
          <w:tcPr>
            <w:tcW w:w="890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Controls and Procedures</w:t>
            </w:r>
          </w:p>
        </w:tc>
        <w:tc>
          <w:tcPr>
            <w:tcW w:w="1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00" w:type="dxa"/>
            <w:vAlign w:val="bottom"/>
            <w:gridSpan w:val="17"/>
            <w:shd w:val="clear" w:color="auto" w:fill="CCEEFF"/>
          </w:tcPr>
          <w:p>
            <w:pPr>
              <w:jc w:val="center"/>
              <w:ind w:right="2760"/>
              <w:spacing w:after="0" w:line="203" w:lineRule="exact"/>
              <w:rPr>
                <w:sz w:val="20"/>
                <w:szCs w:val="20"/>
                <w:color w:val="auto"/>
              </w:rPr>
            </w:pPr>
            <w:r>
              <w:rPr>
                <w:rFonts w:ascii="Times New Roman" w:cs="Times New Roman" w:eastAsia="Times New Roman" w:hAnsi="Times New Roman"/>
                <w:sz w:val="22"/>
                <w:szCs w:val="22"/>
                <w:color w:val="0563C1"/>
                <w:w w:val="98"/>
              </w:rPr>
              <w:t>Part II – Other Information</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890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Legal Proceedings</w:t>
            </w:r>
          </w:p>
        </w:tc>
        <w:tc>
          <w:tcPr>
            <w:tcW w:w="1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560" w:type="dxa"/>
            <w:vAlign w:val="bottom"/>
            <w:gridSpan w:val="30"/>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1A. Risk Factors</w:t>
            </w:r>
          </w:p>
        </w:tc>
        <w:tc>
          <w:tcPr>
            <w:tcW w:w="1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2.</w:t>
            </w:r>
          </w:p>
        </w:tc>
        <w:tc>
          <w:tcPr>
            <w:tcW w:w="890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Unregistered Sales of Equity Securities and Use of Proceeds</w:t>
            </w:r>
          </w:p>
        </w:tc>
        <w:tc>
          <w:tcPr>
            <w:tcW w:w="1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6.</w:t>
            </w:r>
          </w:p>
        </w:tc>
        <w:tc>
          <w:tcPr>
            <w:tcW w:w="8900" w:type="dxa"/>
            <w:vAlign w:val="bottom"/>
            <w:gridSpan w:val="29"/>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Exhibits</w:t>
            </w:r>
          </w:p>
        </w:tc>
        <w:tc>
          <w:tcPr>
            <w:tcW w:w="16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6"/>
              </w:rPr>
              <w:t>Signatures</w:t>
            </w:r>
          </w:p>
        </w:tc>
        <w:tc>
          <w:tcPr>
            <w:tcW w:w="8640" w:type="dxa"/>
            <w:vAlign w:val="bottom"/>
            <w:tcBorders>
              <w:bottom w:val="single" w:sz="8" w:color="CCEEFF"/>
            </w:tcBorders>
            <w:gridSpan w:val="28"/>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2"/>
                <w:szCs w:val="22"/>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95"/>
        </w:trPr>
        <w:tc>
          <w:tcPr>
            <w:tcW w:w="660" w:type="dxa"/>
            <w:vAlign w:val="bottom"/>
          </w:tcPr>
          <w:p>
            <w:pPr>
              <w:spacing w:after="0"/>
              <w:rPr>
                <w:sz w:val="24"/>
                <w:szCs w:val="24"/>
                <w:color w:val="auto"/>
              </w:rPr>
            </w:pPr>
          </w:p>
        </w:tc>
        <w:tc>
          <w:tcPr>
            <w:tcW w:w="5280" w:type="dxa"/>
            <w:vAlign w:val="bottom"/>
            <w:gridSpan w:val="23"/>
          </w:tcPr>
          <w:p>
            <w:pPr>
              <w:jc w:val="center"/>
              <w:ind w:left="4552"/>
              <w:spacing w:after="0"/>
              <w:rPr>
                <w:sz w:val="20"/>
                <w:szCs w:val="20"/>
                <w:color w:val="auto"/>
              </w:rPr>
            </w:pPr>
            <w:r>
              <w:rPr>
                <w:rFonts w:ascii="Times New Roman" w:cs="Times New Roman" w:eastAsia="Times New Roman" w:hAnsi="Times New Roman"/>
                <w:sz w:val="22"/>
                <w:szCs w:val="22"/>
                <w:color w:val="auto"/>
                <w:w w:val="90"/>
              </w:rPr>
              <w:t>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CONSOLIDATED BALANCE SHEETS</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tcPr>
          <w:p>
            <w:pPr>
              <w:ind w:left="394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13,468,046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12,610,376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Pr>
          <w:p>
            <w:pPr>
              <w:spacing w:after="0"/>
              <w:rPr>
                <w:sz w:val="15"/>
                <w:szCs w:val="15"/>
                <w:color w:val="auto"/>
              </w:rPr>
            </w:pPr>
          </w:p>
        </w:tc>
        <w:tc>
          <w:tcPr>
            <w:tcW w:w="12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2,592,368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2,358,510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10,875,678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10,251,866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5"/>
                <w:szCs w:val="15"/>
                <w:color w:val="auto"/>
              </w:rPr>
            </w:pPr>
          </w:p>
        </w:tc>
        <w:tc>
          <w:tcPr>
            <w:tcW w:w="12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23,366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10,567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119,803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141,025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Unbilled revenues</w:t>
            </w:r>
          </w:p>
        </w:tc>
        <w:tc>
          <w:tcPr>
            <w:tcW w:w="140" w:type="dxa"/>
            <w:vAlign w:val="bottom"/>
          </w:tcPr>
          <w:p>
            <w:pPr>
              <w:spacing w:after="0"/>
              <w:rPr>
                <w:sz w:val="15"/>
                <w:szCs w:val="15"/>
                <w:color w:val="auto"/>
              </w:rPr>
            </w:pPr>
          </w:p>
        </w:tc>
        <w:tc>
          <w:tcPr>
            <w:tcW w:w="12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82,643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119,896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41,565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33,756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gas stored</w:t>
            </w:r>
          </w:p>
        </w:tc>
        <w:tc>
          <w:tcPr>
            <w:tcW w:w="140" w:type="dxa"/>
            <w:vAlign w:val="bottom"/>
          </w:tcPr>
          <w:p>
            <w:pPr>
              <w:spacing w:after="0"/>
              <w:rPr>
                <w:sz w:val="15"/>
                <w:szCs w:val="15"/>
                <w:color w:val="auto"/>
              </w:rPr>
            </w:pPr>
          </w:p>
        </w:tc>
        <w:tc>
          <w:tcPr>
            <w:tcW w:w="12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188,147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75,804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39,241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36,597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tcPr>
          <w:p>
            <w:pPr>
              <w:spacing w:after="0"/>
              <w:rPr>
                <w:sz w:val="15"/>
                <w:szCs w:val="15"/>
                <w:color w:val="auto"/>
              </w:rPr>
            </w:pPr>
          </w:p>
        </w:tc>
        <w:tc>
          <w:tcPr>
            <w:tcW w:w="12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46,541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541,306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437,795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1,300,554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1,429,840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140" w:type="dxa"/>
            <w:vAlign w:val="bottom"/>
          </w:tcPr>
          <w:p>
            <w:pPr>
              <w:spacing w:after="0"/>
              <w:rPr>
                <w:sz w:val="15"/>
                <w:szCs w:val="15"/>
                <w:color w:val="auto"/>
              </w:rPr>
            </w:pPr>
          </w:p>
        </w:tc>
        <w:tc>
          <w:tcPr>
            <w:tcW w:w="12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172,236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141,955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1,336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5"/>
                <w:szCs w:val="15"/>
                <w:color w:val="auto"/>
              </w:rPr>
            </w:pPr>
          </w:p>
        </w:tc>
        <w:tc>
          <w:tcPr>
            <w:tcW w:w="12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2,340,792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2,340,815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43,095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48,930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Pr>
          <w:p>
            <w:pPr>
              <w:spacing w:after="0"/>
              <w:rPr>
                <w:sz w:val="15"/>
                <w:szCs w:val="15"/>
                <w:color w:val="auto"/>
              </w:rPr>
            </w:pPr>
          </w:p>
        </w:tc>
        <w:tc>
          <w:tcPr>
            <w:tcW w:w="12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4,795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5,764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8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15,279,792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14,658,278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CONSOLIDATED BALANCE SHEETS (continued)</w:t>
      </w:r>
    </w:p>
    <w:p>
      <w:pPr>
        <w:ind w:left="338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846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Liabilities and Equity</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6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at $0.50 par value, authorized 600,000,000 shares, issued 265,530,007 and 256,102,388 as of September 30,</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2022 and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132,764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128,050</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3,723,523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3,705,814</w:t>
            </w:r>
          </w:p>
        </w:tc>
        <w:tc>
          <w:tcPr>
            <w:tcW w:w="0" w:type="dxa"/>
            <w:vAlign w:val="bottom"/>
          </w:tcPr>
          <w:p>
            <w:pPr>
              <w:spacing w:after="0"/>
              <w:rPr>
                <w:sz w:val="1"/>
                <w:szCs w:val="1"/>
                <w:color w:val="auto"/>
              </w:rPr>
            </w:pPr>
          </w:p>
        </w:tc>
      </w:tr>
      <w:tr>
        <w:trPr>
          <w:trHeight w:val="24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1,570,652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1,434,201</w:t>
            </w:r>
          </w:p>
        </w:tc>
        <w:tc>
          <w:tcPr>
            <w:tcW w:w="0" w:type="dxa"/>
            <w:vAlign w:val="bottom"/>
          </w:tcPr>
          <w:p>
            <w:pPr>
              <w:spacing w:after="0"/>
              <w:rPr>
                <w:sz w:val="1"/>
                <w:szCs w:val="1"/>
                <w:color w:val="auto"/>
              </w:rPr>
            </w:pPr>
          </w:p>
        </w:tc>
      </w:tr>
      <w:tr>
        <w:trPr>
          <w:trHeight w:val="148"/>
        </w:trPr>
        <w:tc>
          <w:tcPr>
            <w:tcW w:w="846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Treasury stock, at cost, 3,239,286 and 3,234,765 shares as of September 30, 2022 and</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2021</w:t>
            </w:r>
          </w:p>
        </w:tc>
        <w:tc>
          <w:tcPr>
            <w:tcW w:w="1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(83,837)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(83,615)</w:t>
            </w:r>
          </w:p>
        </w:tc>
        <w:tc>
          <w:tcPr>
            <w:tcW w:w="0" w:type="dxa"/>
            <w:vAlign w:val="bottom"/>
          </w:tcPr>
          <w:p>
            <w:pPr>
              <w:spacing w:after="0"/>
              <w:rPr>
                <w:sz w:val="1"/>
                <w:szCs w:val="1"/>
                <w:color w:val="auto"/>
              </w:rPr>
            </w:pPr>
          </w:p>
        </w:tc>
      </w:tr>
      <w:tr>
        <w:trPr>
          <w:trHeight w:val="169"/>
        </w:trPr>
        <w:tc>
          <w:tcPr>
            <w:tcW w:w="84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5,343,102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5,184,450</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6,220,973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5,815,211</w:t>
            </w:r>
          </w:p>
        </w:tc>
        <w:tc>
          <w:tcPr>
            <w:tcW w:w="0" w:type="dxa"/>
            <w:vAlign w:val="bottom"/>
          </w:tcPr>
          <w:p>
            <w:pPr>
              <w:spacing w:after="0"/>
              <w:rPr>
                <w:sz w:val="1"/>
                <w:szCs w:val="1"/>
                <w:color w:val="auto"/>
              </w:rPr>
            </w:pPr>
          </w:p>
        </w:tc>
      </w:tr>
      <w:tr>
        <w:trPr>
          <w:trHeight w:val="176"/>
        </w:trPr>
        <w:tc>
          <w:tcPr>
            <w:tcW w:w="84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Less: debt issuance costs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47,345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35,707</w:t>
            </w:r>
          </w:p>
        </w:tc>
        <w:tc>
          <w:tcPr>
            <w:tcW w:w="0" w:type="dxa"/>
            <w:vAlign w:val="bottom"/>
          </w:tcPr>
          <w:p>
            <w:pPr>
              <w:spacing w:after="0"/>
              <w:rPr>
                <w:sz w:val="1"/>
                <w:szCs w:val="1"/>
                <w:color w:val="auto"/>
              </w:rPr>
            </w:pPr>
          </w:p>
        </w:tc>
      </w:tr>
      <w:tr>
        <w:trPr>
          <w:trHeight w:val="169"/>
        </w:trPr>
        <w:tc>
          <w:tcPr>
            <w:tcW w:w="84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6,173,628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5,779,504</w:t>
            </w:r>
          </w:p>
        </w:tc>
        <w:tc>
          <w:tcPr>
            <w:tcW w:w="0" w:type="dxa"/>
            <w:vAlign w:val="bottom"/>
          </w:tcPr>
          <w:p>
            <w:pPr>
              <w:spacing w:after="0"/>
              <w:rPr>
                <w:sz w:val="1"/>
                <w:szCs w:val="1"/>
                <w:color w:val="auto"/>
              </w:rPr>
            </w:pPr>
          </w:p>
        </w:tc>
      </w:tr>
      <w:tr>
        <w:trPr>
          <w:trHeight w:val="231"/>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13)</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149,926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132,146</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Loans payable</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213,235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65,000</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217,597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192,932</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Book overdraft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17,396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81,722</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75,305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40,815</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taxes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33,316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37,924</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1,196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140,122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124,140</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848,093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675,063</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1,304,548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1,406,537</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121,247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103,619</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771,734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769,617</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1,274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39,657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48,230</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54,309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50,226</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25,929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43,666</w:t>
            </w:r>
          </w:p>
        </w:tc>
        <w:tc>
          <w:tcPr>
            <w:tcW w:w="0" w:type="dxa"/>
            <w:vAlign w:val="bottom"/>
          </w:tcPr>
          <w:p>
            <w:pPr>
              <w:spacing w:after="0"/>
              <w:rPr>
                <w:sz w:val="1"/>
                <w:szCs w:val="1"/>
                <w:color w:val="auto"/>
              </w:rPr>
            </w:pPr>
          </w:p>
        </w:tc>
      </w:tr>
      <w:tr>
        <w:trPr>
          <w:trHeight w:val="169"/>
        </w:trPr>
        <w:tc>
          <w:tcPr>
            <w:tcW w:w="84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2,318,698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2,423,151</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596,271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596,110</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15,279,792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14,658,278</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20" w:type="dxa"/>
            <w:vAlign w:val="bottom"/>
            <w:gridSpan w:val="5"/>
          </w:tcPr>
          <w:p>
            <w:pPr>
              <w:jc w:val="right"/>
              <w:ind w:right="792"/>
              <w:spacing w:after="0"/>
              <w:rPr>
                <w:sz w:val="20"/>
                <w:szCs w:val="20"/>
                <w:color w:val="auto"/>
              </w:rPr>
            </w:pPr>
            <w:r>
              <w:rPr>
                <w:rFonts w:ascii="Times New Roman" w:cs="Times New Roman" w:eastAsia="Times New Roman" w:hAnsi="Times New Roman"/>
                <w:sz w:val="22"/>
                <w:szCs w:val="22"/>
                <w:color w:val="auto"/>
              </w:rPr>
              <w:t>Three Months Ended</w:t>
            </w: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434,618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361,860</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151,361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139,355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52,041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25,488</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80,471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72,606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2,259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1,901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22,625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21,058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308,757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260,408</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125,861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101,452</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60,488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52,132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(1,510)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(565)</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(5,812)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(6,082)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(299)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(320)</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(441)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4,019</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73,435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52,268</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Provision for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4,797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1,765</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1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68,638</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50,503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216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68,638</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5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50,503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2160" w:type="dxa"/>
            <w:vAlign w:val="bottom"/>
            <w:gridSpan w:val="2"/>
            <w:shd w:val="clear" w:color="auto" w:fill="CCEEFF"/>
          </w:tcPr>
          <w:p>
            <w:pPr>
              <w:jc w:val="right"/>
              <w:ind w:right="17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0.26</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54"/>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0.20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7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0.26</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0.19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262,213</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258,773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262,754</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259,437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500" w:type="dxa"/>
            <w:vAlign w:val="bottom"/>
            <w:gridSpan w:val="4"/>
          </w:tcPr>
          <w:p>
            <w:pPr>
              <w:jc w:val="right"/>
              <w:ind w:right="99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73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22"/>
                <w:szCs w:val="22"/>
                <w:color w:val="auto"/>
              </w:rPr>
              <w:t>September 30,</w:t>
            </w:r>
          </w:p>
        </w:tc>
        <w:tc>
          <w:tcPr>
            <w:tcW w:w="1220" w:type="dxa"/>
            <w:vAlign w:val="bottom"/>
            <w:tcBorders>
              <w:bottom w:val="single" w:sz="8" w:color="auto"/>
            </w:tcBorders>
          </w:tcPr>
          <w:p>
            <w:pPr>
              <w:spacing w:after="0"/>
              <w:rPr>
                <w:sz w:val="22"/>
                <w:szCs w:val="22"/>
                <w:color w:val="auto"/>
              </w:rPr>
            </w:pPr>
          </w:p>
        </w:tc>
      </w:tr>
      <w:tr>
        <w:trPr>
          <w:trHeight w:val="223"/>
        </w:trPr>
        <w:tc>
          <w:tcPr>
            <w:tcW w:w="7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2021</w:t>
            </w:r>
          </w:p>
        </w:tc>
      </w:tr>
      <w:tr>
        <w:trPr>
          <w:trHeight w:val="223"/>
        </w:trPr>
        <w:tc>
          <w:tcPr>
            <w:tcW w:w="7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440" w:type="dxa"/>
            <w:vAlign w:val="bottom"/>
            <w:shd w:val="clear" w:color="auto" w:fill="CCEEFF"/>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5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1,582,649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1,342,457</w:t>
            </w:r>
          </w:p>
        </w:tc>
      </w:tr>
      <w:tr>
        <w:trPr>
          <w:trHeight w:val="229"/>
        </w:trPr>
        <w:tc>
          <w:tcPr>
            <w:tcW w:w="7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3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3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440" w:type="dxa"/>
            <w:vAlign w:val="bottom"/>
          </w:tcPr>
          <w:p>
            <w:pPr>
              <w:spacing w:after="0"/>
              <w:rPr>
                <w:sz w:val="19"/>
                <w:szCs w:val="19"/>
                <w:color w:val="auto"/>
              </w:rPr>
            </w:pPr>
          </w:p>
        </w:tc>
        <w:tc>
          <w:tcPr>
            <w:tcW w:w="15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428,923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391,945</w:t>
            </w:r>
          </w:p>
        </w:tc>
      </w:tr>
      <w:tr>
        <w:trPr>
          <w:trHeight w:val="230"/>
        </w:trPr>
        <w:tc>
          <w:tcPr>
            <w:tcW w:w="73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354,896</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202,538</w:t>
            </w:r>
          </w:p>
        </w:tc>
      </w:tr>
      <w:tr>
        <w:trPr>
          <w:trHeight w:val="229"/>
        </w:trPr>
        <w:tc>
          <w:tcPr>
            <w:tcW w:w="73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440" w:type="dxa"/>
            <w:vAlign w:val="bottom"/>
          </w:tcPr>
          <w:p>
            <w:pPr>
              <w:spacing w:after="0"/>
              <w:rPr>
                <w:sz w:val="19"/>
                <w:szCs w:val="19"/>
                <w:color w:val="auto"/>
              </w:rPr>
            </w:pPr>
          </w:p>
        </w:tc>
        <w:tc>
          <w:tcPr>
            <w:tcW w:w="15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235,774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217,007</w:t>
            </w:r>
          </w:p>
        </w:tc>
      </w:tr>
      <w:tr>
        <w:trPr>
          <w:trHeight w:val="229"/>
        </w:trPr>
        <w:tc>
          <w:tcPr>
            <w:tcW w:w="73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4,478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4,616</w:t>
            </w:r>
          </w:p>
        </w:tc>
      </w:tr>
      <w:tr>
        <w:trPr>
          <w:trHeight w:val="230"/>
        </w:trPr>
        <w:tc>
          <w:tcPr>
            <w:tcW w:w="730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67,352</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63,219</w:t>
            </w:r>
          </w:p>
        </w:tc>
      </w:tr>
      <w:tr>
        <w:trPr>
          <w:trHeight w:val="223"/>
        </w:trPr>
        <w:tc>
          <w:tcPr>
            <w:tcW w:w="7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1,091,423</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879,325</w:t>
            </w:r>
          </w:p>
        </w:tc>
      </w:tr>
      <w:tr>
        <w:trPr>
          <w:trHeight w:val="223"/>
        </w:trPr>
        <w:tc>
          <w:tcPr>
            <w:tcW w:w="7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3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491,226</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463,132</w:t>
            </w:r>
          </w:p>
        </w:tc>
      </w:tr>
      <w:tr>
        <w:trPr>
          <w:trHeight w:val="230"/>
        </w:trPr>
        <w:tc>
          <w:tcPr>
            <w:tcW w:w="7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3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3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440" w:type="dxa"/>
            <w:vAlign w:val="bottom"/>
          </w:tcPr>
          <w:p>
            <w:pPr>
              <w:spacing w:after="0"/>
              <w:rPr>
                <w:sz w:val="19"/>
                <w:szCs w:val="19"/>
                <w:color w:val="auto"/>
              </w:rPr>
            </w:pPr>
          </w:p>
        </w:tc>
        <w:tc>
          <w:tcPr>
            <w:tcW w:w="15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169,345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154,937</w:t>
            </w:r>
          </w:p>
        </w:tc>
      </w:tr>
      <w:tr>
        <w:trPr>
          <w:trHeight w:val="230"/>
        </w:trPr>
        <w:tc>
          <w:tcPr>
            <w:tcW w:w="73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(2,943)</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(1,290)</w:t>
            </w:r>
          </w:p>
        </w:tc>
      </w:tr>
      <w:tr>
        <w:trPr>
          <w:trHeight w:val="229"/>
        </w:trPr>
        <w:tc>
          <w:tcPr>
            <w:tcW w:w="73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440" w:type="dxa"/>
            <w:vAlign w:val="bottom"/>
          </w:tcPr>
          <w:p>
            <w:pPr>
              <w:spacing w:after="0"/>
              <w:rPr>
                <w:sz w:val="19"/>
                <w:szCs w:val="19"/>
                <w:color w:val="auto"/>
              </w:rPr>
            </w:pPr>
          </w:p>
        </w:tc>
        <w:tc>
          <w:tcPr>
            <w:tcW w:w="15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(17,802)</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(13,922)</w:t>
            </w:r>
          </w:p>
        </w:tc>
      </w:tr>
      <w:tr>
        <w:trPr>
          <w:trHeight w:val="230"/>
        </w:trPr>
        <w:tc>
          <w:tcPr>
            <w:tcW w:w="73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(777)</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(623)</w:t>
            </w:r>
          </w:p>
        </w:tc>
      </w:tr>
      <w:tr>
        <w:trPr>
          <w:trHeight w:val="230"/>
        </w:trPr>
        <w:tc>
          <w:tcPr>
            <w:tcW w:w="730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(2,566)</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(1,393)</w:t>
            </w:r>
          </w:p>
        </w:tc>
      </w:tr>
      <w:tr>
        <w:trPr>
          <w:trHeight w:val="223"/>
        </w:trPr>
        <w:tc>
          <w:tcPr>
            <w:tcW w:w="73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345,969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325,423</w:t>
            </w:r>
          </w:p>
        </w:tc>
      </w:tr>
      <w:tr>
        <w:trPr>
          <w:trHeight w:val="230"/>
        </w:trPr>
        <w:tc>
          <w:tcPr>
            <w:tcW w:w="730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Provision for income taxes (benefit)</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(4,336)</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10,317</w:t>
            </w:r>
          </w:p>
        </w:tc>
      </w:tr>
      <w:tr>
        <w:trPr>
          <w:trHeight w:val="223"/>
        </w:trPr>
        <w:tc>
          <w:tcPr>
            <w:tcW w:w="73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440" w:type="dxa"/>
            <w:vAlign w:val="bottom"/>
            <w:tcBorders>
              <w:bottom w:val="single" w:sz="8" w:color="auto"/>
            </w:tcBorders>
            <w:shd w:val="clear" w:color="auto" w:fill="CCEEFF"/>
          </w:tcPr>
          <w:p>
            <w:pPr>
              <w:jc w:val="right"/>
              <w:ind w:right="2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5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350,305</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315,106</w:t>
            </w: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30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440" w:type="dxa"/>
            <w:vAlign w:val="bottom"/>
            <w:tcBorders>
              <w:bottom w:val="single" w:sz="8" w:color="auto"/>
            </w:tcBorders>
            <w:shd w:val="clear" w:color="auto" w:fill="CCEEFF"/>
          </w:tcPr>
          <w:p>
            <w:pPr>
              <w:jc w:val="right"/>
              <w:ind w:right="23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5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350,305</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315,106</w:t>
            </w: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3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Net income per common share:</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730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440" w:type="dxa"/>
            <w:vAlign w:val="bottom"/>
            <w:tcBorders>
              <w:bottom w:val="single" w:sz="8" w:color="auto"/>
            </w:tcBorders>
          </w:tcPr>
          <w:p>
            <w:pPr>
              <w:jc w:val="right"/>
              <w:ind w:right="23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5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1.34</w:t>
            </w:r>
          </w:p>
        </w:tc>
        <w:tc>
          <w:tcPr>
            <w:tcW w:w="2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ind w:right="35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2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1.23</w:t>
            </w:r>
          </w:p>
        </w:tc>
      </w:tr>
      <w:tr>
        <w:trPr>
          <w:trHeight w:val="210"/>
        </w:trPr>
        <w:tc>
          <w:tcPr>
            <w:tcW w:w="7300" w:type="dxa"/>
            <w:vAlign w:val="bottom"/>
            <w:tcBorders>
              <w:bottom w:val="single" w:sz="8" w:color="CCEEFF"/>
            </w:tcBorders>
            <w:shd w:val="clear" w:color="auto" w:fill="CCEEFF"/>
          </w:tcPr>
          <w:p>
            <w:pPr>
              <w:ind w:left="120"/>
              <w:spacing w:after="0" w:line="210" w:lineRule="exact"/>
              <w:rPr>
                <w:sz w:val="20"/>
                <w:szCs w:val="20"/>
                <w:color w:val="auto"/>
              </w:rPr>
            </w:pPr>
            <w:r>
              <w:rPr>
                <w:rFonts w:ascii="Times New Roman" w:cs="Times New Roman" w:eastAsia="Times New Roman" w:hAnsi="Times New Roman"/>
                <w:sz w:val="22"/>
                <w:szCs w:val="22"/>
                <w:color w:val="auto"/>
              </w:rPr>
              <w:t>Diluted</w:t>
            </w:r>
          </w:p>
        </w:tc>
        <w:tc>
          <w:tcPr>
            <w:tcW w:w="440" w:type="dxa"/>
            <w:vAlign w:val="bottom"/>
            <w:tcBorders>
              <w:bottom w:val="single" w:sz="8" w:color="auto"/>
            </w:tcBorders>
            <w:shd w:val="clear" w:color="auto" w:fill="CCEEFF"/>
          </w:tcPr>
          <w:p>
            <w:pPr>
              <w:jc w:val="right"/>
              <w:ind w:right="23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5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1.33</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5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2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1.23</w:t>
            </w: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3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9"/>
        </w:trPr>
        <w:tc>
          <w:tcPr>
            <w:tcW w:w="730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4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262,089</w:t>
            </w:r>
          </w:p>
        </w:tc>
        <w:tc>
          <w:tcPr>
            <w:tcW w:w="2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256,051</w:t>
            </w:r>
          </w:p>
        </w:tc>
      </w:tr>
      <w:tr>
        <w:trPr>
          <w:trHeight w:val="210"/>
        </w:trPr>
        <w:tc>
          <w:tcPr>
            <w:tcW w:w="7300" w:type="dxa"/>
            <w:vAlign w:val="bottom"/>
            <w:tcBorders>
              <w:bottom w:val="single" w:sz="8" w:color="CCEEFF"/>
            </w:tcBorders>
            <w:shd w:val="clear" w:color="auto" w:fill="CCEEFF"/>
          </w:tcPr>
          <w:p>
            <w:pPr>
              <w:ind w:left="120"/>
              <w:spacing w:after="0" w:line="210" w:lineRule="exact"/>
              <w:rPr>
                <w:sz w:val="20"/>
                <w:szCs w:val="20"/>
                <w:color w:val="auto"/>
              </w:rPr>
            </w:pPr>
            <w:r>
              <w:rPr>
                <w:rFonts w:ascii="Times New Roman" w:cs="Times New Roman" w:eastAsia="Times New Roman" w:hAnsi="Times New Roman"/>
                <w:sz w:val="22"/>
                <w:szCs w:val="22"/>
                <w:color w:val="auto"/>
              </w:rPr>
              <w:t>Diluted</w:t>
            </w:r>
          </w:p>
        </w:tc>
        <w:tc>
          <w:tcPr>
            <w:tcW w:w="4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262,641</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256,763</w:t>
            </w:r>
          </w:p>
        </w:tc>
      </w:tr>
      <w:tr>
        <w:trPr>
          <w:trHeight w:val="20"/>
        </w:trPr>
        <w:tc>
          <w:tcPr>
            <w:tcW w:w="7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580" w:right="3740" w:hanging="5561"/>
        <w:spacing w:after="0" w:line="629" w:lineRule="auto"/>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CONSOLIDATED STATEMENTS OF CAPITALIZATION</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1"/>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3"/>
        </w:trPr>
        <w:tc>
          <w:tcPr>
            <w:tcW w:w="7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$0.50 par value</w:t>
            </w: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132,764</w:t>
            </w:r>
          </w:p>
        </w:tc>
        <w:tc>
          <w:tcPr>
            <w:tcW w:w="1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128,050</w:t>
            </w:r>
          </w:p>
        </w:tc>
        <w:tc>
          <w:tcPr>
            <w:tcW w:w="0" w:type="dxa"/>
            <w:vAlign w:val="bottom"/>
          </w:tcPr>
          <w:p>
            <w:pPr>
              <w:spacing w:after="0"/>
              <w:rPr>
                <w:sz w:val="1"/>
                <w:szCs w:val="1"/>
                <w:color w:val="auto"/>
              </w:rPr>
            </w:pPr>
          </w:p>
        </w:tc>
      </w:tr>
      <w:tr>
        <w:trPr>
          <w:trHeight w:val="189"/>
        </w:trPr>
        <w:tc>
          <w:tcPr>
            <w:tcW w:w="70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3,723,523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3,705,814</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1,570,652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1,434,201</w:t>
            </w:r>
          </w:p>
        </w:tc>
        <w:tc>
          <w:tcPr>
            <w:tcW w:w="0" w:type="dxa"/>
            <w:vAlign w:val="bottom"/>
          </w:tcPr>
          <w:p>
            <w:pPr>
              <w:spacing w:after="0"/>
              <w:rPr>
                <w:sz w:val="1"/>
                <w:szCs w:val="1"/>
                <w:color w:val="auto"/>
              </w:rPr>
            </w:pPr>
          </w:p>
        </w:tc>
      </w:tr>
      <w:tr>
        <w:trPr>
          <w:trHeight w:val="189"/>
        </w:trPr>
        <w:tc>
          <w:tcPr>
            <w:tcW w:w="70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Treasury stock, at cost</w:t>
            </w:r>
          </w:p>
        </w:tc>
        <w:tc>
          <w:tcPr>
            <w:tcW w:w="280" w:type="dxa"/>
            <w:vAlign w:val="bottom"/>
          </w:tcPr>
          <w:p>
            <w:pPr>
              <w:spacing w:after="0"/>
              <w:rPr>
                <w:sz w:val="16"/>
                <w:szCs w:val="16"/>
                <w:color w:val="auto"/>
              </w:rPr>
            </w:pPr>
          </w:p>
        </w:tc>
        <w:tc>
          <w:tcPr>
            <w:tcW w:w="186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(83,837)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(83,615)</w:t>
            </w:r>
          </w:p>
        </w:tc>
        <w:tc>
          <w:tcPr>
            <w:tcW w:w="0" w:type="dxa"/>
            <w:vAlign w:val="bottom"/>
          </w:tcPr>
          <w:p>
            <w:pPr>
              <w:spacing w:after="0"/>
              <w:rPr>
                <w:sz w:val="1"/>
                <w:szCs w:val="1"/>
                <w:color w:val="auto"/>
              </w:rPr>
            </w:pPr>
          </w:p>
        </w:tc>
      </w:tr>
      <w:tr>
        <w:trPr>
          <w:trHeight w:val="183"/>
        </w:trPr>
        <w:tc>
          <w:tcPr>
            <w:tcW w:w="70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5,343,102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5,184,450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240" w:type="dxa"/>
            <w:vAlign w:val="bottom"/>
          </w:tcPr>
          <w:p>
            <w:pPr>
              <w:spacing w:after="0"/>
              <w:rPr>
                <w:sz w:val="18"/>
                <w:szCs w:val="18"/>
                <w:color w:val="auto"/>
              </w:rPr>
            </w:pPr>
          </w:p>
        </w:tc>
        <w:tc>
          <w:tcPr>
            <w:tcW w:w="3300" w:type="dxa"/>
            <w:vAlign w:val="bottom"/>
            <w:gridSpan w:val="2"/>
          </w:tcPr>
          <w:p>
            <w:pPr>
              <w:jc w:val="center"/>
              <w:ind w:right="1880"/>
              <w:spacing w:after="0" w:line="203"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2520" w:type="dxa"/>
            <w:vAlign w:val="bottom"/>
            <w:gridSpan w:val="3"/>
          </w:tcPr>
          <w:p>
            <w:pPr>
              <w:jc w:val="center"/>
              <w:ind w:right="920"/>
              <w:spacing w:after="0" w:line="203"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0.00% to 0.99%</w:t>
            </w:r>
          </w:p>
        </w:tc>
        <w:tc>
          <w:tcPr>
            <w:tcW w:w="1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2023 to 2033</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300" w:type="dxa"/>
            <w:vAlign w:val="bottom"/>
            <w:gridSpan w:val="2"/>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1.00% to 1.99%</w:t>
            </w:r>
          </w:p>
        </w:tc>
        <w:tc>
          <w:tcPr>
            <w:tcW w:w="40" w:type="dxa"/>
            <w:vAlign w:val="bottom"/>
          </w:tcPr>
          <w:p>
            <w:pPr>
              <w:spacing w:after="0"/>
              <w:rPr>
                <w:sz w:val="16"/>
                <w:szCs w:val="16"/>
                <w:color w:val="auto"/>
              </w:rPr>
            </w:pPr>
          </w:p>
        </w:tc>
        <w:tc>
          <w:tcPr>
            <w:tcW w:w="2480" w:type="dxa"/>
            <w:vAlign w:val="bottom"/>
            <w:gridSpan w:val="2"/>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2023 to 2039</w:t>
            </w:r>
          </w:p>
        </w:tc>
        <w:tc>
          <w:tcPr>
            <w:tcW w:w="6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8,637</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9,341</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2.00% to 2.99%</w:t>
            </w:r>
          </w:p>
        </w:tc>
        <w:tc>
          <w:tcPr>
            <w:tcW w:w="4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2022 to 2057</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310,613</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312,751</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300" w:type="dxa"/>
            <w:vAlign w:val="bottom"/>
            <w:gridSpan w:val="2"/>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3.00% to 3.99%</w:t>
            </w:r>
          </w:p>
        </w:tc>
        <w:tc>
          <w:tcPr>
            <w:tcW w:w="40" w:type="dxa"/>
            <w:vAlign w:val="bottom"/>
          </w:tcPr>
          <w:p>
            <w:pPr>
              <w:spacing w:after="0"/>
              <w:rPr>
                <w:sz w:val="16"/>
                <w:szCs w:val="16"/>
                <w:color w:val="auto"/>
              </w:rPr>
            </w:pPr>
          </w:p>
        </w:tc>
        <w:tc>
          <w:tcPr>
            <w:tcW w:w="2480" w:type="dxa"/>
            <w:vAlign w:val="bottom"/>
            <w:gridSpan w:val="2"/>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2022 to 2056</w:t>
            </w:r>
          </w:p>
        </w:tc>
        <w:tc>
          <w:tcPr>
            <w:tcW w:w="6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1,353,168</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1,359,284</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4.00% to 4.99%</w:t>
            </w:r>
          </w:p>
        </w:tc>
        <w:tc>
          <w:tcPr>
            <w:tcW w:w="4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2023 to 2059</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1,281,330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1,286,024</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300" w:type="dxa"/>
            <w:vAlign w:val="bottom"/>
            <w:gridSpan w:val="2"/>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5.00% to 5.99%</w:t>
            </w:r>
          </w:p>
        </w:tc>
        <w:tc>
          <w:tcPr>
            <w:tcW w:w="40" w:type="dxa"/>
            <w:vAlign w:val="bottom"/>
          </w:tcPr>
          <w:p>
            <w:pPr>
              <w:spacing w:after="0"/>
              <w:rPr>
                <w:sz w:val="16"/>
                <w:szCs w:val="16"/>
                <w:color w:val="auto"/>
              </w:rPr>
            </w:pPr>
          </w:p>
        </w:tc>
        <w:tc>
          <w:tcPr>
            <w:tcW w:w="2480" w:type="dxa"/>
            <w:vAlign w:val="bottom"/>
            <w:gridSpan w:val="2"/>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2023 to 2052</w:t>
            </w:r>
          </w:p>
        </w:tc>
        <w:tc>
          <w:tcPr>
            <w:tcW w:w="6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15,402</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16,119</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6.00% to 6.99%</w:t>
            </w:r>
          </w:p>
        </w:tc>
        <w:tc>
          <w:tcPr>
            <w:tcW w:w="4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2022 to 2036</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32,388</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32,475</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300" w:type="dxa"/>
            <w:vAlign w:val="bottom"/>
            <w:gridSpan w:val="2"/>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7.00% to 7.99%</w:t>
            </w:r>
          </w:p>
        </w:tc>
        <w:tc>
          <w:tcPr>
            <w:tcW w:w="40" w:type="dxa"/>
            <w:vAlign w:val="bottom"/>
          </w:tcPr>
          <w:p>
            <w:pPr>
              <w:spacing w:after="0"/>
              <w:rPr>
                <w:sz w:val="16"/>
                <w:szCs w:val="16"/>
                <w:color w:val="auto"/>
              </w:rPr>
            </w:pPr>
          </w:p>
        </w:tc>
        <w:tc>
          <w:tcPr>
            <w:tcW w:w="2480" w:type="dxa"/>
            <w:vAlign w:val="bottom"/>
            <w:gridSpan w:val="2"/>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2022 to 2027</w:t>
            </w:r>
          </w:p>
        </w:tc>
        <w:tc>
          <w:tcPr>
            <w:tcW w:w="6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28,441</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28,980</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8.00% to 8.99%</w:t>
            </w:r>
          </w:p>
        </w:tc>
        <w:tc>
          <w:tcPr>
            <w:tcW w:w="4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2025 to 2025</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2,245</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2"/>
          </w:tcPr>
          <w:p>
            <w:pPr>
              <w:jc w:val="center"/>
              <w:ind w:right="1860"/>
              <w:spacing w:after="0" w:line="189" w:lineRule="exact"/>
              <w:rPr>
                <w:sz w:val="20"/>
                <w:szCs w:val="20"/>
                <w:color w:val="auto"/>
              </w:rPr>
            </w:pPr>
            <w:r>
              <w:rPr>
                <w:rFonts w:ascii="Times New Roman" w:cs="Times New Roman" w:eastAsia="Times New Roman" w:hAnsi="Times New Roman"/>
                <w:sz w:val="18"/>
                <w:szCs w:val="18"/>
                <w:color w:val="auto"/>
                <w:w w:val="99"/>
              </w:rPr>
              <w:t>9.00% to 9.99%</w:t>
            </w:r>
          </w:p>
        </w:tc>
        <w:tc>
          <w:tcPr>
            <w:tcW w:w="4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gridSpan w:val="2"/>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8"/>
              </w:rPr>
              <w:t>2026 to 2026</w:t>
            </w: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3,045,899</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3,061,887</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2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2023</w:t>
            </w: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260,000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Unsecured notes payable:</w:t>
            </w: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Amortizing notes at 3.00% due 2022</w:t>
            </w:r>
          </w:p>
        </w:tc>
        <w:tc>
          <w:tcPr>
            <w:tcW w:w="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20,470</w:t>
            </w:r>
          </w:p>
        </w:tc>
        <w:tc>
          <w:tcPr>
            <w:tcW w:w="0" w:type="dxa"/>
            <w:vAlign w:val="bottom"/>
          </w:tcPr>
          <w:p>
            <w:pPr>
              <w:spacing w:after="0"/>
              <w:rPr>
                <w:sz w:val="1"/>
                <w:szCs w:val="1"/>
                <w:color w:val="auto"/>
              </w:rPr>
            </w:pPr>
          </w:p>
        </w:tc>
      </w:tr>
      <w:tr>
        <w:trPr>
          <w:trHeight w:val="189"/>
        </w:trPr>
        <w:tc>
          <w:tcPr>
            <w:tcW w:w="454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2.40% due 2031</w:t>
            </w: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2.704% due 2030</w:t>
            </w:r>
          </w:p>
        </w:tc>
        <w:tc>
          <w:tcPr>
            <w:tcW w:w="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4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ranging from 3.01% to 3.59% due 2029 through 2050</w:t>
            </w: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4.28%, due 2049</w:t>
            </w:r>
          </w:p>
        </w:tc>
        <w:tc>
          <w:tcPr>
            <w:tcW w:w="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54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5.30%, due 2052</w:t>
            </w: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ranging from 5.64% to 5.95%, due 2022 through 2034</w:t>
            </w:r>
          </w:p>
        </w:tc>
        <w:tc>
          <w:tcPr>
            <w:tcW w:w="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w:t>
            </w:r>
          </w:p>
        </w:tc>
        <w:tc>
          <w:tcPr>
            <w:tcW w:w="2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183"/>
        </w:trPr>
        <w:tc>
          <w:tcPr>
            <w:tcW w:w="45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Total long-term debt</w:t>
            </w: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6,370,899</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5,947,357</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4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149,926</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132,146</w:t>
            </w:r>
          </w:p>
        </w:tc>
        <w:tc>
          <w:tcPr>
            <w:tcW w:w="0" w:type="dxa"/>
            <w:vAlign w:val="bottom"/>
          </w:tcPr>
          <w:p>
            <w:pPr>
              <w:spacing w:after="0"/>
              <w:rPr>
                <w:sz w:val="1"/>
                <w:szCs w:val="1"/>
                <w:color w:val="auto"/>
              </w:rPr>
            </w:pPr>
          </w:p>
        </w:tc>
      </w:tr>
      <w:tr>
        <w:trPr>
          <w:trHeight w:val="183"/>
        </w:trPr>
        <w:tc>
          <w:tcPr>
            <w:tcW w:w="454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6,220,973</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5,815,211</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debt issuance costs</w:t>
            </w:r>
          </w:p>
        </w:tc>
        <w:tc>
          <w:tcPr>
            <w:tcW w:w="4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47,345</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35,707</w:t>
            </w:r>
          </w:p>
        </w:tc>
        <w:tc>
          <w:tcPr>
            <w:tcW w:w="0" w:type="dxa"/>
            <w:vAlign w:val="bottom"/>
          </w:tcPr>
          <w:p>
            <w:pPr>
              <w:spacing w:after="0"/>
              <w:rPr>
                <w:sz w:val="1"/>
                <w:szCs w:val="1"/>
                <w:color w:val="auto"/>
              </w:rPr>
            </w:pPr>
          </w:p>
        </w:tc>
      </w:tr>
      <w:tr>
        <w:trPr>
          <w:trHeight w:val="183"/>
        </w:trPr>
        <w:tc>
          <w:tcPr>
            <w:tcW w:w="706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6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6,173,628</w:t>
            </w:r>
          </w:p>
        </w:tc>
        <w:tc>
          <w:tcPr>
            <w:tcW w:w="2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5,779,504</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capitalization</w:t>
            </w:r>
          </w:p>
        </w:tc>
        <w:tc>
          <w:tcPr>
            <w:tcW w:w="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11,516,730</w:t>
            </w: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10,963,954</w:t>
            </w:r>
          </w:p>
        </w:tc>
        <w:tc>
          <w:tcPr>
            <w:tcW w:w="0" w:type="dxa"/>
            <w:vAlign w:val="bottom"/>
          </w:tcPr>
          <w:p>
            <w:pPr>
              <w:spacing w:after="0"/>
              <w:rPr>
                <w:sz w:val="1"/>
                <w:szCs w:val="1"/>
                <w:color w:val="auto"/>
              </w:rPr>
            </w:pPr>
          </w:p>
        </w:tc>
      </w:tr>
      <w:tr>
        <w:trPr>
          <w:trHeight w:val="20"/>
        </w:trPr>
        <w:tc>
          <w:tcPr>
            <w:tcW w:w="70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60" w:type="dxa"/>
            <w:vAlign w:val="bottom"/>
            <w:gridSpan w:val="6"/>
            <w:vMerge w:val="continue"/>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CONSOLIDATED STATEMENTS OF EQUITY</w:t>
      </w:r>
    </w:p>
    <w:p>
      <w:pPr>
        <w:ind w:left="342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6"/>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2021</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128,050</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3,705,814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1,434,201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(83,615)</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5,184,450</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199,376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199,376</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2022 ($0.2682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(67,821)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(67,821)</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2022 ($0.2682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(67,863)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(67,863)</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(93,833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4,117</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(21,290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(1,012)</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(57,052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(28,516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1,012</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(136)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2,580</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261</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2022</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128,140</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3,713,560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1,497,757</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(84,357)</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5,255,100</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82,291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82,291</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2022 ($0.2682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(2,424)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(2,424)</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stock purchase contracts (9,029,461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4,515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(4,515)</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(92,889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4,054</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(305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(4,736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(6,462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227</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(182)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2,543</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256</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June 30, 2022</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132,707</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3,715,975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1,577,442</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(84,092)</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5,342,032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68,638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68,638</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September 1, 2022 ($0.2870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(75,246)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(75,246)</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(89,123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4,250</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(604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(6,555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(18,992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660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670</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(182)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2,520</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267</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September 30, 2022</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132,764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3,723,523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1,570,652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(83,837)</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5,343,102</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CONSOLIDATED STATEMENTS OF EQUITY</w:t>
      </w:r>
    </w:p>
    <w:p>
      <w:pPr>
        <w:ind w:left="342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124,285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3,379,057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1,261,862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(81,327)</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4,683,877</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183,689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183,689</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of March 1, 2021 ($0.2507 per share)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(61,520)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dividend reinvestment plan (98,904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stock (76,105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(3,262)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 (192,407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(20,201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19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124,441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3,386,376</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1,383,857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(84,333)</w:t>
            </w: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4,810,341</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Dividends of June 1, 2021 ($0.2507 per share)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(61,584)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(61,584)</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dividend reinvestment plan (90,654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stock (364 shares)</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 (4,874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(22,786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196"/>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124,500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3,393,372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1,403,041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(84,098)</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4,836,815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of September 1, 2021 ($0.2682 per share)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(67,758)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(67,758)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stock purchase contracts (127,749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dividend reinvestment plan (92,993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forward equity sale agreement (6,700,000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299,739</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stock (176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 (5,337 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(54,672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23"/>
        </w:trPr>
        <w:tc>
          <w:tcPr>
            <w:tcW w:w="642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Balance at September 30, 2021</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127,990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3,698,095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1,385,631</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(83,854)</w:t>
            </w: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5,127,862</w:t>
            </w:r>
          </w:p>
        </w:tc>
      </w:tr>
      <w:tr>
        <w:trPr>
          <w:trHeight w:val="170"/>
        </w:trPr>
        <w:tc>
          <w:tcPr>
            <w:tcW w:w="6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CONSOLIDATED STATEMENTS OF CASH FLOW</w:t>
      </w:r>
    </w:p>
    <w:p>
      <w:pPr>
        <w:ind w:left="454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2022</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69"/>
        </w:trPr>
        <w:tc>
          <w:tcPr>
            <w:tcW w:w="8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350,305</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315,106</w:t>
            </w:r>
          </w:p>
        </w:tc>
        <w:tc>
          <w:tcPr>
            <w:tcW w:w="0" w:type="dxa"/>
            <w:vAlign w:val="bottom"/>
          </w:tcPr>
          <w:p>
            <w:pPr>
              <w:spacing w:after="0"/>
              <w:rPr>
                <w:sz w:val="1"/>
                <w:szCs w:val="1"/>
                <w:color w:val="auto"/>
              </w:rPr>
            </w:pPr>
          </w:p>
        </w:tc>
      </w:tr>
      <w:tr>
        <w:trPr>
          <w:trHeight w:val="176"/>
        </w:trPr>
        <w:tc>
          <w:tcPr>
            <w:tcW w:w="82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240,252</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221,623</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(12,794)</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12,645</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18,519</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21,220</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8,164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7,343</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Gain on sale of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(777)</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receivables, inventory and prepayments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(116,804)</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(20,488)</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65,845</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16,181</w:t>
            </w:r>
          </w:p>
        </w:tc>
        <w:tc>
          <w:tcPr>
            <w:tcW w:w="0" w:type="dxa"/>
            <w:vAlign w:val="bottom"/>
          </w:tcPr>
          <w:p>
            <w:pPr>
              <w:spacing w:after="0"/>
              <w:rPr>
                <w:sz w:val="1"/>
                <w:szCs w:val="1"/>
                <w:color w:val="auto"/>
              </w:rPr>
            </w:pPr>
          </w:p>
        </w:tc>
      </w:tr>
      <w:tr>
        <w:trPr>
          <w:trHeight w:val="175"/>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(20,390)</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(13,161)</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4,539</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519,159</w:t>
            </w:r>
          </w:p>
        </w:tc>
        <w:tc>
          <w:tcPr>
            <w:tcW w:w="1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561,852</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8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 construction of</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$4,527 and $2,885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(719,688)</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(675,845)</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(104,383)</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(36,325)</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from the sale of other assets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797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205</w:t>
            </w:r>
          </w:p>
        </w:tc>
        <w:tc>
          <w:tcPr>
            <w:tcW w:w="1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(823,069)</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(710,870)</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10,732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12,473</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(1,726)</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(3,091)</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(repayments) of short-term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148,235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(31,616)</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long-term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944,882</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795,153</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long-term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(521,792)</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(717,816)</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(64,326)</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(23,255)</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12,421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12,597</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from forward equity sale agreement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299,739</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1,909</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3,293</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(1,056)</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(3,287)</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(213,354)</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(190,862)</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784</w:t>
            </w:r>
          </w:p>
        </w:tc>
        <w:tc>
          <w:tcPr>
            <w:tcW w:w="1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financing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316,709</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153,927</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12,799</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10,567</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23,366</w:t>
            </w:r>
          </w:p>
        </w:tc>
        <w:tc>
          <w:tcPr>
            <w:tcW w:w="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9,736</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97,777</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78,727</w:t>
            </w:r>
          </w:p>
        </w:tc>
        <w:tc>
          <w:tcPr>
            <w:tcW w:w="0" w:type="dxa"/>
            <w:vAlign w:val="bottom"/>
          </w:tcPr>
          <w:p>
            <w:pPr>
              <w:spacing w:after="0"/>
              <w:rPr>
                <w:sz w:val="1"/>
                <w:szCs w:val="1"/>
                <w:color w:val="auto"/>
              </w:rPr>
            </w:pPr>
          </w:p>
        </w:tc>
      </w:tr>
      <w:tr>
        <w:trPr>
          <w:trHeight w:val="21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customer advances and contributions in aid of construction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30,075</w:t>
            </w: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jc w:val="center"/>
        <w:ind w:right="-99"/>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w:t>
      </w:r>
    </w:p>
    <w:p>
      <w:pPr>
        <w:jc w:val="center"/>
        <w:ind w:right="-9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99"/>
        <w:spacing w:after="0"/>
        <w:rPr>
          <w:sz w:val="20"/>
          <w:szCs w:val="20"/>
          <w:color w:val="auto"/>
        </w:rPr>
      </w:pPr>
      <w:r>
        <w:rPr>
          <w:rFonts w:ascii="Times New Roman" w:cs="Times New Roman" w:eastAsia="Times New Roman" w:hAnsi="Times New Roman"/>
          <w:sz w:val="22"/>
          <w:szCs w:val="22"/>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99"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The accompanying unaudited consolidated balance sheets and statements of capitalization of Essential Utilities, Inc. and subsidiaries (collectively, the “Company”, “we”, “us” or “our”) at September 30, 2022, the unaudited consolidated statements of operations and comprehensive income for the three and nine months ended September 30, 2022 and 2021, and the consolidated statements of cash flows and of equity for the nine months ended September 30, 2022 and 2021,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2021. Interim results are not necessarily indicative of results for a full year. In the opinion of management, all adjustments, consisting of only recurring accruals, which are necessary to present a fair statement of its consolidated balance sheets, consolidated statements of equity, consolidated statements of operations and comprehensive income, and consolidated cash flow for the periods presented, have been made.</w:t>
      </w:r>
    </w:p>
    <w:p>
      <w:pPr>
        <w:spacing w:after="0" w:line="17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9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2"/>
          <w:szCs w:val="22"/>
          <w:color w:val="auto"/>
        </w:rPr>
        <w:t>In the preparation of these financial statements and related disclosures, we have assessed the impact that the ongoing COVID-19 pandemic and the global geopolitical uncertainties (“major events”) have had on our estimates, assumptions, forecasts, and accounting policies. Because of the essential nature of our business, we do not believe these major events had a material impact on our estimates, assumptions and forecasts used in the preparation of our financial statements, although we continue to monitor this closely. As these major events are continuing to evolve, future events and effects related to these major events cannot be determined with precision, and actual results could significantly differ from our estimates or forecasts.</w:t>
      </w:r>
    </w:p>
    <w:p>
      <w:pPr>
        <w:spacing w:after="0" w:line="17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2021.</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September 30, 2022</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color w:val="auto"/>
              </w:rPr>
              <w:t>September 30, 2021</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Wastewater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1"/>
                <w:szCs w:val="11"/>
                <w:color w:val="auto"/>
              </w:rPr>
            </w:pPr>
          </w:p>
        </w:tc>
        <w:tc>
          <w:tcPr>
            <w:tcW w:w="11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tcPr>
          <w:p>
            <w:pPr>
              <w:spacing w:after="0"/>
              <w:rPr>
                <w:sz w:val="11"/>
                <w:szCs w:val="11"/>
                <w:color w:val="auto"/>
              </w:rPr>
            </w:pPr>
          </w:p>
        </w:tc>
        <w:tc>
          <w:tcPr>
            <w:tcW w:w="980" w:type="dxa"/>
            <w:vAlign w:val="bottom"/>
            <w:gridSpan w:val="2"/>
          </w:tcPr>
          <w:p>
            <w:pPr>
              <w:jc w:val="right"/>
              <w:ind w:right="48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9"/>
              </w:rPr>
              <w:t>Wastewater</w:t>
            </w:r>
          </w:p>
        </w:tc>
        <w:tc>
          <w:tcPr>
            <w:tcW w:w="80" w:type="dxa"/>
            <w:vAlign w:val="bottom"/>
          </w:tcPr>
          <w:p>
            <w:pPr>
              <w:spacing w:after="0"/>
              <w:rPr>
                <w:sz w:val="11"/>
                <w:szCs w:val="11"/>
                <w:color w:val="auto"/>
              </w:rPr>
            </w:pPr>
          </w:p>
        </w:tc>
        <w:tc>
          <w:tcPr>
            <w:tcW w:w="9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2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9"/>
              </w:rPr>
              <w:t>Revenues</w:t>
            </w:r>
          </w:p>
        </w:tc>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173,798</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32,806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65,631</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148,247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25,147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49,838</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49,026</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15,180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42,318</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9,534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9,934</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8,866</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9,291</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8,217</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26,824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27,794</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11,920</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14,539</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11,096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2,362</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7,488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156"/>
        </w:trPr>
        <w:tc>
          <w:tcPr>
            <w:tcW w:w="27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253,969</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44,216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119,721</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2,362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222,187</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33,882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95,069</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13,076</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w:t>
            </w:r>
          </w:p>
        </w:tc>
        <w:tc>
          <w:tcPr>
            <w:tcW w:w="0" w:type="dxa"/>
            <w:vAlign w:val="bottom"/>
          </w:tcPr>
          <w:p>
            <w:pPr>
              <w:spacing w:after="0"/>
              <w:rPr>
                <w:sz w:val="1"/>
                <w:szCs w:val="1"/>
                <w:color w:val="auto"/>
              </w:rPr>
            </w:pPr>
          </w:p>
        </w:tc>
      </w:tr>
      <w:tr>
        <w:trPr>
          <w:trHeight w:val="155"/>
        </w:trPr>
        <w:tc>
          <w:tcPr>
            <w:tcW w:w="27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255,183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44,276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119,721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15,438</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222,714</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33,904</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95,069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10,173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Nine Months Ended</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color w:val="auto"/>
              </w:rPr>
              <w:t>Nine Months Ended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September 30, 2022</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color w:val="auto"/>
              </w:rPr>
              <w:t>September 30, 2021</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Wastewater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1"/>
                <w:szCs w:val="11"/>
                <w:color w:val="auto"/>
              </w:rPr>
            </w:pPr>
          </w:p>
        </w:tc>
        <w:tc>
          <w:tcPr>
            <w:tcW w:w="11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tcPr>
          <w:p>
            <w:pPr>
              <w:spacing w:after="0"/>
              <w:rPr>
                <w:sz w:val="11"/>
                <w:szCs w:val="11"/>
                <w:color w:val="auto"/>
              </w:rPr>
            </w:pPr>
          </w:p>
        </w:tc>
        <w:tc>
          <w:tcPr>
            <w:tcW w:w="980" w:type="dxa"/>
            <w:vAlign w:val="bottom"/>
            <w:gridSpan w:val="2"/>
          </w:tcPr>
          <w:p>
            <w:pPr>
              <w:jc w:val="right"/>
              <w:ind w:right="48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9"/>
              </w:rPr>
              <w:t>Wastewater</w:t>
            </w:r>
          </w:p>
        </w:tc>
        <w:tc>
          <w:tcPr>
            <w:tcW w:w="80" w:type="dxa"/>
            <w:vAlign w:val="bottom"/>
          </w:tcPr>
          <w:p>
            <w:pPr>
              <w:spacing w:after="0"/>
              <w:rPr>
                <w:sz w:val="11"/>
                <w:szCs w:val="11"/>
                <w:color w:val="auto"/>
              </w:rPr>
            </w:pPr>
          </w:p>
        </w:tc>
        <w:tc>
          <w:tcPr>
            <w:tcW w:w="9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2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9"/>
              </w:rPr>
              <w:t>Revenues</w:t>
            </w:r>
          </w:p>
        </w:tc>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454,628</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89,954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446,679</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425,519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73,820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347,790</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125,171</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21,807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91,073</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113,473</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16,102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65,404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28,674</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26,830</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24,076</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3,789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22,954</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1,894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146,571</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143,387</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45,170</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37,696</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6,808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46,162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8,602</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22,639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0" w:type="dxa"/>
            <w:vAlign w:val="bottom"/>
          </w:tcPr>
          <w:p>
            <w:pPr>
              <w:spacing w:after="0"/>
              <w:rPr>
                <w:sz w:val="1"/>
                <w:szCs w:val="1"/>
                <w:color w:val="auto"/>
              </w:rPr>
            </w:pPr>
          </w:p>
        </w:tc>
      </w:tr>
      <w:tr>
        <w:trPr>
          <w:trHeight w:val="155"/>
        </w:trPr>
        <w:tc>
          <w:tcPr>
            <w:tcW w:w="27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677,719</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121,183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734,274</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8,602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626,472</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97,986</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581,114</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10,556</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2,393</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38,606</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24,748</w:t>
            </w:r>
          </w:p>
        </w:tc>
        <w:tc>
          <w:tcPr>
            <w:tcW w:w="0" w:type="dxa"/>
            <w:vAlign w:val="bottom"/>
          </w:tcPr>
          <w:p>
            <w:pPr>
              <w:spacing w:after="0"/>
              <w:rPr>
                <w:sz w:val="1"/>
                <w:szCs w:val="1"/>
                <w:color w:val="auto"/>
              </w:rPr>
            </w:pPr>
          </w:p>
        </w:tc>
      </w:tr>
      <w:tr>
        <w:trPr>
          <w:trHeight w:val="155"/>
        </w:trPr>
        <w:tc>
          <w:tcPr>
            <w:tcW w:w="27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680,112</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121,055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734,274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47,208</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627,829</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98,004</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581,320</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35,304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Completed</w:t>
      </w:r>
    </w:p>
    <w:p>
      <w:pPr>
        <w:spacing w:after="0" w:line="226" w:lineRule="exact"/>
        <w:rPr>
          <w:sz w:val="20"/>
          <w:szCs w:val="20"/>
          <w:color w:val="auto"/>
        </w:rPr>
      </w:pPr>
    </w:p>
    <w:p>
      <w:pPr>
        <w:ind w:right="1000"/>
        <w:spacing w:after="0" w:line="245" w:lineRule="auto"/>
        <w:rPr>
          <w:sz w:val="20"/>
          <w:szCs w:val="20"/>
          <w:color w:val="auto"/>
        </w:rPr>
      </w:pPr>
      <w:r>
        <w:rPr>
          <w:rFonts w:ascii="Times New Roman" w:cs="Times New Roman" w:eastAsia="Times New Roman" w:hAnsi="Times New Roman"/>
          <w:sz w:val="22"/>
          <w:szCs w:val="22"/>
          <w:color w:val="auto"/>
        </w:rPr>
        <w:t>In August 2022, the Company acquired the municipal wastewater assets of East Whiteland Township, Chester County, Pennsylvania, which serves approximately 3,895 customers, for a cash purchase price of $54,374.</w:t>
      </w:r>
    </w:p>
    <w:p>
      <w:pPr>
        <w:spacing w:after="0" w:line="186"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In March 2022, the Company acquired the wastewater system of Lower Makefield Township, which serves approximately 11,000 customer connections in Lower Makefield, Falls and Middletown townships, and Yardley Borough, Bucks County, Pennsylvania, for a cash purchase price of $53,000.</w:t>
      </w:r>
    </w:p>
    <w:p>
      <w:pPr>
        <w:spacing w:after="0" w:line="192"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22"/>
          <w:szCs w:val="22"/>
          <w:color w:val="auto"/>
        </w:rPr>
        <w:t>In August 2021, the Company acquired the water utility system assets of The Commons Water Supply, Inc., which serves 992 customers in Harris County, Texas, and the wastewater utility system assets of</w:t>
      </w: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the Village of Bourbonnais, which serves approximately 6,500 customers in Kankakee County, Illinois. The total cash purchase prices for these utility systems were $4,000 and $32,100,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purchase price allocation for these acquisitions consisted primarily of acquired property, plant and equipment.</w:t>
      </w:r>
    </w:p>
    <w:p>
      <w:pPr>
        <w:spacing w:after="0" w:line="22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color w:val="auto"/>
        </w:rPr>
        <w:t>The pro forma effect of the utility systems acquired is not material either individually or collectively to the Company’s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Pending Completion</w:t>
      </w:r>
    </w:p>
    <w:p>
      <w:pPr>
        <w:spacing w:after="0" w:line="2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August 2022, the Company entered into a purchase agreement to acquire a portion of the water and wastewater utility assets of the Village of Frankfort, an Illinois municipality, which serves approximately 1,422 customers for $1,400.</w:t>
      </w:r>
    </w:p>
    <w:p>
      <w:pPr>
        <w:spacing w:after="0" w:line="104"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2"/>
          <w:szCs w:val="22"/>
          <w:color w:val="auto"/>
        </w:rPr>
        <w:t>In July 2022, the Company’s subsidiary, Aqua Pennsylvania Wastewater, was granted a one-year exclusivity agreement by the board of the Bucks County Water and Sewer Authority (“BCWSA”) regarding the sale of the county’s wastewater assets. Aqua Pennsylvania Wastewater made an offer to purchase the BCWSA’s wastewater assets for a purchase price of $885,000 plus adjustments for additional utility assets acquired by BCWSA, and capital expenditures prior to closing. In September 2022, the BCWSA board voted to cease discussions on the sale of its wastewater assets.</w:t>
      </w:r>
    </w:p>
    <w:p>
      <w:pPr>
        <w:spacing w:after="0" w:line="17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In December 2021, the Company entered into a purchase agreement to acquire the water utility assets of the Southern Oaks Water System, which serves approximately 740 customers for $3,300. In October 2021, the Company entered into a purchase agreement to acquire the wastewater utility assets of the City of Beaver Falls, Pennsylvania which consists of approximately 7,600 customers for $41,250. In July 2021, the Company entered into a purchase agreement to acquire the water utility assets of Shenandoah Borough, Pennsylvania which consists of approximately 2,930 customers for $12,000. In April 2021, the Company entered into a purchase agreement to acquire certain water or wastewater utility assets of Oak Brook, Illinois which consists of approximately 4,000 customers for $12,500. In January 2021, the Company entered into a purchase agreement to acquire the wastewater utility system assets of Willistown Township, Pennsylvania, which consist of approximately 2,300 customers, for $17,500.</w:t>
      </w:r>
    </w:p>
    <w:p>
      <w:pPr>
        <w:spacing w:after="0" w:line="196"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 closing of our Oak Brook acquisition is expected to occur during the fourth quarter of 2022, and the rest of the pending acquisitions are expected to close in 2023. Closing for our utility acquisitions are subject to the timing of the respective regulatory approval processes.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DELCORA Purchase Agreement</w:t>
      </w:r>
    </w:p>
    <w:p>
      <w:pPr>
        <w:spacing w:after="0" w:line="210"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2"/>
          <w:szCs w:val="22"/>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22"/>
          <w:szCs w:val="22"/>
          <w:color w:val="auto"/>
        </w:rPr>
        <w:t>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the establishment of the customer trust was valid. Delaware County appealed this decision to Commonwealth Court of Pennsylvania. On March 3, 2022, the Commonwealth Court issued a decision finding that Delaware County can dissolve the Authority if it so chooses, but the purchase agreement must be upheld regardless of who is operating the system. The case was remanded back to the trial court for the entry of an order consistent with the Commonwealth Court’s opinion. On November 2, 2022, the Delaware County Court of Common Pleas denied Delaware County’s Application for Determination of Finality and indicated that its previous order already constituted a final order that addressed the claims of all parties.</w:t>
      </w:r>
    </w:p>
    <w:p>
      <w:pPr>
        <w:spacing w:after="0" w:line="19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The administrative law judges in the regulatory approval process recommended that the Company’s application be denied, and subsequently, the Company provided exceptions to the recommended decision. On March 30, 2021, the Pennsylvania Public Utility Commission (“PUC”) ruled that the case be remanded back to the Office of Administrative Law Judge (“ALJ”) and vacated the original administrative law judges’ recommended decision (“2021 Order”). This 2021 Order was also appealed to the Commonwealth Court by Delaware County, and a decision is expected in the next several months.</w:t>
      </w:r>
    </w:p>
    <w:p>
      <w:pPr>
        <w:spacing w:after="0" w:line="17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2"/>
          <w:szCs w:val="22"/>
          <w:color w:val="auto"/>
        </w:rPr>
        <w:t>After the PUC issued the 2021 Order, on April 16, 2021, the administrative law judge issued an order staying the proceeding until the Delaware County Court lawsuit is final and unappealable. On March 25, 2022, the Company sent a letter notifying the PUC of the March 3, 2022 Commonwealth Court decision and requested that the PUC move forward with processing the application. Several parties responded to the Company’s letter and referenced the issues in the second appeal before Commonwealth Court regarding the 2021 Order. On July 14, 2022, the Commission moved to lift the stay imposed by the ALJ, and required the ALJ to establish a schedule on remand for the proceeding. The published procedural schedule has the proceeding concluding in June 2023.</w:t>
      </w:r>
    </w:p>
    <w:p>
      <w:pPr>
        <w:spacing w:after="0" w:line="194"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2"/>
          <w:szCs w:val="22"/>
          <w:color w:val="auto"/>
        </w:rPr>
        <w:t>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of our acquisition of DELCORA is expected to occur in 2023, subject to the timing of the regulatory approval process and Delaware County’s on-going litigation.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 </w:t>
      </w:r>
      <w:r>
        <w:rPr>
          <w:rFonts w:ascii="Times New Roman" w:cs="Times New Roman" w:eastAsia="Times New Roman" w:hAnsi="Times New Roman"/>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Regulated Natural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548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Regulated Water</w:t>
            </w:r>
          </w:p>
        </w:tc>
        <w:tc>
          <w:tcPr>
            <w:tcW w:w="340" w:type="dxa"/>
            <w:vAlign w:val="bottom"/>
          </w:tcPr>
          <w:p>
            <w:pPr>
              <w:spacing w:after="0"/>
              <w:rPr>
                <w:sz w:val="20"/>
                <w:szCs w:val="20"/>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Gas</w:t>
            </w: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Consolidated</w:t>
            </w:r>
          </w:p>
        </w:tc>
      </w:tr>
      <w:tr>
        <w:trPr>
          <w:trHeight w:val="183"/>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2021</w:t>
            </w:r>
          </w:p>
        </w:tc>
        <w:tc>
          <w:tcPr>
            <w:tcW w:w="420" w:type="dxa"/>
            <w:vAlign w:val="bottom"/>
            <w:tcBorders>
              <w:top w:val="single" w:sz="8" w:color="auto"/>
            </w:tcBorders>
            <w:shd w:val="clear" w:color="auto" w:fill="CCEEFF"/>
          </w:tcPr>
          <w:p>
            <w:pPr>
              <w:jc w:val="right"/>
              <w:ind w:right="25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58,527</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2,340,815</w:t>
            </w:r>
          </w:p>
        </w:tc>
      </w:tr>
      <w:tr>
        <w:trPr>
          <w:trHeight w:val="189"/>
        </w:trPr>
        <w:tc>
          <w:tcPr>
            <w:tcW w:w="54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Reclassification to utility plant acquisition adjustment</w:t>
            </w:r>
          </w:p>
        </w:tc>
        <w:tc>
          <w:tcPr>
            <w:tcW w:w="420" w:type="dxa"/>
            <w:vAlign w:val="bottom"/>
          </w:tcPr>
          <w:p>
            <w:pPr>
              <w:spacing w:after="0"/>
              <w:rPr>
                <w:sz w:val="16"/>
                <w:szCs w:val="16"/>
                <w:color w:val="auto"/>
              </w:rPr>
            </w:pPr>
          </w:p>
        </w:tc>
        <w:tc>
          <w:tcPr>
            <w:tcW w:w="11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r>
      <w:tr>
        <w:trPr>
          <w:trHeight w:val="183"/>
        </w:trPr>
        <w:tc>
          <w:tcPr>
            <w:tcW w:w="54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September 30, 2022</w:t>
            </w:r>
          </w:p>
        </w:tc>
        <w:tc>
          <w:tcPr>
            <w:tcW w:w="420" w:type="dxa"/>
            <w:vAlign w:val="bottom"/>
            <w:tcBorders>
              <w:top w:val="single" w:sz="8" w:color="auto"/>
              <w:bottom w:val="single" w:sz="8" w:color="auto"/>
            </w:tcBorders>
            <w:shd w:val="clear" w:color="auto" w:fill="CCEEFF"/>
          </w:tcPr>
          <w:p>
            <w:pPr>
              <w:jc w:val="right"/>
              <w:ind w:right="25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58,504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2,340,792</w:t>
            </w:r>
          </w:p>
        </w:tc>
      </w:tr>
      <w:tr>
        <w:trPr>
          <w:trHeight w:val="20"/>
        </w:trPr>
        <w:tc>
          <w:tcPr>
            <w:tcW w:w="5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spacing w:after="0" w:line="238" w:lineRule="auto"/>
        <w:rPr>
          <w:sz w:val="20"/>
          <w:szCs w:val="20"/>
          <w:color w:val="auto"/>
        </w:rPr>
      </w:pPr>
      <w:r>
        <w:rPr>
          <w:rFonts w:ascii="Times New Roman" w:cs="Times New Roman" w:eastAsia="Times New Roman" w:hAnsi="Times New Roman"/>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79"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As of July 31, 2022, the Company performed a qualitative assessment for its annual test of the goodwill attributable for each of its reporting units for impairment. The qualitative factors we consider include, in part, the general macroeconomic environment, industry and market specific conditions for each reporting unit, financial performance including actual versus planned results, operating costs and cost impacts, as well as issues or events specific to the reporting unit. The results of the qualitative analysis indicated that it was more-likely-than-not that the fair value of each of our reporting units exceeded their carrying value and that none of the Company’s goodwill was impaired.</w:t>
      </w:r>
    </w:p>
    <w:p>
      <w:pPr>
        <w:spacing w:after="0" w:line="192"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2"/>
          <w:szCs w:val="22"/>
          <w:color w:val="auto"/>
        </w:rPr>
        <w:t>The estimated fair value of each reporting unit is derived from valuation techniques that require significant judgment and estimates. Adverse regulatory actions or changes in significant assumptions, including discount and growth rates, utility sector market performance and comparable transaction multiples, and projected operating and capital cash flows, could potentially result in future impairments.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Capitalization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w:t>
      </w:r>
    </w:p>
    <w:p>
      <w:pPr>
        <w:spacing w:after="0" w:line="226"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22"/>
          <w:szCs w:val="22"/>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the date of this report, the Company has not sold any shares under the ATM.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 Equity Sale</w:t>
      </w:r>
    </w:p>
    <w:p>
      <w:pPr>
        <w:spacing w:after="0" w:line="21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22"/>
          <w:szCs w:val="22"/>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did not receive any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7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proceeds from the sale of its common stock by the forward purchaser until settlement of the shares underlying the forward equity sale agreement. The actual proceeds to be received by the Company would have varied depending upon the settlement date, the number of shares designated for settlement on that settlement date, and the method of settlement. The forward equity sale agreement was accounted for as an equity instrument and was recorded at a fair value of $0 at inception. The fair value was not adjusted as the Company continued to meet the accounting requirements for equity instruments.</w:t>
      </w:r>
    </w:p>
    <w:p>
      <w:pPr>
        <w:spacing w:after="0" w:line="178"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1"/>
          <w:szCs w:val="21"/>
          <w:color w:val="auto"/>
        </w:rPr>
        <w:t>On August 9, 2021, the Company settled the forward equity sale agreement in full by physical share settlement. The Company issued 6,700,000 shares and received cash proceeds of $299,739 at a forward price of $44.74 per share. Pursuant to the agreement, the forward price was computed based upon the initial forward price of $46.00 per share, adjusted for a floating interest rate factor equal to a specified daily rate less a spread and scheduled dividends during the term of the agreement. The Company used the proceeds received upon settlement of the forward equity sale agreement to fund general corporate purposes, including for water and wastewater utility acquisitions, working capital and capital expenditures. The forward equity sale agreement has now been completely settled, and there are no additional shares subject to the forward equity sale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Tangible Equity Units</w:t>
      </w:r>
    </w:p>
    <w:p>
      <w:pPr>
        <w:spacing w:after="0" w:line="226"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2"/>
          <w:szCs w:val="22"/>
          <w:color w:val="auto"/>
        </w:rPr>
        <w:t>On April 23, 2019, the Company issued $690,000, less expenses of $16,358, of its tangible equity units (the “Units”), with a stated amount of $50.00 per unit. This issuance was part of the permanent financing to close the Peoples Gas Acquisition. Each Unit consisted of a prepaid stock purchase contract and an amortizing note, each issued by the Company. The amortizing notes had an initial principal amount of $8.62909, or $119,081 in aggregate, and yielded interest at a rate of 3.00% per year, and paid equal quarterly per unit cash installments of $0.75 per amortizing note (except for the July 30, 2019 installment payment, which was $0.80833 per amortizing note), that constituted a payment of interest and a partial repayment of principal. This cash payment in the aggregate was equivalent to 6.00% per year with respect to each $50.00 stated amount of the Units. The amortizing notes represented unsecured senior obligations of the Company.</w:t>
      </w:r>
    </w:p>
    <w:p>
      <w:pPr>
        <w:spacing w:after="0" w:line="17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Certain holders of the tangible equity units had early settled their prepaid stock purchase contracts prior to the due date, and, in exchange, the Company issued shares of its common stock. During April 2022, 981,919 stock purchase contracts were early settled by the holders of the contracts, resulting in the issuance of 1,166,107 shares of the Company’s common stock. On May 2, 2022, the remaining 6,621,315 stock purchase contracts were each mandatorily settled for 1.18758 shares of the Company’s common stock, and in the aggregate the Company issued 7,863,354 shares of its common stock. Additionally, the final quarterly installment payment was made, which resulted in the complete pay-off of the amortizing notes.</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Debt and Loans Payable</w:t>
      </w:r>
    </w:p>
    <w:p>
      <w:pPr>
        <w:spacing w:after="0" w:line="212"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October 2022, Aqua Pennsylvania issued $125,000 of first mortgage bonds due in 2052 with interest rates of 4.50%. The proceeds from these bonds were used to repay existing indebtedness and for general corporate purposes.</w:t>
      </w:r>
    </w:p>
    <w:p>
      <w:pPr>
        <w:spacing w:after="0" w:line="15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2"/>
          <w:szCs w:val="22"/>
          <w:color w:val="auto"/>
        </w:rPr>
        <w:t>On May 20, 2022, the Company issued $500,000 of long-term debt (the “Senior Notes”), less expenses of $5,815, due in 2052 with an interest rate of 5.30%. The Company used the net proceeds from the issuance of Senior Notes to (1) to repay $49,700 of borrowings under the Aqua Pennsylvania’s 364-day revolving credit facility and $410,000 of borrowings under the Company’s existing five year unsecured revolving credit facility, and (2) for general corporate purposes.</w:t>
      </w:r>
    </w:p>
    <w:p>
      <w:pPr>
        <w:spacing w:after="0" w:line="192" w:lineRule="exact"/>
        <w:rPr>
          <w:sz w:val="20"/>
          <w:szCs w:val="20"/>
          <w:color w:val="auto"/>
        </w:rPr>
      </w:pPr>
    </w:p>
    <w:p>
      <w:pPr>
        <w:ind w:right="420"/>
        <w:spacing w:after="0" w:line="230" w:lineRule="auto"/>
        <w:rPr>
          <w:sz w:val="20"/>
          <w:szCs w:val="20"/>
          <w:color w:val="auto"/>
        </w:rPr>
      </w:pPr>
      <w:r>
        <w:rPr>
          <w:rFonts w:ascii="Times New Roman" w:cs="Times New Roman" w:eastAsia="Times New Roman" w:hAnsi="Times New Roman"/>
          <w:sz w:val="22"/>
          <w:szCs w:val="22"/>
          <w:color w:val="auto"/>
        </w:rPr>
        <w:t>On June 30, 2022, the following debt amendments were executed: (1) Peoples Natural Gas Companies amended its 364-day revolving credit agreement primarily to increase the amount of the facility from $100,000 to $300,000 and to update the termination date of the facility to June 29, 2023, and (2) Aqua Pennsylvania amended its 364-day revolving credit agreement primarily to update the termination date of the facility to June 29, 2023 to coincide with the term of the Peoples Natural Gas Companies’ facility.</w:t>
      </w:r>
    </w:p>
    <w:p>
      <w:pPr>
        <w:spacing w:after="0" w:line="178"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2"/>
          <w:szCs w:val="22"/>
          <w:color w:val="auto"/>
        </w:rPr>
        <w:t>On April 15, 2021, the Company’s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the Aqua Pennsylvania revolving credit facility, and the balance was used to repay in full the borrowings under its existing five year unsecured revolving credit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Financial Instruments</w:t>
      </w:r>
    </w:p>
    <w:p>
      <w:pPr>
        <w:spacing w:after="0" w:line="226" w:lineRule="exact"/>
        <w:rPr>
          <w:sz w:val="20"/>
          <w:szCs w:val="20"/>
          <w:color w:val="auto"/>
        </w:rPr>
      </w:pPr>
    </w:p>
    <w:p>
      <w:pPr>
        <w:ind w:right="420"/>
        <w:spacing w:after="0" w:line="241" w:lineRule="auto"/>
        <w:rPr>
          <w:sz w:val="20"/>
          <w:szCs w:val="20"/>
          <w:color w:val="auto"/>
        </w:rPr>
      </w:pPr>
      <w:r>
        <w:rPr>
          <w:rFonts w:ascii="Times New Roman" w:cs="Times New Roman" w:eastAsia="Times New Roman" w:hAnsi="Times New Roman"/>
          <w:sz w:val="21"/>
          <w:szCs w:val="21"/>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three and nine months ended September 30, 2022 and 2021.</w:t>
      </w:r>
    </w:p>
    <w:p>
      <w:pPr>
        <w:spacing w:after="0" w:line="19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September 30, 2022 and December 31, 2021, the carrying amount of the Company’s loans payable was $213,235 and $65,000, respectively, which equates to their estimated fair value. The fair value of cash and cash equivalents, is determined based on Level 1 methods and assumptions. As of September 30, 2022 and December 31, 2021, the carrying amounts of the Company's cash and cash equivalents was $23,366 and $10,567,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September 30, 2022 and December 31, 2021,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the carrying amount of these securities was $24,717 and $28,576, respectively, which equates to their fair value, and is reported in the consolidated balance sheet in deferred charges and other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 and losses on equity securities held in conjunction with our non-qualified pension plan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1"/>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September 30,</w:t>
            </w:r>
          </w:p>
        </w:tc>
      </w:tr>
      <w:tr>
        <w:trPr>
          <w:trHeight w:val="183"/>
        </w:trPr>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2021</w:t>
            </w:r>
          </w:p>
        </w:tc>
      </w:tr>
      <w:tr>
        <w:trPr>
          <w:trHeight w:val="183"/>
        </w:trPr>
        <w:tc>
          <w:tcPr>
            <w:tcW w:w="6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gain (loss) recognized during the period on equity securities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695</w:t>
            </w:r>
          </w:p>
        </w:tc>
      </w:tr>
      <w:tr>
        <w:trPr>
          <w:trHeight w:val="189"/>
        </w:trPr>
        <w:tc>
          <w:tcPr>
            <w:tcW w:w="6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net gain / loss recognized during the period on equity securities sold during the period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37"/>
        </w:trPr>
        <w:tc>
          <w:tcPr>
            <w:tcW w:w="68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5"/>
                <w:szCs w:val="15"/>
                <w:color w:val="auto"/>
              </w:rPr>
              <w:t>Unrealized gain (loss) recognized during the reporting period on equity securities still held at</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r>
      <w:tr>
        <w:trPr>
          <w:trHeight w:val="22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reporting date</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net gain (loss) recognized on equity securities is presented on the consolidated statements of operations and comprehensive income on the line item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5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September 30,</w:t>
            </w: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50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47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22"/>
                <w:szCs w:val="22"/>
                <w:color w:val="auto"/>
              </w:rPr>
              <w:t>2022</w:t>
            </w: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2021</w:t>
            </w:r>
          </w:p>
        </w:tc>
      </w:tr>
      <w:tr>
        <w:trPr>
          <w:trHeight w:val="223"/>
        </w:trPr>
        <w:tc>
          <w:tcPr>
            <w:tcW w:w="4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Carrying amount</w:t>
            </w: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6,370,899</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5,947,357</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5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5,268,656</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6,482,499</w:t>
            </w:r>
          </w:p>
        </w:tc>
      </w:tr>
    </w:tbl>
    <w:p>
      <w:pPr>
        <w:spacing w:after="0" w:line="17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6"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The Company’s customers’ advances for construction have a carrying value of $121,247 as of September 30, 2022, and $103,619 as of December 31, 2021. Their relative fair values cannot be accurately estimated because future refund payments depend on several variables, including new customer connections, customer consumption levels, and future rates. Portions of these non-interest-bearing instruments are payable annually through 2032, and amounts not paid by the respective contract expiration dates become non-refundable. The fair value of these amounts would, however, be less than their carrying value due to the non-interest-bearing feature.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Net Income per Common Share</w:t>
      </w:r>
    </w:p>
    <w:p>
      <w:pPr>
        <w:spacing w:after="0" w:line="212"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2"/>
                <w:szCs w:val="22"/>
                <w:color w:val="auto"/>
              </w:rPr>
            </w:pPr>
          </w:p>
        </w:tc>
        <w:tc>
          <w:tcPr>
            <w:tcW w:w="2740" w:type="dxa"/>
            <w:vAlign w:val="bottom"/>
            <w:gridSpan w:val="4"/>
          </w:tcPr>
          <w:p>
            <w:pPr>
              <w:jc w:val="center"/>
              <w:ind w:right="20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2480" w:type="dxa"/>
            <w:vAlign w:val="bottom"/>
            <w:gridSpan w:val="3"/>
          </w:tcPr>
          <w:p>
            <w:pPr>
              <w:jc w:val="right"/>
              <w:ind w:right="25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6020" w:type="dxa"/>
            <w:vAlign w:val="bottom"/>
          </w:tcPr>
          <w:p>
            <w:pPr>
              <w:spacing w:after="0"/>
              <w:rPr>
                <w:sz w:val="22"/>
                <w:szCs w:val="22"/>
                <w:color w:val="auto"/>
              </w:rPr>
            </w:pPr>
          </w:p>
        </w:tc>
        <w:tc>
          <w:tcPr>
            <w:tcW w:w="2740" w:type="dxa"/>
            <w:vAlign w:val="bottom"/>
            <w:gridSpan w:val="4"/>
          </w:tcPr>
          <w:p>
            <w:pPr>
              <w:jc w:val="center"/>
              <w:ind w:right="180"/>
              <w:spacing w:after="0"/>
              <w:rPr>
                <w:sz w:val="20"/>
                <w:szCs w:val="20"/>
                <w:color w:val="auto"/>
              </w:rPr>
            </w:pPr>
            <w:r>
              <w:rPr>
                <w:rFonts w:ascii="Times New Roman" w:cs="Times New Roman" w:eastAsia="Times New Roman" w:hAnsi="Times New Roman"/>
                <w:sz w:val="22"/>
                <w:szCs w:val="22"/>
                <w:color w:val="auto"/>
                <w:w w:val="97"/>
              </w:rPr>
              <w:t>September 30,</w:t>
            </w:r>
          </w:p>
        </w:tc>
        <w:tc>
          <w:tcPr>
            <w:tcW w:w="2480" w:type="dxa"/>
            <w:vAlign w:val="bottom"/>
            <w:gridSpan w:val="3"/>
          </w:tcPr>
          <w:p>
            <w:pPr>
              <w:jc w:val="right"/>
              <w:ind w:right="51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60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72"/>
              <w:spacing w:after="0" w:line="223" w:lineRule="exact"/>
              <w:rPr>
                <w:sz w:val="20"/>
                <w:szCs w:val="20"/>
                <w:color w:val="auto"/>
              </w:rPr>
            </w:pPr>
            <w:r>
              <w:rPr>
                <w:rFonts w:ascii="Times New Roman" w:cs="Times New Roman" w:eastAsia="Times New Roman" w:hAnsi="Times New Roman"/>
                <w:sz w:val="22"/>
                <w:szCs w:val="22"/>
                <w:color w:val="auto"/>
              </w:rPr>
              <w:t>2021</w:t>
            </w:r>
          </w:p>
        </w:tc>
      </w:tr>
      <w:tr>
        <w:trPr>
          <w:trHeight w:val="182"/>
        </w:trPr>
        <w:tc>
          <w:tcPr>
            <w:tcW w:w="60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Average common shares outstanding during the period for basic</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7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computation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262,213</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258,773</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262,089</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256,051</w:t>
            </w:r>
          </w:p>
        </w:tc>
      </w:tr>
      <w:tr>
        <w:trPr>
          <w:trHeight w:val="229"/>
        </w:trPr>
        <w:tc>
          <w:tcPr>
            <w:tcW w:w="60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Effect of dilutive securities: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Forward equity sale agreement</w:t>
            </w: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216</w:t>
            </w:r>
          </w:p>
        </w:tc>
      </w:tr>
      <w:tr>
        <w:trPr>
          <w:trHeight w:val="230"/>
        </w:trPr>
        <w:tc>
          <w:tcPr>
            <w:tcW w:w="6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Tangible equity units</w:t>
            </w: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30"/>
        </w:trPr>
        <w:tc>
          <w:tcPr>
            <w:tcW w:w="6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Employee stock-based compensation</w:t>
            </w: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541</w:t>
            </w:r>
          </w:p>
        </w:tc>
        <w:tc>
          <w:tcPr>
            <w:tcW w:w="2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441</w:t>
            </w:r>
          </w:p>
        </w:tc>
        <w:tc>
          <w:tcPr>
            <w:tcW w:w="2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552</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496</w:t>
            </w:r>
          </w:p>
        </w:tc>
      </w:tr>
      <w:tr>
        <w:trPr>
          <w:trHeight w:val="182"/>
        </w:trPr>
        <w:tc>
          <w:tcPr>
            <w:tcW w:w="6020" w:type="dxa"/>
            <w:vAlign w:val="bottom"/>
          </w:tcPr>
          <w:p>
            <w:pPr>
              <w:spacing w:after="0" w:line="182" w:lineRule="exact"/>
              <w:rPr>
                <w:sz w:val="20"/>
                <w:szCs w:val="20"/>
                <w:color w:val="auto"/>
              </w:rPr>
            </w:pPr>
            <w:r>
              <w:rPr>
                <w:rFonts w:ascii="Times New Roman" w:cs="Times New Roman" w:eastAsia="Times New Roman" w:hAnsi="Times New Roman"/>
                <w:sz w:val="21"/>
                <w:szCs w:val="21"/>
                <w:color w:val="auto"/>
              </w:rPr>
              <w:t>Average common shares outstanding during the period for diluted</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computation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262,754</w:t>
            </w:r>
          </w:p>
        </w:tc>
        <w:tc>
          <w:tcPr>
            <w:tcW w:w="2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259,437</w:t>
            </w:r>
          </w:p>
        </w:tc>
        <w:tc>
          <w:tcPr>
            <w:tcW w:w="2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262,641</w:t>
            </w:r>
          </w:p>
        </w:tc>
        <w:tc>
          <w:tcPr>
            <w:tcW w:w="20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256,763</w:t>
            </w: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On May 2, 2022, all of the remaining stock purchase contracts under the tangible equity units were mandatorily settled. For the nine months ended September 30, 2022, the weighted average impact of 3,920,087 shares were included in the basic computation of the average common shares outstanding based on the number of shares that were issued upon settlement of the stock purchase contracts under the tangible equity units. For the three and nine months ended September 30, 2021, the minimum settlement amount of the stock purchase contracts under the tangible equity units of 9,022,040 and 9,067,879 shares, respectively, were considered outstanding for the basic computation of the average common shares outstanding.</w:t>
      </w:r>
    </w:p>
    <w:p>
      <w:pPr>
        <w:spacing w:after="0" w:line="179"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22"/>
          <w:szCs w:val="22"/>
          <w:color w:val="auto"/>
        </w:rPr>
        <w:t>The number of outstanding employee stock options that were not included in the diluted earnings per share calculation because the effect would have been anti-dilutive was 81,729 for the three and nine months ended September 30, 2022. For the three and nine months ended September 30, 2021, all of the Company’s outstanding employee stock options were included in the calculations of diluted net income per share as there were no anti-dilutive employee stock options. Additionally, the dilutive effect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2"/>
          <w:szCs w:val="22"/>
          <w:color w:val="auto"/>
        </w:rPr>
        <w:t>performance share units and restricted share units granted are included in the Company’s calculation of diluted net income per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Stock-based Compensation</w:t>
      </w:r>
    </w:p>
    <w:p>
      <w:pPr>
        <w:spacing w:after="0" w:line="226"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2"/>
          <w:szCs w:val="22"/>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September 30, 2022, 1,819,515 shares were still available for issuance under the Plan. No further grants may be made under the Company’s 2004 Equity Compensation Plan.</w:t>
      </w:r>
    </w:p>
    <w:p>
      <w:pPr>
        <w:spacing w:after="0" w:line="19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Performance Share Units </w:t>
      </w:r>
      <w:r>
        <w:rPr>
          <w:rFonts w:ascii="Times New Roman" w:cs="Times New Roman" w:eastAsia="Times New Roman" w:hAnsi="Times New Roman"/>
          <w:sz w:val="22"/>
          <w:szCs w:val="22"/>
          <w:color w:val="auto"/>
        </w:rPr>
        <w:t>– A performance share unit (“PSU”) represents the right to receive a share of the Company’s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40" w:type="dxa"/>
            <w:vAlign w:val="bottom"/>
            <w:gridSpan w:val="5"/>
          </w:tcPr>
          <w:p>
            <w:pPr>
              <w:jc w:val="center"/>
              <w:ind w:right="54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00" w:type="dxa"/>
            <w:vAlign w:val="bottom"/>
          </w:tcPr>
          <w:p>
            <w:pPr>
              <w:spacing w:after="0"/>
              <w:rPr>
                <w:sz w:val="21"/>
                <w:szCs w:val="21"/>
                <w:color w:val="auto"/>
              </w:rPr>
            </w:pPr>
          </w:p>
        </w:tc>
        <w:tc>
          <w:tcPr>
            <w:tcW w:w="2780" w:type="dxa"/>
            <w:vAlign w:val="bottom"/>
            <w:gridSpan w:val="4"/>
          </w:tcPr>
          <w:p>
            <w:pPr>
              <w:jc w:val="right"/>
              <w:ind w:right="55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40" w:type="dxa"/>
            <w:vAlign w:val="bottom"/>
            <w:gridSpan w:val="5"/>
          </w:tcPr>
          <w:p>
            <w:pPr>
              <w:jc w:val="center"/>
              <w:ind w:right="540"/>
              <w:spacing w:after="0"/>
              <w:rPr>
                <w:sz w:val="20"/>
                <w:szCs w:val="20"/>
                <w:color w:val="auto"/>
              </w:rPr>
            </w:pPr>
            <w:r>
              <w:rPr>
                <w:rFonts w:ascii="Times New Roman" w:cs="Times New Roman" w:eastAsia="Times New Roman" w:hAnsi="Times New Roman"/>
                <w:sz w:val="22"/>
                <w:szCs w:val="22"/>
                <w:color w:val="auto"/>
                <w:w w:val="99"/>
              </w:rPr>
              <w:t>September 30,</w:t>
            </w:r>
          </w:p>
        </w:tc>
        <w:tc>
          <w:tcPr>
            <w:tcW w:w="300" w:type="dxa"/>
            <w:vAlign w:val="bottom"/>
          </w:tcPr>
          <w:p>
            <w:pPr>
              <w:spacing w:after="0"/>
              <w:rPr>
                <w:sz w:val="22"/>
                <w:szCs w:val="22"/>
                <w:color w:val="auto"/>
              </w:rPr>
            </w:pPr>
          </w:p>
        </w:tc>
        <w:tc>
          <w:tcPr>
            <w:tcW w:w="2780" w:type="dxa"/>
            <w:vAlign w:val="bottom"/>
            <w:gridSpan w:val="4"/>
          </w:tcPr>
          <w:p>
            <w:pPr>
              <w:jc w:val="right"/>
              <w:ind w:right="81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45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1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2"/>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2021</w:t>
            </w:r>
          </w:p>
        </w:tc>
      </w:tr>
      <w:tr>
        <w:trPr>
          <w:trHeight w:val="196"/>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1,676</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1,285</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5,018</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4,216</w:t>
            </w:r>
          </w:p>
        </w:tc>
      </w:tr>
      <w:tr>
        <w:trPr>
          <w:trHeight w:val="282"/>
        </w:trPr>
        <w:tc>
          <w:tcPr>
            <w:tcW w:w="452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1,191</w:t>
            </w:r>
          </w:p>
        </w:tc>
      </w:tr>
      <w:tr>
        <w:trPr>
          <w:trHeight w:val="445"/>
        </w:trPr>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19</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4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nine months ended September 30, 2022: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6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Number</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806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57"/>
        </w:trPr>
        <w:tc>
          <w:tcPr>
            <w:tcW w:w="806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Share Units</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w w:val="94"/>
              </w:rPr>
              <w:t>Fair Value</w:t>
            </w:r>
          </w:p>
        </w:tc>
      </w:tr>
      <w:tr>
        <w:trPr>
          <w:trHeight w:val="223"/>
        </w:trPr>
        <w:tc>
          <w:tcPr>
            <w:tcW w:w="80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15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355,384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42.19</w:t>
            </w:r>
          </w:p>
        </w:tc>
      </w:tr>
      <w:tr>
        <w:trPr>
          <w:trHeight w:val="229"/>
        </w:trPr>
        <w:tc>
          <w:tcPr>
            <w:tcW w:w="80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5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160,245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42.31</w:t>
            </w:r>
          </w:p>
        </w:tc>
      </w:tr>
      <w:tr>
        <w:trPr>
          <w:trHeight w:val="229"/>
        </w:trPr>
        <w:tc>
          <w:tcPr>
            <w:tcW w:w="80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5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(31,278)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44.26</w:t>
            </w:r>
          </w:p>
        </w:tc>
      </w:tr>
      <w:tr>
        <w:trPr>
          <w:trHeight w:val="223"/>
        </w:trPr>
        <w:tc>
          <w:tcPr>
            <w:tcW w:w="80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15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484,351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42.34</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43"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2"/>
          <w:szCs w:val="22"/>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nine months ended September 30, 2022 and 2021 was $42.31 and $43.18,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9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 Company’s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2440" w:type="dxa"/>
            <w:vAlign w:val="bottom"/>
            <w:gridSpan w:val="4"/>
          </w:tcPr>
          <w:p>
            <w:pPr>
              <w:jc w:val="center"/>
              <w:ind w:left="31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gridSpan w:val="4"/>
          </w:tcPr>
          <w:p>
            <w:pPr>
              <w:jc w:val="center"/>
              <w:ind w:right="212"/>
              <w:spacing w:after="0"/>
              <w:rPr>
                <w:sz w:val="20"/>
                <w:szCs w:val="20"/>
                <w:color w:val="auto"/>
              </w:rPr>
            </w:pPr>
            <w:r>
              <w:rPr>
                <w:rFonts w:ascii="Times New Roman" w:cs="Times New Roman" w:eastAsia="Times New Roman" w:hAnsi="Times New Roman"/>
                <w:sz w:val="22"/>
                <w:szCs w:val="22"/>
                <w:color w:val="auto"/>
                <w:w w:val="98"/>
              </w:rPr>
              <w:t>Nine Months Ended</w:t>
            </w:r>
          </w:p>
        </w:tc>
      </w:tr>
      <w:tr>
        <w:trPr>
          <w:trHeight w:val="257"/>
        </w:trPr>
        <w:tc>
          <w:tcPr>
            <w:tcW w:w="4820" w:type="dxa"/>
            <w:vAlign w:val="bottom"/>
          </w:tcPr>
          <w:p>
            <w:pPr>
              <w:spacing w:after="0"/>
              <w:rPr>
                <w:sz w:val="22"/>
                <w:szCs w:val="22"/>
                <w:color w:val="auto"/>
              </w:rPr>
            </w:pPr>
          </w:p>
        </w:tc>
        <w:tc>
          <w:tcPr>
            <w:tcW w:w="2440" w:type="dxa"/>
            <w:vAlign w:val="bottom"/>
            <w:tcBorders>
              <w:bottom w:val="single" w:sz="8" w:color="auto"/>
            </w:tcBorders>
            <w:gridSpan w:val="4"/>
          </w:tcPr>
          <w:p>
            <w:pPr>
              <w:jc w:val="center"/>
              <w:ind w:left="312"/>
              <w:spacing w:after="0"/>
              <w:rPr>
                <w:sz w:val="20"/>
                <w:szCs w:val="20"/>
                <w:color w:val="auto"/>
              </w:rPr>
            </w:pPr>
            <w:r>
              <w:rPr>
                <w:rFonts w:ascii="Times New Roman" w:cs="Times New Roman" w:eastAsia="Times New Roman" w:hAnsi="Times New Roman"/>
                <w:sz w:val="22"/>
                <w:szCs w:val="22"/>
                <w:color w:val="auto"/>
                <w:w w:val="99"/>
              </w:rPr>
              <w:t>September 30,</w:t>
            </w:r>
          </w:p>
        </w:tc>
        <w:tc>
          <w:tcPr>
            <w:tcW w:w="4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22"/>
                <w:szCs w:val="22"/>
                <w:color w:val="auto"/>
                <w:w w:val="99"/>
              </w:rPr>
              <w:t>September 30,</w:t>
            </w:r>
          </w:p>
        </w:tc>
        <w:tc>
          <w:tcPr>
            <w:tcW w:w="1020" w:type="dxa"/>
            <w:vAlign w:val="bottom"/>
            <w:tcBorders>
              <w:bottom w:val="single" w:sz="8" w:color="auto"/>
            </w:tcBorders>
          </w:tcPr>
          <w:p>
            <w:pPr>
              <w:spacing w:after="0"/>
              <w:rPr>
                <w:sz w:val="22"/>
                <w:szCs w:val="22"/>
                <w:color w:val="auto"/>
              </w:rPr>
            </w:pPr>
          </w:p>
        </w:tc>
      </w:tr>
      <w:tr>
        <w:trPr>
          <w:trHeight w:val="223"/>
        </w:trPr>
        <w:tc>
          <w:tcPr>
            <w:tcW w:w="482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380" w:type="dxa"/>
            <w:vAlign w:val="bottom"/>
          </w:tcPr>
          <w:p>
            <w:pPr>
              <w:spacing w:after="0"/>
              <w:rPr>
                <w:sz w:val="19"/>
                <w:szCs w:val="19"/>
                <w:color w:val="auto"/>
              </w:rPr>
            </w:pPr>
          </w:p>
        </w:tc>
        <w:tc>
          <w:tcPr>
            <w:tcW w:w="11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45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452"/>
              <w:spacing w:after="0" w:line="223" w:lineRule="exact"/>
              <w:rPr>
                <w:sz w:val="20"/>
                <w:szCs w:val="20"/>
                <w:color w:val="auto"/>
              </w:rPr>
            </w:pPr>
            <w:r>
              <w:rPr>
                <w:rFonts w:ascii="Times New Roman" w:cs="Times New Roman" w:eastAsia="Times New Roman" w:hAnsi="Times New Roman"/>
                <w:sz w:val="22"/>
                <w:szCs w:val="22"/>
                <w:color w:val="auto"/>
                <w:w w:val="99"/>
              </w:rPr>
              <w:t>2021</w:t>
            </w: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w:t>
            </w: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5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22"/>
                <w:szCs w:val="22"/>
                <w:color w:val="auto"/>
                <w:w w:val="72"/>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702</w:t>
            </w:r>
          </w:p>
        </w:tc>
        <w:tc>
          <w:tcPr>
            <w:tcW w:w="11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724</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2,206</w:t>
            </w: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2,089</w:t>
            </w:r>
          </w:p>
        </w:tc>
      </w:tr>
      <w:tr>
        <w:trPr>
          <w:trHeight w:val="282"/>
        </w:trPr>
        <w:tc>
          <w:tcPr>
            <w:tcW w:w="482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126</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554</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586</w:t>
            </w:r>
          </w:p>
        </w:tc>
      </w:tr>
      <w:tr>
        <w:trPr>
          <w:trHeight w:val="459"/>
        </w:trPr>
        <w:tc>
          <w:tcPr>
            <w:tcW w:w="48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5"/>
        </w:trPr>
        <w:tc>
          <w:tcPr>
            <w:tcW w:w="4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nine months ended September 30,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7"/>
              </w:rPr>
              <w:t>Number</w:t>
            </w:r>
          </w:p>
        </w:tc>
        <w:tc>
          <w:tcPr>
            <w:tcW w:w="240" w:type="dxa"/>
            <w:vAlign w:val="bottom"/>
          </w:tcPr>
          <w:p>
            <w:pPr>
              <w:spacing w:after="0"/>
              <w:rPr>
                <w:sz w:val="22"/>
                <w:szCs w:val="22"/>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940" w:type="dxa"/>
            <w:vAlign w:val="bottom"/>
          </w:tcPr>
          <w:p>
            <w:pPr>
              <w:spacing w:after="0"/>
              <w:rPr>
                <w:sz w:val="22"/>
                <w:szCs w:val="22"/>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color w:val="auto"/>
                <w:w w:val="98"/>
              </w:rPr>
              <w:t>Stock Units</w:t>
            </w:r>
          </w:p>
        </w:tc>
        <w:tc>
          <w:tcPr>
            <w:tcW w:w="240" w:type="dxa"/>
            <w:vAlign w:val="bottom"/>
          </w:tcPr>
          <w:p>
            <w:pPr>
              <w:spacing w:after="0"/>
              <w:rPr>
                <w:sz w:val="22"/>
                <w:szCs w:val="22"/>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193,687</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43.76</w:t>
            </w:r>
          </w:p>
        </w:tc>
      </w:tr>
      <w:tr>
        <w:trPr>
          <w:trHeight w:val="229"/>
        </w:trPr>
        <w:tc>
          <w:tcPr>
            <w:tcW w:w="79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4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71,376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45.10</w:t>
            </w:r>
          </w:p>
        </w:tc>
      </w:tr>
      <w:tr>
        <w:trPr>
          <w:trHeight w:val="230"/>
        </w:trPr>
        <w:tc>
          <w:tcPr>
            <w:tcW w:w="79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(56,738)</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36.96</w:t>
            </w:r>
          </w:p>
        </w:tc>
      </w:tr>
      <w:tr>
        <w:trPr>
          <w:trHeight w:val="229"/>
        </w:trPr>
        <w:tc>
          <w:tcPr>
            <w:tcW w:w="79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(12,177)</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44.91</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196,148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46.18</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nine months ended September 30, 2022 and 2021 was $45.10 and $44.44, respectively.</w:t>
      </w:r>
    </w:p>
    <w:p>
      <w:pPr>
        <w:spacing w:after="0" w:line="16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80" w:type="dxa"/>
            <w:vAlign w:val="bottom"/>
            <w:gridSpan w:val="5"/>
          </w:tcPr>
          <w:p>
            <w:pPr>
              <w:jc w:val="center"/>
              <w:ind w:left="23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43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80" w:type="dxa"/>
            <w:vAlign w:val="bottom"/>
            <w:tcBorders>
              <w:bottom w:val="single" w:sz="8" w:color="auto"/>
            </w:tcBorders>
            <w:gridSpan w:val="5"/>
          </w:tcPr>
          <w:p>
            <w:pPr>
              <w:jc w:val="center"/>
              <w:ind w:left="252"/>
              <w:spacing w:after="0"/>
              <w:rPr>
                <w:sz w:val="20"/>
                <w:szCs w:val="20"/>
                <w:color w:val="auto"/>
              </w:rPr>
            </w:pPr>
            <w:r>
              <w:rPr>
                <w:rFonts w:ascii="Times New Roman" w:cs="Times New Roman" w:eastAsia="Times New Roman" w:hAnsi="Times New Roman"/>
                <w:sz w:val="22"/>
                <w:szCs w:val="22"/>
                <w:color w:val="auto"/>
                <w:w w:val="97"/>
              </w:rPr>
              <w:t>September 30,</w:t>
            </w:r>
          </w:p>
        </w:tc>
        <w:tc>
          <w:tcPr>
            <w:tcW w:w="3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4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2021</w:t>
            </w: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5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46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139</w:t>
            </w:r>
          </w:p>
        </w:tc>
        <w:tc>
          <w:tcPr>
            <w:tcW w:w="1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380</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395</w:t>
            </w:r>
          </w:p>
        </w:tc>
      </w:t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26</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bl>
    <w:p>
      <w:pPr>
        <w:spacing w:after="0" w:line="149"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2022</w:t>
            </w:r>
          </w:p>
        </w:tc>
      </w:tr>
      <w:tr>
        <w:trPr>
          <w:trHeight w:val="223"/>
        </w:trPr>
        <w:tc>
          <w:tcPr>
            <w:tcW w:w="70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98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5.48</w:t>
            </w:r>
          </w:p>
        </w:tc>
      </w:tr>
      <w:tr>
        <w:trPr>
          <w:trHeight w:val="230"/>
        </w:trPr>
        <w:tc>
          <w:tcPr>
            <w:tcW w:w="70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980" w:type="dxa"/>
            <w:vAlign w:val="bottom"/>
          </w:tcPr>
          <w:p>
            <w:pPr>
              <w:spacing w:after="0"/>
              <w:rPr>
                <w:sz w:val="19"/>
                <w:szCs w:val="19"/>
                <w:color w:val="auto"/>
              </w:rPr>
            </w:pPr>
          </w:p>
        </w:tc>
        <w:tc>
          <w:tcPr>
            <w:tcW w:w="3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1.92%</w:t>
            </w:r>
          </w:p>
        </w:tc>
      </w:tr>
      <w:tr>
        <w:trPr>
          <w:trHeight w:val="229"/>
        </w:trPr>
        <w:tc>
          <w:tcPr>
            <w:tcW w:w="70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98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26.5%</w:t>
            </w:r>
          </w:p>
        </w:tc>
      </w:tr>
      <w:tr>
        <w:trPr>
          <w:trHeight w:val="230"/>
        </w:trPr>
        <w:tc>
          <w:tcPr>
            <w:tcW w:w="70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Dividend yield</w:t>
            </w:r>
          </w:p>
        </w:tc>
        <w:tc>
          <w:tcPr>
            <w:tcW w:w="980" w:type="dxa"/>
            <w:vAlign w:val="bottom"/>
          </w:tcPr>
          <w:p>
            <w:pPr>
              <w:spacing w:after="0"/>
              <w:rPr>
                <w:sz w:val="19"/>
                <w:szCs w:val="19"/>
                <w:color w:val="auto"/>
              </w:rPr>
            </w:pPr>
          </w:p>
        </w:tc>
        <w:tc>
          <w:tcPr>
            <w:tcW w:w="3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2.37%</w:t>
            </w:r>
          </w:p>
        </w:tc>
      </w:tr>
      <w:tr>
        <w:trPr>
          <w:trHeight w:val="230"/>
        </w:trPr>
        <w:tc>
          <w:tcPr>
            <w:tcW w:w="70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980" w:type="dxa"/>
            <w:vAlign w:val="bottom"/>
            <w:shd w:val="clear" w:color="auto" w:fill="CCEEFF"/>
          </w:tcPr>
          <w:p>
            <w:pPr>
              <w:jc w:val="right"/>
              <w:ind w:right="75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3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9.34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did not grant stock options for the nine months ended September 30, 2021.</w:t>
      </w:r>
    </w:p>
    <w:p>
      <w:pPr>
        <w:spacing w:after="0" w:line="2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nine months ended September 30,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5"/>
              </w:rPr>
              <w:t>Weighted</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c>
          <w:tcPr>
            <w:tcW w:w="128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92"/>
              <w:spacing w:after="0" w:line="229" w:lineRule="exact"/>
              <w:rPr>
                <w:sz w:val="20"/>
                <w:szCs w:val="20"/>
                <w:color w:val="auto"/>
              </w:rPr>
            </w:pPr>
            <w:r>
              <w:rPr>
                <w:rFonts w:ascii="Times New Roman" w:cs="Times New Roman" w:eastAsia="Times New Roman" w:hAnsi="Times New Roman"/>
                <w:sz w:val="22"/>
                <w:szCs w:val="22"/>
                <w:color w:val="auto"/>
                <w:w w:val="98"/>
              </w:rPr>
              <w:t>Aggregate</w:t>
            </w:r>
          </w:p>
        </w:tc>
      </w:tr>
      <w:tr>
        <w:trPr>
          <w:trHeight w:val="229"/>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2"/>
                <w:szCs w:val="22"/>
                <w:color w:val="auto"/>
                <w:w w:val="97"/>
              </w:rPr>
              <w:t>Exercise</w:t>
            </w:r>
          </w:p>
        </w:tc>
        <w:tc>
          <w:tcPr>
            <w:tcW w:w="128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Remaining</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12"/>
              <w:spacing w:after="0" w:line="229" w:lineRule="exact"/>
              <w:rPr>
                <w:sz w:val="20"/>
                <w:szCs w:val="20"/>
                <w:color w:val="auto"/>
              </w:rPr>
            </w:pPr>
            <w:r>
              <w:rPr>
                <w:rFonts w:ascii="Times New Roman" w:cs="Times New Roman" w:eastAsia="Times New Roman" w:hAnsi="Times New Roman"/>
                <w:sz w:val="22"/>
                <w:szCs w:val="22"/>
                <w:color w:val="auto"/>
                <w:w w:val="98"/>
              </w:rPr>
              <w:t>Intrinsic</w:t>
            </w:r>
          </w:p>
        </w:tc>
      </w:tr>
      <w:tr>
        <w:trPr>
          <w:trHeight w:val="257"/>
        </w:trPr>
        <w:tc>
          <w:tcPr>
            <w:tcW w:w="5100" w:type="dxa"/>
            <w:vAlign w:val="bottom"/>
          </w:tcPr>
          <w:p>
            <w:pPr>
              <w:spacing w:after="0"/>
              <w:rPr>
                <w:sz w:val="22"/>
                <w:szCs w:val="22"/>
                <w:color w:val="auto"/>
              </w:rPr>
            </w:pP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Shares</w:t>
            </w:r>
          </w:p>
        </w:tc>
        <w:tc>
          <w:tcPr>
            <w:tcW w:w="180" w:type="dxa"/>
            <w:vAlign w:val="bottom"/>
          </w:tcPr>
          <w:p>
            <w:pPr>
              <w:spacing w:after="0"/>
              <w:rPr>
                <w:sz w:val="22"/>
                <w:szCs w:val="22"/>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color w:val="auto"/>
                <w:w w:val="97"/>
              </w:rPr>
              <w:t>Price</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Life (years)</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1"/>
              </w:rPr>
              <w:t>Value</w:t>
            </w:r>
          </w:p>
        </w:tc>
      </w:tr>
      <w:tr>
        <w:trPr>
          <w:trHeight w:val="223"/>
        </w:trPr>
        <w:tc>
          <w:tcPr>
            <w:tcW w:w="510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beginning of period</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813,492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35.37</w:t>
            </w:r>
          </w:p>
        </w:tc>
        <w:tc>
          <w:tcPr>
            <w:tcW w:w="2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51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84,296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45.19</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1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(3,695)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43.03</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1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Expired</w:t>
            </w: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35.94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1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Exercised</w:t>
            </w: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(53,970)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35.37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51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839,998</w:t>
            </w:r>
          </w:p>
        </w:tc>
        <w:tc>
          <w:tcPr>
            <w:tcW w:w="200" w:type="dxa"/>
            <w:vAlign w:val="bottom"/>
          </w:tcPr>
          <w:p>
            <w:pPr>
              <w:spacing w:after="0"/>
              <w:rPr>
                <w:sz w:val="19"/>
                <w:szCs w:val="19"/>
                <w:color w:val="auto"/>
              </w:rPr>
            </w:pPr>
          </w:p>
        </w:tc>
        <w:tc>
          <w:tcPr>
            <w:tcW w:w="1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36.33</w:t>
            </w:r>
          </w:p>
        </w:tc>
        <w:tc>
          <w:tcPr>
            <w:tcW w:w="20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6.5</w:t>
            </w:r>
          </w:p>
        </w:tc>
        <w:tc>
          <w:tcPr>
            <w:tcW w:w="40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4,554</w:t>
            </w:r>
          </w:p>
        </w:tc>
      </w:tr>
      <w:tr>
        <w:trPr>
          <w:trHeight w:val="20"/>
        </w:trPr>
        <w:tc>
          <w:tcPr>
            <w:tcW w:w="5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1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758,766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35.38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6.1</w:t>
            </w:r>
          </w:p>
        </w:tc>
        <w:tc>
          <w:tcPr>
            <w:tcW w:w="40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4,554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 </w:t>
      </w:r>
      <w:r>
        <w:rPr>
          <w:rFonts w:ascii="Times New Roman" w:cs="Times New Roman" w:eastAsia="Times New Roman" w:hAnsi="Times New Roman"/>
          <w:sz w:val="21"/>
          <w:szCs w:val="21"/>
          <w:color w:val="auto"/>
        </w:rPr>
        <w:t>Restricted stock awards provide the grantee with the rights of a shareholder, including the right to receive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140" w:type="dxa"/>
            <w:vAlign w:val="bottom"/>
            <w:gridSpan w:val="6"/>
          </w:tcPr>
          <w:p>
            <w:pPr>
              <w:jc w:val="center"/>
              <w:ind w:right="68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280" w:type="dxa"/>
            <w:vAlign w:val="bottom"/>
          </w:tcPr>
          <w:p>
            <w:pPr>
              <w:spacing w:after="0"/>
              <w:rPr>
                <w:sz w:val="21"/>
                <w:szCs w:val="21"/>
                <w:color w:val="auto"/>
              </w:rPr>
            </w:pPr>
          </w:p>
        </w:tc>
        <w:tc>
          <w:tcPr>
            <w:tcW w:w="2640" w:type="dxa"/>
            <w:vAlign w:val="bottom"/>
            <w:gridSpan w:val="5"/>
          </w:tcPr>
          <w:p>
            <w:pPr>
              <w:jc w:val="right"/>
              <w:ind w:right="47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7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center"/>
              <w:ind w:left="372"/>
              <w:spacing w:after="0"/>
              <w:rPr>
                <w:sz w:val="20"/>
                <w:szCs w:val="20"/>
                <w:color w:val="auto"/>
              </w:rPr>
            </w:pPr>
            <w:r>
              <w:rPr>
                <w:rFonts w:ascii="Times New Roman" w:cs="Times New Roman" w:eastAsia="Times New Roman" w:hAnsi="Times New Roman"/>
                <w:sz w:val="22"/>
                <w:szCs w:val="22"/>
                <w:color w:val="auto"/>
                <w:w w:val="99"/>
              </w:rPr>
              <w:t>September 30,</w:t>
            </w:r>
          </w:p>
        </w:tc>
        <w:tc>
          <w:tcPr>
            <w:tcW w:w="90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5"/>
          </w:tcPr>
          <w:p>
            <w:pPr>
              <w:jc w:val="right"/>
              <w:ind w:right="73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4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340"/>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2021</w:t>
            </w:r>
          </w:p>
        </w:tc>
      </w:tr>
      <w:tr>
        <w:trPr>
          <w:trHeight w:val="196"/>
        </w:trPr>
        <w:tc>
          <w:tcPr>
            <w:tcW w:w="4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Stock-based compensation within operations and</w:t>
            </w:r>
          </w:p>
        </w:tc>
        <w:tc>
          <w:tcPr>
            <w:tcW w:w="4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7"/>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13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38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02"/>
        </w:trPr>
        <w:tc>
          <w:tcPr>
            <w:tcW w:w="476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Income tax benefit</w:t>
            </w:r>
          </w:p>
        </w:tc>
        <w:tc>
          <w:tcPr>
            <w:tcW w:w="420" w:type="dxa"/>
            <w:vAlign w:val="bottom"/>
          </w:tcPr>
          <w:p>
            <w:pPr>
              <w:spacing w:after="0"/>
              <w:rPr>
                <w:sz w:val="17"/>
                <w:szCs w:val="17"/>
                <w:color w:val="auto"/>
              </w:rPr>
            </w:pPr>
          </w:p>
        </w:tc>
        <w:tc>
          <w:tcPr>
            <w:tcW w:w="16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22"/>
                <w:szCs w:val="22"/>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22"/>
                <w:szCs w:val="22"/>
                <w:color w:val="auto"/>
              </w:rPr>
              <w:t>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22"/>
                <w:szCs w:val="22"/>
                <w:color w:val="auto"/>
              </w:rPr>
              <w:t>34</w:t>
            </w:r>
          </w:p>
        </w:tc>
      </w:tr>
      <w:tr>
        <w:trPr>
          <w:trHeight w:val="282"/>
        </w:trPr>
        <w:tc>
          <w:tcPr>
            <w:tcW w:w="4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9"/>
        </w:trPr>
        <w:tc>
          <w:tcPr>
            <w:tcW w:w="4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restricted stock transactions for the nine months ended September 30,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9"/>
              </w:rPr>
              <w:t>Number</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72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r>
      <w:tr>
        <w:trPr>
          <w:trHeight w:val="257"/>
        </w:trPr>
        <w:tc>
          <w:tcPr>
            <w:tcW w:w="726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5"/>
              </w:rPr>
              <w:t>Shares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2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beginning of period</w:t>
            </w:r>
          </w:p>
        </w:tc>
        <w:tc>
          <w:tcPr>
            <w:tcW w:w="1720" w:type="dxa"/>
            <w:vAlign w:val="bottom"/>
            <w:tcBorders>
              <w:top w:val="single" w:sz="8" w:color="auto"/>
            </w:tcBorders>
            <w:shd w:val="clear" w:color="auto" w:fill="CCEEFF"/>
          </w:tcPr>
          <w:p>
            <w:pPr>
              <w:jc w:val="center"/>
              <w:ind w:left="1012"/>
              <w:spacing w:after="0" w:line="223" w:lineRule="exact"/>
              <w:rPr>
                <w:sz w:val="20"/>
                <w:szCs w:val="20"/>
                <w:color w:val="auto"/>
              </w:rPr>
            </w:pPr>
            <w:r>
              <w:rPr>
                <w:rFonts w:ascii="Times New Roman" w:cs="Times New Roman" w:eastAsia="Times New Roman" w:hAnsi="Times New Roman"/>
                <w:sz w:val="22"/>
                <w:szCs w:val="22"/>
                <w:color w:val="auto"/>
                <w:w w:val="96"/>
              </w:rPr>
              <w:t>1,068</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center"/>
              <w:ind w:left="932"/>
              <w:spacing w:after="0" w:line="223" w:lineRule="exact"/>
              <w:rPr>
                <w:sz w:val="20"/>
                <w:szCs w:val="20"/>
                <w:color w:val="auto"/>
              </w:rPr>
            </w:pPr>
            <w:r>
              <w:rPr>
                <w:rFonts w:ascii="Times New Roman" w:cs="Times New Roman" w:eastAsia="Times New Roman" w:hAnsi="Times New Roman"/>
                <w:sz w:val="22"/>
                <w:szCs w:val="22"/>
                <w:color w:val="auto"/>
              </w:rPr>
              <w:t>46.83</w:t>
            </w:r>
          </w:p>
        </w:tc>
      </w:tr>
      <w:tr>
        <w:trPr>
          <w:trHeight w:val="230"/>
        </w:trPr>
        <w:tc>
          <w:tcPr>
            <w:tcW w:w="72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720" w:type="dxa"/>
            <w:vAlign w:val="bottom"/>
          </w:tcPr>
          <w:p>
            <w:pPr>
              <w:jc w:val="center"/>
              <w:ind w:left="1012"/>
              <w:spacing w:after="0" w:line="229" w:lineRule="exact"/>
              <w:rPr>
                <w:sz w:val="20"/>
                <w:szCs w:val="20"/>
                <w:color w:val="auto"/>
              </w:rPr>
            </w:pPr>
            <w:r>
              <w:rPr>
                <w:rFonts w:ascii="Times New Roman" w:cs="Times New Roman" w:eastAsia="Times New Roman" w:hAnsi="Times New Roman"/>
                <w:sz w:val="22"/>
                <w:szCs w:val="22"/>
                <w:color w:val="auto"/>
                <w:w w:val="96"/>
              </w:rPr>
              <w:t>1,170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left="932"/>
              <w:spacing w:after="0" w:line="229" w:lineRule="exact"/>
              <w:rPr>
                <w:sz w:val="20"/>
                <w:szCs w:val="20"/>
                <w:color w:val="auto"/>
              </w:rPr>
            </w:pPr>
            <w:r>
              <w:rPr>
                <w:rFonts w:ascii="Times New Roman" w:cs="Times New Roman" w:eastAsia="Times New Roman" w:hAnsi="Times New Roman"/>
                <w:sz w:val="22"/>
                <w:szCs w:val="22"/>
                <w:color w:val="auto"/>
              </w:rPr>
              <w:t>42.75</w:t>
            </w:r>
          </w:p>
        </w:tc>
      </w:tr>
      <w:tr>
        <w:trPr>
          <w:trHeight w:val="229"/>
        </w:trPr>
        <w:tc>
          <w:tcPr>
            <w:tcW w:w="72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720" w:type="dxa"/>
            <w:vAlign w:val="bottom"/>
            <w:tcBorders>
              <w:bottom w:val="single" w:sz="8" w:color="auto"/>
            </w:tcBorders>
            <w:shd w:val="clear" w:color="auto" w:fill="CCEEFF"/>
          </w:tcPr>
          <w:p>
            <w:pPr>
              <w:jc w:val="center"/>
              <w:ind w:left="992"/>
              <w:spacing w:after="0" w:line="229" w:lineRule="exact"/>
              <w:rPr>
                <w:sz w:val="20"/>
                <w:szCs w:val="20"/>
                <w:color w:val="auto"/>
              </w:rPr>
            </w:pPr>
            <w:r>
              <w:rPr>
                <w:rFonts w:ascii="Times New Roman" w:cs="Times New Roman" w:eastAsia="Times New Roman" w:hAnsi="Times New Roman"/>
                <w:sz w:val="22"/>
                <w:szCs w:val="22"/>
                <w:color w:val="auto"/>
                <w:w w:val="96"/>
              </w:rPr>
              <w:t>(1,068)</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932"/>
              <w:spacing w:after="0" w:line="229" w:lineRule="exact"/>
              <w:rPr>
                <w:sz w:val="20"/>
                <w:szCs w:val="20"/>
                <w:color w:val="auto"/>
              </w:rPr>
            </w:pPr>
            <w:r>
              <w:rPr>
                <w:rFonts w:ascii="Times New Roman" w:cs="Times New Roman" w:eastAsia="Times New Roman" w:hAnsi="Times New Roman"/>
                <w:sz w:val="22"/>
                <w:szCs w:val="22"/>
                <w:color w:val="auto"/>
                <w:w w:val="96"/>
              </w:rPr>
              <w:t>(46.83)</w:t>
            </w:r>
          </w:p>
        </w:tc>
      </w:tr>
      <w:tr>
        <w:trPr>
          <w:trHeight w:val="223"/>
        </w:trPr>
        <w:tc>
          <w:tcPr>
            <w:tcW w:w="72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end of period</w:t>
            </w:r>
          </w:p>
        </w:tc>
        <w:tc>
          <w:tcPr>
            <w:tcW w:w="1720" w:type="dxa"/>
            <w:vAlign w:val="bottom"/>
            <w:tcBorders>
              <w:bottom w:val="single" w:sz="8" w:color="auto"/>
            </w:tcBorders>
          </w:tcPr>
          <w:p>
            <w:pPr>
              <w:jc w:val="center"/>
              <w:ind w:left="1012"/>
              <w:spacing w:after="0" w:line="223" w:lineRule="exact"/>
              <w:rPr>
                <w:sz w:val="20"/>
                <w:szCs w:val="20"/>
                <w:color w:val="auto"/>
              </w:rPr>
            </w:pPr>
            <w:r>
              <w:rPr>
                <w:rFonts w:ascii="Times New Roman" w:cs="Times New Roman" w:eastAsia="Times New Roman" w:hAnsi="Times New Roman"/>
                <w:sz w:val="22"/>
                <w:szCs w:val="22"/>
                <w:color w:val="auto"/>
                <w:w w:val="96"/>
              </w:rPr>
              <w:t>1,170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center"/>
              <w:ind w:left="932"/>
              <w:spacing w:after="0" w:line="223" w:lineRule="exact"/>
              <w:rPr>
                <w:sz w:val="20"/>
                <w:szCs w:val="20"/>
                <w:color w:val="auto"/>
              </w:rPr>
            </w:pPr>
            <w:r>
              <w:rPr>
                <w:rFonts w:ascii="Times New Roman" w:cs="Times New Roman" w:eastAsia="Times New Roman" w:hAnsi="Times New Roman"/>
                <w:sz w:val="22"/>
                <w:szCs w:val="22"/>
                <w:color w:val="auto"/>
              </w:rPr>
              <w:t>42.75</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The weighted-average fair value at the date of the grant for restricted stock awards granted during the nine months ended September 30, 2022 was $42.75.</w:t>
      </w:r>
    </w:p>
    <w:p>
      <w:pPr>
        <w:spacing w:after="0" w:line="152"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Awards </w:t>
      </w:r>
      <w:r>
        <w:rPr>
          <w:rFonts w:ascii="Times New Roman" w:cs="Times New Roman" w:eastAsia="Times New Roman" w:hAnsi="Times New Roman"/>
          <w:sz w:val="22"/>
          <w:szCs w:val="22"/>
          <w:color w:val="auto"/>
        </w:rPr>
        <w:t>– Stock awards represent the issuance of the Company’s common stock, without restriction. The issuance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60" w:type="dxa"/>
            <w:vAlign w:val="bottom"/>
            <w:gridSpan w:val="4"/>
          </w:tcPr>
          <w:p>
            <w:pPr>
              <w:jc w:val="center"/>
              <w:ind w:left="33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60" w:type="dxa"/>
            <w:vAlign w:val="bottom"/>
            <w:gridSpan w:val="5"/>
          </w:tcPr>
          <w:p>
            <w:pPr>
              <w:jc w:val="center"/>
              <w:ind w:right="252"/>
              <w:spacing w:after="0"/>
              <w:rPr>
                <w:sz w:val="20"/>
                <w:szCs w:val="20"/>
                <w:color w:val="auto"/>
              </w:rPr>
            </w:pPr>
            <w:r>
              <w:rPr>
                <w:rFonts w:ascii="Times New Roman" w:cs="Times New Roman" w:eastAsia="Times New Roman" w:hAnsi="Times New Roman"/>
                <w:sz w:val="22"/>
                <w:szCs w:val="22"/>
                <w:color w:val="auto"/>
                <w:w w:val="98"/>
              </w:rPr>
              <w:t>Nine Months Ended</w:t>
            </w:r>
          </w:p>
        </w:tc>
      </w:tr>
      <w:tr>
        <w:trPr>
          <w:trHeight w:val="257"/>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60" w:type="dxa"/>
            <w:vAlign w:val="bottom"/>
            <w:tcBorders>
              <w:bottom w:val="single" w:sz="8" w:color="auto"/>
            </w:tcBorders>
            <w:gridSpan w:val="4"/>
          </w:tcPr>
          <w:p>
            <w:pPr>
              <w:jc w:val="center"/>
              <w:ind w:left="312"/>
              <w:spacing w:after="0"/>
              <w:rPr>
                <w:sz w:val="20"/>
                <w:szCs w:val="20"/>
                <w:color w:val="auto"/>
              </w:rPr>
            </w:pPr>
            <w:r>
              <w:rPr>
                <w:rFonts w:ascii="Times New Roman" w:cs="Times New Roman" w:eastAsia="Times New Roman" w:hAnsi="Times New Roman"/>
                <w:sz w:val="22"/>
                <w:szCs w:val="22"/>
                <w:color w:val="auto"/>
                <w:w w:val="97"/>
              </w:rPr>
              <w:t>September 30,</w:t>
            </w:r>
          </w:p>
        </w:tc>
        <w:tc>
          <w:tcPr>
            <w:tcW w:w="4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center"/>
              <w:ind w:left="592"/>
              <w:spacing w:after="0"/>
              <w:rPr>
                <w:sz w:val="20"/>
                <w:szCs w:val="20"/>
                <w:color w:val="auto"/>
              </w:rPr>
            </w:pPr>
            <w:r>
              <w:rPr>
                <w:rFonts w:ascii="Times New Roman" w:cs="Times New Roman" w:eastAsia="Times New Roman" w:hAnsi="Times New Roman"/>
                <w:sz w:val="22"/>
                <w:szCs w:val="22"/>
                <w:color w:val="auto"/>
                <w:w w:val="97"/>
              </w:rPr>
              <w:t>September 30,</w:t>
            </w:r>
          </w:p>
        </w:tc>
        <w:tc>
          <w:tcPr>
            <w:tcW w:w="1040" w:type="dxa"/>
            <w:vAlign w:val="bottom"/>
            <w:tcBorders>
              <w:bottom w:val="single" w:sz="8" w:color="auto"/>
            </w:tcBorders>
          </w:tcPr>
          <w:p>
            <w:pPr>
              <w:spacing w:after="0"/>
              <w:rPr>
                <w:sz w:val="22"/>
                <w:szCs w:val="22"/>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w w:val="99"/>
              </w:rPr>
              <w:t>2021</w:t>
            </w:r>
          </w:p>
        </w:tc>
      </w:tr>
      <w:tr>
        <w:trPr>
          <w:trHeight w:val="182"/>
        </w:trPr>
        <w:tc>
          <w:tcPr>
            <w:tcW w:w="44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7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18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165</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22"/>
                <w:szCs w:val="22"/>
                <w:color w:val="auto"/>
                <w:w w:val="72"/>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175</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72"/>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522</w:t>
            </w: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525</w:t>
            </w:r>
          </w:p>
        </w:tc>
      </w:tr>
      <w:tr>
        <w:trPr>
          <w:trHeight w:val="282"/>
        </w:trPr>
        <w:tc>
          <w:tcPr>
            <w:tcW w:w="44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151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award transactions for the nine months ended September 30, 2022: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Number</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8"/>
              </w:rPr>
              <w:t>Weighted</w:t>
            </w:r>
          </w:p>
        </w:tc>
      </w:tr>
      <w:tr>
        <w:trPr>
          <w:trHeight w:val="230"/>
        </w:trPr>
        <w:tc>
          <w:tcPr>
            <w:tcW w:w="7140" w:type="dxa"/>
            <w:vAlign w:val="bottom"/>
          </w:tcPr>
          <w:p>
            <w:pPr>
              <w:spacing w:after="0"/>
              <w:rPr>
                <w:sz w:val="19"/>
                <w:szCs w:val="19"/>
                <w:color w:val="auto"/>
              </w:rPr>
            </w:pPr>
          </w:p>
        </w:tc>
        <w:tc>
          <w:tcPr>
            <w:tcW w:w="182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57"/>
        </w:trPr>
        <w:tc>
          <w:tcPr>
            <w:tcW w:w="714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Stock Awards</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22"/>
                <w:szCs w:val="22"/>
                <w:color w:val="auto"/>
                <w:w w:val="94"/>
              </w:rPr>
              <w:t>Fair Value</w:t>
            </w:r>
          </w:p>
        </w:tc>
      </w:tr>
      <w:tr>
        <w:trPr>
          <w:trHeight w:val="223"/>
        </w:trPr>
        <w:tc>
          <w:tcPr>
            <w:tcW w:w="7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beginning of period</w:t>
            </w:r>
          </w:p>
        </w:tc>
        <w:tc>
          <w:tcPr>
            <w:tcW w:w="1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30"/>
        </w:trPr>
        <w:tc>
          <w:tcPr>
            <w:tcW w:w="7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8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11,260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46.40</w:t>
            </w:r>
          </w:p>
        </w:tc>
      </w:tr>
      <w:tr>
        <w:trPr>
          <w:trHeight w:val="230"/>
        </w:trPr>
        <w:tc>
          <w:tcPr>
            <w:tcW w:w="7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18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(11,260)</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(46.40)</w:t>
            </w:r>
          </w:p>
        </w:tc>
      </w:tr>
      <w:tr>
        <w:trPr>
          <w:trHeight w:val="223"/>
        </w:trPr>
        <w:tc>
          <w:tcPr>
            <w:tcW w:w="71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end of period</w:t>
            </w:r>
          </w:p>
        </w:tc>
        <w:tc>
          <w:tcPr>
            <w:tcW w:w="1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The weighted-average fair value at the date of grant for stock awards granted during the nine months ended September 30, 2022 and 2021 was $46.40 and $45.71,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12"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The Company maintains a qualified defined benefit pension plan (the “Pension Plan”), a nonqualified pension plan, and other postretirement benefit plans for certain of its employees.</w:t>
      </w:r>
    </w:p>
    <w:p>
      <w:pPr>
        <w:spacing w:after="0" w:line="186" w:lineRule="exact"/>
        <w:rPr>
          <w:sz w:val="20"/>
          <w:szCs w:val="20"/>
          <w:color w:val="auto"/>
        </w:rPr>
      </w:pPr>
    </w:p>
    <w:p>
      <w:pPr>
        <w:ind w:right="1000"/>
        <w:spacing w:after="0" w:line="245" w:lineRule="auto"/>
        <w:rPr>
          <w:sz w:val="20"/>
          <w:szCs w:val="20"/>
          <w:color w:val="auto"/>
        </w:rPr>
      </w:pPr>
      <w:r>
        <w:rPr>
          <w:rFonts w:ascii="Times New Roman" w:cs="Times New Roman" w:eastAsia="Times New Roman" w:hAnsi="Times New Roman"/>
          <w:sz w:val="22"/>
          <w:szCs w:val="22"/>
          <w:color w:val="auto"/>
        </w:rPr>
        <w:t>The following tables provide the components of net periodic benefit (credit) cost for the Company’s pension and other postretirement benefit plans: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jc w:val="center"/>
              <w:ind w:right="540"/>
              <w:spacing w:after="0"/>
              <w:rPr>
                <w:sz w:val="20"/>
                <w:szCs w:val="20"/>
                <w:color w:val="auto"/>
              </w:rPr>
            </w:pPr>
            <w:r>
              <w:rPr>
                <w:rFonts w:ascii="Times New Roman" w:cs="Times New Roman" w:eastAsia="Times New Roman" w:hAnsi="Times New Roman"/>
                <w:sz w:val="22"/>
                <w:szCs w:val="22"/>
                <w:color w:val="auto"/>
                <w:w w:val="98"/>
              </w:rPr>
              <w:t>Pension Benefits</w:t>
            </w: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660"/>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5"/>
          </w:tcPr>
          <w:p>
            <w:pPr>
              <w:jc w:val="right"/>
              <w:ind w:right="752"/>
              <w:spacing w:after="0" w:line="196" w:lineRule="exact"/>
              <w:rPr>
                <w:sz w:val="20"/>
                <w:szCs w:val="20"/>
                <w:color w:val="auto"/>
              </w:rPr>
            </w:pPr>
            <w:r>
              <w:rPr>
                <w:rFonts w:ascii="Times New Roman" w:cs="Times New Roman" w:eastAsia="Times New Roman" w:hAnsi="Times New Roman"/>
                <w:sz w:val="22"/>
                <w:szCs w:val="22"/>
                <w:color w:val="auto"/>
              </w:rPr>
              <w:t>Nine Months Ended</w:t>
            </w:r>
          </w:p>
        </w:tc>
        <w:tc>
          <w:tcPr>
            <w:tcW w:w="20" w:type="dxa"/>
            <w:vAlign w:val="bottom"/>
          </w:tcPr>
          <w:p>
            <w:pPr>
              <w:spacing w:after="0"/>
              <w:rPr>
                <w:sz w:val="17"/>
                <w:szCs w:val="17"/>
                <w:color w:val="auto"/>
              </w:rPr>
            </w:pPr>
          </w:p>
        </w:tc>
      </w:tr>
      <w:tr>
        <w:trPr>
          <w:trHeight w:val="257"/>
        </w:trPr>
        <w:tc>
          <w:tcPr>
            <w:tcW w:w="3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8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38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22"/>
                <w:szCs w:val="22"/>
                <w:color w:val="auto"/>
              </w:rPr>
              <w:t>2022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w w:val="95"/>
              </w:rPr>
              <w:t>2021</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2022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2021</w:t>
            </w:r>
          </w:p>
        </w:tc>
        <w:tc>
          <w:tcPr>
            <w:tcW w:w="20" w:type="dxa"/>
            <w:vAlign w:val="bottom"/>
          </w:tcPr>
          <w:p>
            <w:pPr>
              <w:spacing w:after="0"/>
              <w:rPr>
                <w:sz w:val="22"/>
                <w:szCs w:val="22"/>
                <w:color w:val="auto"/>
              </w:rPr>
            </w:pPr>
          </w:p>
        </w:tc>
      </w:tr>
      <w:tr>
        <w:trPr>
          <w:trHeight w:val="26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Service cost</w:t>
            </w:r>
          </w:p>
        </w:tc>
        <w:tc>
          <w:tcPr>
            <w:tcW w:w="9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707</w:t>
            </w: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775</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2,121</w:t>
            </w:r>
          </w:p>
        </w:tc>
        <w:tc>
          <w:tcPr>
            <w:tcW w:w="2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2,728</w:t>
            </w:r>
          </w:p>
        </w:tc>
        <w:tc>
          <w:tcPr>
            <w:tcW w:w="20" w:type="dxa"/>
            <w:vAlign w:val="bottom"/>
          </w:tcPr>
          <w:p>
            <w:pPr>
              <w:spacing w:after="0"/>
              <w:rPr>
                <w:sz w:val="22"/>
                <w:szCs w:val="22"/>
                <w:color w:val="auto"/>
              </w:rPr>
            </w:pPr>
          </w:p>
        </w:tc>
      </w:tr>
      <w:tr>
        <w:trPr>
          <w:trHeight w:val="284"/>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Interest cost</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3,351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9,605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9,667</w:t>
            </w:r>
          </w:p>
        </w:tc>
        <w:tc>
          <w:tcPr>
            <w:tcW w:w="20" w:type="dxa"/>
            <w:vAlign w:val="bottom"/>
          </w:tcPr>
          <w:p>
            <w:pPr>
              <w:spacing w:after="0"/>
              <w:rPr>
                <w:sz w:val="24"/>
                <w:szCs w:val="24"/>
                <w:color w:val="auto"/>
              </w:rPr>
            </w:pPr>
          </w:p>
        </w:tc>
      </w:tr>
      <w:tr>
        <w:trPr>
          <w:trHeight w:val="28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Expected return on plan assets</w:t>
            </w:r>
          </w:p>
        </w:tc>
        <w:tc>
          <w:tcPr>
            <w:tcW w:w="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2"/>
                <w:szCs w:val="22"/>
                <w:color w:val="auto"/>
              </w:rPr>
              <w:t>(5,895)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(5,733)</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(17,684)</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(17,432)</w:t>
            </w:r>
          </w:p>
        </w:tc>
        <w:tc>
          <w:tcPr>
            <w:tcW w:w="20" w:type="dxa"/>
            <w:vAlign w:val="bottom"/>
          </w:tcPr>
          <w:p>
            <w:pPr>
              <w:spacing w:after="0"/>
              <w:rPr>
                <w:sz w:val="24"/>
                <w:szCs w:val="24"/>
                <w:color w:val="auto"/>
              </w:rPr>
            </w:pPr>
          </w:p>
        </w:tc>
      </w:tr>
      <w:tr>
        <w:trPr>
          <w:trHeight w:val="283"/>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prior service cost</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419</w:t>
            </w:r>
          </w:p>
        </w:tc>
        <w:tc>
          <w:tcPr>
            <w:tcW w:w="20" w:type="dxa"/>
            <w:vAlign w:val="bottom"/>
          </w:tcPr>
          <w:p>
            <w:pPr>
              <w:spacing w:after="0"/>
              <w:rPr>
                <w:sz w:val="24"/>
                <w:szCs w:val="24"/>
                <w:color w:val="auto"/>
              </w:rPr>
            </w:pPr>
          </w:p>
        </w:tc>
      </w:tr>
      <w:tr>
        <w:trPr>
          <w:trHeight w:val="28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Amortization of actuarial loss</w:t>
            </w:r>
          </w:p>
        </w:tc>
        <w:tc>
          <w:tcPr>
            <w:tcW w:w="6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555</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1,306</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2,352</w:t>
            </w:r>
          </w:p>
        </w:tc>
        <w:tc>
          <w:tcPr>
            <w:tcW w:w="20" w:type="dxa"/>
            <w:vAlign w:val="bottom"/>
          </w:tcPr>
          <w:p>
            <w:pPr>
              <w:spacing w:after="0"/>
              <w:rPr>
                <w:sz w:val="24"/>
                <w:szCs w:val="24"/>
                <w:color w:val="auto"/>
              </w:rPr>
            </w:pPr>
          </w:p>
        </w:tc>
      </w:tr>
      <w:tr>
        <w:trPr>
          <w:trHeight w:val="250"/>
        </w:trPr>
        <w:tc>
          <w:tcPr>
            <w:tcW w:w="38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Net periodic benefit cost (credit)</w:t>
            </w:r>
          </w:p>
        </w:tc>
        <w:tc>
          <w:tcPr>
            <w:tcW w:w="640" w:type="dxa"/>
            <w:vAlign w:val="bottom"/>
          </w:tcPr>
          <w:p>
            <w:pPr>
              <w:spacing w:after="0"/>
              <w:rPr>
                <w:sz w:val="21"/>
                <w:szCs w:val="21"/>
                <w:color w:val="auto"/>
              </w:rPr>
            </w:pPr>
          </w:p>
        </w:tc>
        <w:tc>
          <w:tcPr>
            <w:tcW w:w="340" w:type="dxa"/>
            <w:vAlign w:val="bottom"/>
            <w:tcBorders>
              <w:bottom w:val="single" w:sz="8" w:color="auto"/>
            </w:tcBorders>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(912)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jc w:val="center"/>
              <w:ind w:right="2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(4,250)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(2,266)</w:t>
            </w:r>
          </w:p>
        </w:tc>
        <w:tc>
          <w:tcPr>
            <w:tcW w:w="20" w:type="dxa"/>
            <w:vAlign w:val="bottom"/>
          </w:tcPr>
          <w:p>
            <w:pPr>
              <w:spacing w:after="0"/>
              <w:rPr>
                <w:sz w:val="21"/>
                <w:szCs w:val="2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Other</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3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22"/>
                <w:szCs w:val="22"/>
                <w:color w:val="auto"/>
                <w:w w:val="98"/>
              </w:rPr>
              <w:t>Postretirement Benefits</w:t>
            </w: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540"/>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5"/>
          </w:tcPr>
          <w:p>
            <w:pPr>
              <w:jc w:val="right"/>
              <w:ind w:right="632"/>
              <w:spacing w:after="0" w:line="196" w:lineRule="exact"/>
              <w:rPr>
                <w:sz w:val="20"/>
                <w:szCs w:val="20"/>
                <w:color w:val="auto"/>
              </w:rPr>
            </w:pPr>
            <w:r>
              <w:rPr>
                <w:rFonts w:ascii="Times New Roman" w:cs="Times New Roman" w:eastAsia="Times New Roman" w:hAnsi="Times New Roman"/>
                <w:sz w:val="22"/>
                <w:szCs w:val="22"/>
                <w:color w:val="auto"/>
              </w:rPr>
              <w:t>Nine Months Ended</w:t>
            </w:r>
          </w:p>
        </w:tc>
        <w:tc>
          <w:tcPr>
            <w:tcW w:w="20" w:type="dxa"/>
            <w:vAlign w:val="bottom"/>
          </w:tcPr>
          <w:p>
            <w:pPr>
              <w:spacing w:after="0"/>
              <w:rPr>
                <w:sz w:val="17"/>
                <w:szCs w:val="17"/>
                <w:color w:val="auto"/>
              </w:rPr>
            </w:pPr>
          </w:p>
        </w:tc>
      </w:tr>
      <w:tr>
        <w:trPr>
          <w:trHeight w:val="257"/>
        </w:trPr>
        <w:tc>
          <w:tcPr>
            <w:tcW w:w="3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60" w:type="dxa"/>
            <w:vAlign w:val="bottom"/>
            <w:gridSpan w:val="6"/>
          </w:tcPr>
          <w:p>
            <w:pPr>
              <w:jc w:val="right"/>
              <w:ind w:right="820"/>
              <w:spacing w:after="0"/>
              <w:rPr>
                <w:sz w:val="20"/>
                <w:szCs w:val="20"/>
                <w:color w:val="auto"/>
              </w:rPr>
            </w:pPr>
            <w:r>
              <w:rPr>
                <w:rFonts w:ascii="Times New Roman" w:cs="Times New Roman" w:eastAsia="Times New Roman" w:hAnsi="Times New Roman"/>
                <w:sz w:val="22"/>
                <w:szCs w:val="22"/>
                <w:color w:val="auto"/>
              </w:rPr>
              <w:t>September 30,</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20" w:type="dxa"/>
            <w:vAlign w:val="bottom"/>
            <w:gridSpan w:val="6"/>
          </w:tcPr>
          <w:p>
            <w:pPr>
              <w:jc w:val="right"/>
              <w:ind w:right="1000"/>
              <w:spacing w:after="0"/>
              <w:rPr>
                <w:sz w:val="20"/>
                <w:szCs w:val="20"/>
                <w:color w:val="auto"/>
              </w:rPr>
            </w:pPr>
            <w:r>
              <w:rPr>
                <w:rFonts w:ascii="Times New Roman" w:cs="Times New Roman" w:eastAsia="Times New Roman" w:hAnsi="Times New Roman"/>
                <w:sz w:val="22"/>
                <w:szCs w:val="22"/>
                <w:color w:val="auto"/>
              </w:rPr>
              <w:t>September 30,</w:t>
            </w:r>
          </w:p>
        </w:tc>
      </w:tr>
      <w:tr>
        <w:trPr>
          <w:trHeight w:val="263"/>
        </w:trPr>
        <w:tc>
          <w:tcPr>
            <w:tcW w:w="38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22"/>
                <w:szCs w:val="22"/>
                <w:color w:val="auto"/>
              </w:rPr>
              <w:t>2022</w:t>
            </w: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w w:val="95"/>
              </w:rPr>
              <w:t>2021</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2022</w:t>
            </w:r>
          </w:p>
        </w:tc>
        <w:tc>
          <w:tcPr>
            <w:tcW w:w="22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2021</w:t>
            </w:r>
          </w:p>
        </w:tc>
        <w:tc>
          <w:tcPr>
            <w:tcW w:w="20" w:type="dxa"/>
            <w:vAlign w:val="bottom"/>
          </w:tcPr>
          <w:p>
            <w:pPr>
              <w:spacing w:after="0"/>
              <w:rPr>
                <w:sz w:val="22"/>
                <w:szCs w:val="22"/>
                <w:color w:val="auto"/>
              </w:rPr>
            </w:pPr>
          </w:p>
        </w:tc>
      </w:tr>
      <w:tr>
        <w:trPr>
          <w:trHeight w:val="26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Service cost</w:t>
            </w:r>
          </w:p>
        </w:tc>
        <w:tc>
          <w:tcPr>
            <w:tcW w:w="9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478</w:t>
            </w: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698</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1,433</w:t>
            </w:r>
          </w:p>
        </w:tc>
        <w:tc>
          <w:tcPr>
            <w:tcW w:w="2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2,094</w:t>
            </w:r>
          </w:p>
        </w:tc>
        <w:tc>
          <w:tcPr>
            <w:tcW w:w="20" w:type="dxa"/>
            <w:vAlign w:val="bottom"/>
          </w:tcPr>
          <w:p>
            <w:pPr>
              <w:spacing w:after="0"/>
              <w:rPr>
                <w:sz w:val="22"/>
                <w:szCs w:val="22"/>
                <w:color w:val="auto"/>
              </w:rPr>
            </w:pPr>
          </w:p>
        </w:tc>
      </w:tr>
      <w:tr>
        <w:trPr>
          <w:trHeight w:val="284"/>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Interest cost</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2,520</w:t>
            </w:r>
          </w:p>
        </w:tc>
        <w:tc>
          <w:tcPr>
            <w:tcW w:w="20" w:type="dxa"/>
            <w:vAlign w:val="bottom"/>
          </w:tcPr>
          <w:p>
            <w:pPr>
              <w:spacing w:after="0"/>
              <w:rPr>
                <w:sz w:val="24"/>
                <w:szCs w:val="24"/>
                <w:color w:val="auto"/>
              </w:rPr>
            </w:pPr>
          </w:p>
        </w:tc>
      </w:tr>
      <w:tr>
        <w:trPr>
          <w:trHeight w:val="28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Expected return on plan assets</w:t>
            </w:r>
          </w:p>
        </w:tc>
        <w:tc>
          <w:tcPr>
            <w:tcW w:w="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2"/>
                <w:szCs w:val="22"/>
                <w:color w:val="auto"/>
              </w:rPr>
              <w:t>(1,142)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(1,039)</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(3,376)</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(3,117)</w:t>
            </w:r>
          </w:p>
        </w:tc>
        <w:tc>
          <w:tcPr>
            <w:tcW w:w="20" w:type="dxa"/>
            <w:vAlign w:val="bottom"/>
          </w:tcPr>
          <w:p>
            <w:pPr>
              <w:spacing w:after="0"/>
              <w:rPr>
                <w:sz w:val="24"/>
                <w:szCs w:val="24"/>
                <w:color w:val="auto"/>
              </w:rPr>
            </w:pPr>
          </w:p>
        </w:tc>
      </w:tr>
      <w:tr>
        <w:trPr>
          <w:trHeight w:val="283"/>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prior service credit</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(108)</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(324)</w:t>
            </w:r>
          </w:p>
        </w:tc>
      </w:tr>
      <w:tr>
        <w:trPr>
          <w:trHeight w:val="27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Amortization of actuarial (gain) loss</w:t>
            </w: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2"/>
                <w:szCs w:val="22"/>
                <w:color w:val="auto"/>
              </w:rPr>
              <w:t>(334)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(1,002)</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165</w:t>
            </w:r>
          </w:p>
        </w:tc>
        <w:tc>
          <w:tcPr>
            <w:tcW w:w="20" w:type="dxa"/>
            <w:vAlign w:val="bottom"/>
          </w:tcPr>
          <w:p>
            <w:pPr>
              <w:spacing w:after="0"/>
              <w:rPr>
                <w:sz w:val="23"/>
                <w:szCs w:val="23"/>
                <w:color w:val="auto"/>
              </w:rPr>
            </w:pPr>
          </w:p>
        </w:tc>
      </w:tr>
      <w:tr>
        <w:trPr>
          <w:trHeight w:val="250"/>
        </w:trPr>
        <w:tc>
          <w:tcPr>
            <w:tcW w:w="38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Net periodic benefit (credit) cost</w:t>
            </w:r>
          </w:p>
        </w:tc>
        <w:tc>
          <w:tcPr>
            <w:tcW w:w="64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446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center"/>
              <w:ind w:right="2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(418)</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1,338</w:t>
            </w:r>
          </w:p>
        </w:tc>
        <w:tc>
          <w:tcPr>
            <w:tcW w:w="20" w:type="dxa"/>
            <w:vAlign w:val="bottom"/>
          </w:tcPr>
          <w:p>
            <w:pPr>
              <w:spacing w:after="0"/>
              <w:rPr>
                <w:sz w:val="21"/>
                <w:szCs w:val="2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net periodic benefit (credit)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(credit) cost other than service cost in the consolidated statements of operations and comprehensive income on the line item “Other”.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540"/>
        <w:spacing w:after="0" w:line="245" w:lineRule="auto"/>
        <w:rPr>
          <w:sz w:val="20"/>
          <w:szCs w:val="20"/>
          <w:color w:val="auto"/>
        </w:rPr>
      </w:pPr>
      <w:r>
        <w:rPr>
          <w:rFonts w:ascii="Times New Roman" w:cs="Times New Roman" w:eastAsia="Times New Roman" w:hAnsi="Times New Roman"/>
          <w:sz w:val="22"/>
          <w:szCs w:val="22"/>
          <w:color w:val="auto"/>
        </w:rPr>
        <w:t>There were $20,390 cash contributions made to the Pension Plan during the first nine months of 2022, which completed the Company’s expected cash contributions for the year.</w:t>
      </w:r>
    </w:p>
    <w:p>
      <w:pPr>
        <w:spacing w:after="0" w:line="18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1"/>
          <w:szCs w:val="21"/>
          <w:color w:val="auto"/>
        </w:rPr>
        <w:t>In September 2022, we remeasured our qualified pension plan assets and liabilities in accordance with settlement accounting rules. Settlement accounting was required due to the amount of lump-sum payments by our qualified pension plan to retirees and other separated employees exceeding the threshold of service and interest cost for the period. The discount rate used for the remeasurement as of September 30, 2022 was 5.58% compared to 2.91% at our December 31, 2021 last annual remeasurement date. The remeasurement did not have a material impact to our consolidated financial statements. The settlement loss of $2,300 was recorded as a regulatory asset, as it is probable of recovery in future rates, and will be amortized into pension benefit costs. A settlement loss is the recognition of unrecognized pension benefit costs that would have been incurred in subsequent periods.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Rate Activity</w:t>
      </w:r>
    </w:p>
    <w:p>
      <w:pPr>
        <w:spacing w:after="0" w:line="21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1"/>
          <w:szCs w:val="21"/>
          <w:color w:val="auto"/>
        </w:rPr>
        <w:t>On May 16, 2022, the Company’s regulated water and wastewater operating subsidiary in Pennsylvania, Aqua Pennsylvania, received an order from the Pennsylvania Public Utility Commission that allowed base rate increases that would increase total annual operating revenues by $69,251. New rates went into effect on May 19, 2022. At the time the rate order was received, the rates in effect also included $35,470 in Distribution System Improvement Charges (“DSIC”), which was 7.2% above prior base rates. Consequently, the aggregate base rates increased by $104,721 since the last base rate increase and DSIC was reset to zero.</w:t>
      </w:r>
    </w:p>
    <w:p>
      <w:pPr>
        <w:spacing w:after="0" w:line="19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January 3, 2022, the Company’s natural gas operating division in Kentucky received an order from the Kentucky Public Service Commission resulting in an increase of $5,238 in annual revenues, and new rates went into effect on January 4, 2022. On June 7, 2022, an additional $260 was approved and made effective by the Commission, resulting from a rehearing requested by the operating division.</w:t>
      </w:r>
    </w:p>
    <w:p>
      <w:pPr>
        <w:spacing w:after="0" w:line="179" w:lineRule="exact"/>
        <w:rPr>
          <w:sz w:val="20"/>
          <w:szCs w:val="20"/>
          <w:color w:val="auto"/>
        </w:rPr>
      </w:pPr>
    </w:p>
    <w:p>
      <w:pPr>
        <w:jc w:val="both"/>
        <w:ind w:right="140"/>
        <w:spacing w:after="0" w:line="238" w:lineRule="auto"/>
        <w:rPr>
          <w:sz w:val="20"/>
          <w:szCs w:val="20"/>
          <w:color w:val="auto"/>
        </w:rPr>
      </w:pPr>
      <w:r>
        <w:rPr>
          <w:rFonts w:ascii="Times New Roman" w:cs="Times New Roman" w:eastAsia="Times New Roman" w:hAnsi="Times New Roman"/>
          <w:sz w:val="22"/>
          <w:szCs w:val="22"/>
          <w:color w:val="auto"/>
        </w:rPr>
        <w:t>On June 30, 2022, the Company’s regulated water and wastewater operating subsidiary in North Carolina, Aqua North Carolina, filed an application with the North Carolina Utilities Commission designed to increase rates by $18,064 in the first year of new rates being implemented, then an additional $4,303 and $4,577 in the second and third years, respectively.</w:t>
      </w:r>
    </w:p>
    <w:p>
      <w:pPr>
        <w:spacing w:after="0" w:line="179"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22"/>
          <w:szCs w:val="22"/>
          <w:color w:val="auto"/>
        </w:rPr>
        <w:t>On September 21, 2022, our regulated water and wastewater utility operating divisions in Ohio received an order from the Public Utilities Commission of Ohio which will increase operating revenues by $5,483 annually. New rates for water and sewer service went into effect on September 21, 2022.</w:t>
      </w:r>
    </w:p>
    <w:p>
      <w:pPr>
        <w:spacing w:after="0" w:line="17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During the first nine months of 2022, the Company’s two other water utility operating divisions in Ohio were granted base rate increases designed to increase total operating revenues on an annual basis by $1,378. Further, during the first nine months of 2022, the Company received approval to bill infrastructure rehabilitation surcharges designed to increase total operating revenues on an annual basis by $7,160 in its water and wastewater utility operating divisions in Pennsylvania, North Carolina, and Illinois.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80" w:type="dxa"/>
            <w:vAlign w:val="bottom"/>
            <w:gridSpan w:val="5"/>
          </w:tcPr>
          <w:p>
            <w:pPr>
              <w:jc w:val="center"/>
              <w:ind w:right="52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60" w:type="dxa"/>
            <w:vAlign w:val="bottom"/>
          </w:tcPr>
          <w:p>
            <w:pPr>
              <w:spacing w:after="0"/>
              <w:rPr>
                <w:sz w:val="22"/>
                <w:szCs w:val="22"/>
                <w:color w:val="auto"/>
              </w:rPr>
            </w:pPr>
          </w:p>
        </w:tc>
        <w:tc>
          <w:tcPr>
            <w:tcW w:w="310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80" w:type="dxa"/>
            <w:vAlign w:val="bottom"/>
            <w:gridSpan w:val="5"/>
          </w:tcPr>
          <w:p>
            <w:pPr>
              <w:jc w:val="center"/>
              <w:ind w:right="520"/>
              <w:spacing w:after="0"/>
              <w:rPr>
                <w:sz w:val="20"/>
                <w:szCs w:val="20"/>
                <w:color w:val="auto"/>
              </w:rPr>
            </w:pPr>
            <w:r>
              <w:rPr>
                <w:rFonts w:ascii="Times New Roman" w:cs="Times New Roman" w:eastAsia="Times New Roman" w:hAnsi="Times New Roman"/>
                <w:sz w:val="22"/>
                <w:szCs w:val="22"/>
                <w:color w:val="auto"/>
                <w:w w:val="99"/>
              </w:rPr>
              <w:t>September 30,</w:t>
            </w:r>
          </w:p>
        </w:tc>
        <w:tc>
          <w:tcPr>
            <w:tcW w:w="36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060" w:type="dxa"/>
            <w:vAlign w:val="bottom"/>
          </w:tcPr>
          <w:p>
            <w:pPr>
              <w:spacing w:after="0"/>
              <w:rPr>
                <w:sz w:val="22"/>
                <w:szCs w:val="22"/>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99"/>
              </w:rPr>
              <w:t>2021</w:t>
            </w:r>
          </w:p>
        </w:tc>
      </w:tr>
      <w:tr>
        <w:trPr>
          <w:trHeight w:val="223"/>
        </w:trPr>
        <w:tc>
          <w:tcPr>
            <w:tcW w:w="45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Property</w:t>
            </w:r>
          </w:p>
        </w:tc>
        <w:tc>
          <w:tcPr>
            <w:tcW w:w="280" w:type="dxa"/>
            <w:vAlign w:val="bottom"/>
            <w:shd w:val="clear" w:color="auto" w:fill="CCEEFF"/>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8,545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8,623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24,798</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25,907</w:t>
            </w:r>
          </w:p>
        </w:tc>
      </w:tr>
      <w:tr>
        <w:trPr>
          <w:trHeight w:val="229"/>
        </w:trPr>
        <w:tc>
          <w:tcPr>
            <w:tcW w:w="45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4,371</w:t>
            </w:r>
          </w:p>
        </w:tc>
        <w:tc>
          <w:tcPr>
            <w:tcW w:w="30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12,484</w:t>
            </w:r>
          </w:p>
        </w:tc>
        <w:tc>
          <w:tcPr>
            <w:tcW w:w="58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11,857</w:t>
            </w:r>
          </w:p>
        </w:tc>
      </w:tr>
      <w:tr>
        <w:trPr>
          <w:trHeight w:val="230"/>
        </w:trPr>
        <w:tc>
          <w:tcPr>
            <w:tcW w:w="45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Payroll</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4,695</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5,082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16,133</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16,556</w:t>
            </w:r>
          </w:p>
        </w:tc>
      </w:tr>
      <w:tr>
        <w:trPr>
          <w:trHeight w:val="229"/>
        </w:trPr>
        <w:tc>
          <w:tcPr>
            <w:tcW w:w="45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Regulatory assessments</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1,486</w:t>
            </w:r>
          </w:p>
        </w:tc>
        <w:tc>
          <w:tcPr>
            <w:tcW w:w="30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951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5,063</w:t>
            </w:r>
          </w:p>
        </w:tc>
        <w:tc>
          <w:tcPr>
            <w:tcW w:w="58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2,637</w:t>
            </w:r>
          </w:p>
        </w:tc>
      </w:tr>
      <w:tr>
        <w:trPr>
          <w:trHeight w:val="229"/>
        </w:trPr>
        <w:tc>
          <w:tcPr>
            <w:tcW w:w="452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Pumping fees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2,824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1,752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6,147</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4,343</w:t>
            </w:r>
          </w:p>
        </w:tc>
      </w:tr>
      <w:tr>
        <w:trPr>
          <w:trHeight w:val="230"/>
        </w:trPr>
        <w:tc>
          <w:tcPr>
            <w:tcW w:w="45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704</w:t>
            </w:r>
          </w:p>
        </w:tc>
        <w:tc>
          <w:tcPr>
            <w:tcW w:w="30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2"/>
                <w:szCs w:val="22"/>
                <w:color w:val="auto"/>
              </w:rPr>
              <w:t>2,727</w:t>
            </w:r>
          </w:p>
        </w:tc>
        <w:tc>
          <w:tcPr>
            <w:tcW w:w="58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1,919</w:t>
            </w:r>
          </w:p>
        </w:tc>
      </w:tr>
      <w:tr>
        <w:trPr>
          <w:trHeight w:val="223"/>
        </w:trPr>
        <w:tc>
          <w:tcPr>
            <w:tcW w:w="452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280" w:type="dxa"/>
            <w:vAlign w:val="bottom"/>
            <w:tcBorders>
              <w:top w:val="single" w:sz="8" w:color="auto"/>
              <w:bottom w:val="single" w:sz="8" w:color="auto"/>
            </w:tcBorders>
            <w:shd w:val="clear" w:color="auto" w:fill="CCEEFF"/>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22,625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21,058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67,352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63,219</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Segment Information</w:t>
      </w:r>
    </w:p>
    <w:p>
      <w:pPr>
        <w:spacing w:after="0" w:line="21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1"/>
          <w:szCs w:val="21"/>
          <w:color w:val="auto"/>
        </w:rPr>
        <w:t>The Company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6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1"/>
          <w:szCs w:val="21"/>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Prior to the October 30, 2020 sale of our investment in joint venture, Aqua Infrastructure provided non-utility raw water supply services for firms in the natural gas drilling industry.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 The Regulated Water and Regulated Natural Gas segments report interest expense that includes long-term debt that was pushed-down to the regulated operating subsidiaries from Essential Utilities,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color w:val="auto"/>
              </w:rPr>
              <w:t>September 30, 2022</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color w:val="auto"/>
              </w:rPr>
              <w:t>September 30, 2021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60" w:type="dxa"/>
            <w:vAlign w:val="bottom"/>
          </w:tcPr>
          <w:p>
            <w:pPr>
              <w:spacing w:after="0"/>
              <w:rPr>
                <w:sz w:val="11"/>
                <w:szCs w:val="11"/>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1"/>
                <w:szCs w:val="11"/>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301,335</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118,985</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14,298</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434,618</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259,859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94,752</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7,249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361,860</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139,355</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25,488</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74,507</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16,809</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1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22,625</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16,291</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21,058</w:t>
            </w:r>
          </w:p>
        </w:tc>
        <w:tc>
          <w:tcPr>
            <w:tcW w:w="0" w:type="dxa"/>
            <w:vAlign w:val="bottom"/>
          </w:tcPr>
          <w:p>
            <w:pPr>
              <w:spacing w:after="0"/>
              <w:rPr>
                <w:sz w:val="1"/>
                <w:szCs w:val="1"/>
                <w:color w:val="auto"/>
              </w:rPr>
            </w:pPr>
          </w:p>
        </w:tc>
      </w:tr>
      <w:tr>
        <w:trPr>
          <w:trHeight w:val="155"/>
        </w:trPr>
        <w:tc>
          <w:tcPr>
            <w:tcW w:w="2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138,150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(9,357)</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(2,932)</w:t>
            </w:r>
          </w:p>
        </w:tc>
        <w:tc>
          <w:tcPr>
            <w:tcW w:w="1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125,861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111,139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(12,053)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101,452</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 (a)</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51,567</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(651)</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(5,812)</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(5,407)</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(1,896)</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55"/>
        </w:trPr>
        <w:tc>
          <w:tcPr>
            <w:tcW w:w="2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Income before income taxes</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117,768</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(29,867)</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(14,466)</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73,435</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91,053</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(35,113)</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(3,672)</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52,268</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19,182</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(12,734)</w:t>
            </w: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(6,821)</w:t>
            </w: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0" w:type="dxa"/>
            <w:vAlign w:val="bottom"/>
          </w:tcPr>
          <w:p>
            <w:pPr>
              <w:spacing w:after="0"/>
              <w:rPr>
                <w:sz w:val="1"/>
                <w:szCs w:val="1"/>
                <w:color w:val="auto"/>
              </w:rPr>
            </w:pPr>
          </w:p>
        </w:tc>
      </w:tr>
      <w:tr>
        <w:trPr>
          <w:trHeight w:val="156"/>
        </w:trPr>
        <w:tc>
          <w:tcPr>
            <w:tcW w:w="2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98,586</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(17,133)</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(12,815)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68,638</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81,823</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(28,292)</w:t>
            </w:r>
          </w:p>
        </w:tc>
        <w:tc>
          <w:tcPr>
            <w:tcW w:w="260" w:type="dxa"/>
            <w:vAlign w:val="bottom"/>
            <w:tcBorders>
              <w:bottom w:val="single" w:sz="8" w:color="auto"/>
            </w:tcBorders>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(3,028)</w:t>
            </w: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50,503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color w:val="auto"/>
              </w:rPr>
              <w:t>Nine Months Ended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color w:val="auto"/>
              </w:rPr>
              <w:t>Nine Months Ended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color w:val="auto"/>
              </w:rPr>
              <w:t>September 30, 2022</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color w:val="auto"/>
              </w:rPr>
              <w:t>September 30, 2021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60" w:type="dxa"/>
            <w:vAlign w:val="bottom"/>
          </w:tcPr>
          <w:p>
            <w:pPr>
              <w:spacing w:after="0"/>
              <w:rPr>
                <w:sz w:val="11"/>
                <w:szCs w:val="11"/>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10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4"/>
                <w:szCs w:val="14"/>
                <w:color w:val="auto"/>
              </w:rPr>
              <w:t>Regulated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1"/>
                <w:szCs w:val="11"/>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Water</w:t>
            </w: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809,888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731,897</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40,864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1,582,649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736,389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579,429</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26,639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1,342,457</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273,757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156,209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428,923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(8,740)</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391,945</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321,822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202,538</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150,498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83,905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221,623</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48,262</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16,878</w:t>
            </w:r>
          </w:p>
        </w:tc>
        <w:tc>
          <w:tcPr>
            <w:tcW w:w="1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67,352</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47,756</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63,219</w:t>
            </w:r>
          </w:p>
        </w:tc>
        <w:tc>
          <w:tcPr>
            <w:tcW w:w="0" w:type="dxa"/>
            <w:vAlign w:val="bottom"/>
          </w:tcPr>
          <w:p>
            <w:pPr>
              <w:spacing w:after="0"/>
              <w:rPr>
                <w:sz w:val="1"/>
                <w:szCs w:val="1"/>
                <w:color w:val="auto"/>
              </w:rPr>
            </w:pPr>
          </w:p>
        </w:tc>
      </w:tr>
      <w:tr>
        <w:trPr>
          <w:trHeight w:val="156"/>
        </w:trPr>
        <w:tc>
          <w:tcPr>
            <w:tcW w:w="2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337,371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147,858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491,226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309,373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141,492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12,267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463,132</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82,920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60,146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166,402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153,647</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(2,145)</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(17,802)</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(13,091)</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(13,922)</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(5,265)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55"/>
        </w:trPr>
        <w:tc>
          <w:tcPr>
            <w:tcW w:w="2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Income before income taxes</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275,999</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89,453</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(19,483)</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345,969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246,758</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81,736</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(3,071)</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325,423</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(44,378)</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(4,336)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(11,128)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10,317</w:t>
            </w:r>
          </w:p>
        </w:tc>
        <w:tc>
          <w:tcPr>
            <w:tcW w:w="0" w:type="dxa"/>
            <w:vAlign w:val="bottom"/>
          </w:tcPr>
          <w:p>
            <w:pPr>
              <w:spacing w:after="0"/>
              <w:rPr>
                <w:sz w:val="1"/>
                <w:szCs w:val="1"/>
                <w:color w:val="auto"/>
              </w:rPr>
            </w:pPr>
          </w:p>
        </w:tc>
      </w:tr>
      <w:tr>
        <w:trPr>
          <w:trHeight w:val="195"/>
        </w:trPr>
        <w:tc>
          <w:tcPr>
            <w:tcW w:w="28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235,471</w:t>
            </w: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133,831</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(18,997)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350,305</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224,702</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92,864</w:t>
            </w:r>
          </w:p>
        </w:tc>
        <w:tc>
          <w:tcPr>
            <w:tcW w:w="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(2,460)</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315,106</w:t>
            </w:r>
          </w:p>
        </w:tc>
        <w:tc>
          <w:tcPr>
            <w:tcW w:w="0" w:type="dxa"/>
            <w:vAlign w:val="bottom"/>
          </w:tcPr>
          <w:p>
            <w:pPr>
              <w:spacing w:after="0"/>
              <w:rPr>
                <w:sz w:val="1"/>
                <w:szCs w:val="1"/>
                <w:color w:val="auto"/>
              </w:rPr>
            </w:pPr>
          </w:p>
        </w:tc>
      </w:tr>
      <w:tr>
        <w:trPr>
          <w:trHeight w:val="143"/>
        </w:trPr>
        <w:tc>
          <w:tcPr>
            <w:tcW w:w="28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382,853</w:t>
            </w:r>
          </w:p>
        </w:tc>
        <w:tc>
          <w:tcPr>
            <w:tcW w:w="180" w:type="dxa"/>
            <w:vAlign w:val="bottom"/>
            <w:tcBorders>
              <w:bottom w:val="single" w:sz="8" w:color="auto"/>
            </w:tcBorders>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335,738</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shd w:val="clear" w:color="auto" w:fill="CCEEFF"/>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1,097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719,688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404,894</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269,958</w:t>
            </w:r>
          </w:p>
        </w:tc>
        <w:tc>
          <w:tcPr>
            <w:tcW w:w="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gridSpan w:val="2"/>
            <w:shd w:val="clear" w:color="auto" w:fill="CCEEFF"/>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993</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675,845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60" w:firstLine="8"/>
        <w:spacing w:after="0"/>
        <w:tabs>
          <w:tab w:leader="none" w:pos="163"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regulated water and regulated natural gas segments report interest expense that includes long-term debt that was pushed-down to the regulated operating subsidiaries from Essential Utilities, Inc.</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9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September 30,</w:t>
            </w:r>
          </w:p>
        </w:tc>
        <w:tc>
          <w:tcPr>
            <w:tcW w:w="520" w:type="dxa"/>
            <w:vAlign w:val="bottom"/>
          </w:tcPr>
          <w:p>
            <w:pPr>
              <w:spacing w:after="0"/>
              <w:rPr>
                <w:sz w:val="21"/>
                <w:szCs w:val="21"/>
                <w:color w:val="auto"/>
              </w:rPr>
            </w:pPr>
          </w:p>
        </w:tc>
        <w:tc>
          <w:tcPr>
            <w:tcW w:w="2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December 31,</w:t>
            </w:r>
          </w:p>
        </w:tc>
        <w:tc>
          <w:tcPr>
            <w:tcW w:w="0" w:type="dxa"/>
            <w:vAlign w:val="bottom"/>
          </w:tcPr>
          <w:p>
            <w:pPr>
              <w:spacing w:after="0"/>
              <w:rPr>
                <w:sz w:val="1"/>
                <w:szCs w:val="1"/>
                <w:color w:val="auto"/>
              </w:rPr>
            </w:pPr>
          </w:p>
        </w:tc>
      </w:tr>
      <w:tr>
        <w:trPr>
          <w:trHeight w:val="257"/>
        </w:trPr>
        <w:tc>
          <w:tcPr>
            <w:tcW w:w="4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3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jc w:val="right"/>
              <w:ind w:right="1152"/>
              <w:spacing w:after="0"/>
              <w:rPr>
                <w:sz w:val="20"/>
                <w:szCs w:val="20"/>
                <w:color w:val="auto"/>
              </w:rPr>
            </w:pPr>
            <w:r>
              <w:rPr>
                <w:rFonts w:ascii="Times New Roman" w:cs="Times New Roman" w:eastAsia="Times New Roman" w:hAnsi="Times New Roman"/>
                <w:sz w:val="22"/>
                <w:szCs w:val="22"/>
                <w:color w:val="auto"/>
              </w:rPr>
              <w:t>2022</w:t>
            </w:r>
          </w:p>
        </w:tc>
        <w:tc>
          <w:tcPr>
            <w:tcW w:w="3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22"/>
                <w:szCs w:val="22"/>
                <w:color w:val="auto"/>
              </w:rPr>
              <w:t>2021</w:t>
            </w: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Regulated water</w:t>
            </w:r>
          </w:p>
        </w:tc>
        <w:tc>
          <w:tcPr>
            <w:tcW w:w="380" w:type="dxa"/>
            <w:vAlign w:val="bottom"/>
            <w:shd w:val="clear" w:color="auto" w:fill="CCEEFF"/>
          </w:tcPr>
          <w:p>
            <w:pPr>
              <w:jc w:val="right"/>
              <w:ind w:right="15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25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8,666,230</w:t>
            </w: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25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8,403,586</w:t>
            </w: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Regulated natural gas</w:t>
            </w:r>
          </w:p>
        </w:tc>
        <w:tc>
          <w:tcPr>
            <w:tcW w:w="380" w:type="dxa"/>
            <w:vAlign w:val="bottom"/>
          </w:tcPr>
          <w:p>
            <w:pPr>
              <w:spacing w:after="0"/>
              <w:rPr>
                <w:sz w:val="19"/>
                <w:szCs w:val="19"/>
                <w:color w:val="auto"/>
              </w:rPr>
            </w:pPr>
          </w:p>
        </w:tc>
        <w:tc>
          <w:tcPr>
            <w:tcW w:w="2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6,163,931</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5,960,602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449,631</w:t>
            </w:r>
          </w:p>
        </w:tc>
        <w:tc>
          <w:tcPr>
            <w:tcW w:w="3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294,090</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CCEEFF"/>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Consolidated</w:t>
            </w:r>
          </w:p>
        </w:tc>
        <w:tc>
          <w:tcPr>
            <w:tcW w:w="38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15,279,792</w:t>
            </w:r>
          </w:p>
        </w:tc>
        <w:tc>
          <w:tcPr>
            <w:tcW w:w="3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14,658,278</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jc w:val="right"/>
              <w:ind w:right="1972"/>
              <w:spacing w:after="0"/>
              <w:rPr>
                <w:sz w:val="20"/>
                <w:szCs w:val="20"/>
                <w:color w:val="auto"/>
              </w:rPr>
            </w:pPr>
            <w:r>
              <w:rPr>
                <w:rFonts w:ascii="Times New Roman" w:cs="Times New Roman" w:eastAsia="Times New Roman" w:hAnsi="Times New Roman"/>
                <w:sz w:val="22"/>
                <w:szCs w:val="22"/>
                <w:color w:val="auto"/>
              </w:rPr>
              <w:t>27</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Commitments and Contingencies</w:t>
      </w:r>
    </w:p>
    <w:p>
      <w:pPr>
        <w:spacing w:after="0" w:line="212"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September 30, 2022, the aggregate amount of $20,395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September 30, 2022, estimates that approximately $2,131 of the amount accrued for these matters are probable of recovery through insurance, which amount is also reported in the Company’s consolidated balance sheet as deferred charges and other assets, net.</w:t>
      </w:r>
    </w:p>
    <w:p>
      <w:pPr>
        <w:spacing w:after="0" w:line="18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During a portion of 2019, the Company initiated a do not consume advisory for some of its water customers in one division served by the Company’s Illinois subsidiary. The do not consume advisory was lifted in 2019 and, in 2022, the water system was determined to be in compliance with the federal Lead and Copper Rule. During the second quarter of 2021, an amount was accrued for the portion of the fine or penalty that we determined to be probable and estimable of being incurred.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During the third quarter of 2022, the Company established an accrual for the amount of loss averred in the complaint that we determined to be probable and estimable of being incurred. The Company is vigorously defending against this claim. The Company submitted a claim for the expenses incurred to its insurance carrier for potential recovery of a portion of these costs.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85"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22"/>
          <w:szCs w:val="22"/>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79"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$2,327 at September 30, 2022 and represents a reserve for unpaid claim costs, including an estimate for the cost of incurred but not reported claims.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Income Taxes</w:t>
      </w:r>
    </w:p>
    <w:p>
      <w:pPr>
        <w:spacing w:after="0" w:line="22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color w:val="auto"/>
        </w:rPr>
        <w:t>The Company’s effective tax rate was 6.5% and (1.3)% for the three and nine months ended September 30, 2022, respectively. The Company’s effective tax rate was 3.4% and 3.2% for the three and nine months ended September 30, 2021, respectively. The increase in the effective tax rate for the third quarter of the year is primarily attributed to the increase in pretax income with a steady year-over-year income tax benefit associated with the tax deduction for qualifying infrastructure. The decrease in the effective tax rate for the first nine months of the year is primarily attributed to an increase in our income tax benefit associated with the tax deduction for qualifying infrastructure and the amortization of the regulatory liability for the tax repair catch-up adjustment during 2022 in our Regulated Natural Gas segment. In determining its interim tax provision, the Company reflects its estimated permanent and flow-through tax differences for the taxable year.</w:t>
      </w:r>
    </w:p>
    <w:p>
      <w:pPr>
        <w:spacing w:after="0" w:line="178"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The statutory Federal tax rate is 21.0% for the three and nine months ended September 30, 2022 and 2021. For states with a corporate net income tax, the state corporate net income tax rates range from 2.5% to 9.99% for all periods presented. On July 8, 2022, Pennsylvania enacted House Bill 1342 into law, which among other things, reduces Pennsylvania’s corporate income tax rate from 9.99% to 8.99% beginning January 1, 2023, and an additional 0.5% annually through 2031, when it reaches to 4.99%. The Company evaluated the impacts of the tax rate change and recorded, in the third quarter, a reduction to our deferred tax liabilities of $232,361 with a corresponding reduction primarily to our regulatory assets.</w:t>
      </w:r>
    </w:p>
    <w:p>
      <w:pPr>
        <w:spacing w:after="0" w:line="19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The Company uses a method of tax accounting for certain qualifying infrastructure investments at its Peoples Natural Gas (“PNG”) and Peoples Gas Company (“PGC”) subsidiaries, its largest natural gas subsidiaries in Pennsylvania, that allows a tax deduction for qualifying utility infrastructure. Consistent with the Company’s accounting for differences between book and tax expenditures in Pennsylvania in its other regulated subsidiaries, the Company uses the flow-through method to account for this timing difference. For PNG, the Company calculated the income tax benefits for qualifying capital expenditures made prior to the date of its acquisition in March 16, 2020 (“catch-up adjustment”) and recognized a regulatory liability of $160,655 for these income tax benefits. On May 6, 2021, the Pennsylvania Public Utility Commission approved a settlement order which stipulates, among other points, that the catch-up adjustment be provided by a surcredit to utility customers over a five-year period beginning August 2021, and the Company can continue to use flow-through accounting for the current tax repair benefit until its next base rate case. During the third quarter and the first nine months of 2022, $3,278 and $20,516, respectively, of income tax benefits were amortized as refunds to Peoples Natural Gas customers. For PGC, the Company calculated the catch-up adjustment from prior to the 2021 tax year and recognized a regulatory liability of $13,808 for these income tax benefits. The Company will maintain this regulatory liability on its consolidated balance sheet until accounting treatment is determined in its next base rate case.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420"/>
        <w:spacing w:after="0" w:line="218" w:lineRule="auto"/>
        <w:rPr>
          <w:sz w:val="20"/>
          <w:szCs w:val="20"/>
          <w:color w:val="auto"/>
        </w:rPr>
      </w:pPr>
      <w:r>
        <w:rPr>
          <w:rFonts w:ascii="Times New Roman" w:cs="Times New Roman" w:eastAsia="Times New Roman" w:hAnsi="Times New Roman"/>
          <w:sz w:val="22"/>
          <w:szCs w:val="22"/>
          <w:color w:val="auto"/>
        </w:rPr>
        <w:t>NOTES TO CONSOLIDATED FINANCIAL STATEMENTS (continued)</w:t>
      </w:r>
    </w:p>
    <w:p>
      <w:pPr>
        <w:jc w:val="center"/>
        <w:ind w:right="-2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Recent Accounting Pronouncements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Pronouncements to be adopted upon the effective date:</w:t>
      </w:r>
    </w:p>
    <w:p>
      <w:pPr>
        <w:spacing w:after="0" w:line="206" w:lineRule="exact"/>
        <w:rPr>
          <w:sz w:val="20"/>
          <w:szCs w:val="20"/>
          <w:color w:val="auto"/>
        </w:rPr>
      </w:pPr>
    </w:p>
    <w:p>
      <w:pPr>
        <w:ind w:right="380"/>
        <w:spacing w:after="0" w:line="230" w:lineRule="auto"/>
        <w:rPr>
          <w:sz w:val="20"/>
          <w:szCs w:val="20"/>
          <w:color w:val="auto"/>
        </w:rPr>
      </w:pPr>
      <w:r>
        <w:rPr>
          <w:rFonts w:ascii="Times New Roman" w:cs="Times New Roman" w:eastAsia="Times New Roman" w:hAnsi="Times New Roman"/>
          <w:sz w:val="22"/>
          <w:szCs w:val="22"/>
          <w:color w:val="auto"/>
        </w:rPr>
        <w:t>In October 2021, the FASB issued accounting guidance on accounting for acquired revenue contracts with customers in a business combination. The guidance specifies for all acquired 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 with early adoption permitted. The Company is evaluating the requirements of the updated guidance to determine the impact of adoption.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Pronouncement adopted during the year:</w:t>
      </w:r>
    </w:p>
    <w:p>
      <w:pPr>
        <w:spacing w:after="0" w:line="220"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As permitted, we adopted this updated guidance on January 1, 2022, which did not have a material impact on our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1"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96" w:lineRule="exact"/>
        <w:rPr>
          <w:sz w:val="20"/>
          <w:szCs w:val="20"/>
          <w:color w:val="auto"/>
        </w:rPr>
      </w:pPr>
    </w:p>
    <w:p>
      <w:pPr>
        <w:jc w:val="center"/>
        <w:ind w:right="40"/>
        <w:spacing w:after="0" w:line="248"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u w:val="single" w:color="auto"/>
          <w:color w:val="auto"/>
        </w:rPr>
        <w:t>Forward-looking Statements</w:t>
      </w:r>
    </w:p>
    <w:p>
      <w:pPr>
        <w:spacing w:after="0" w:line="20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changes in capital requirements and funding, our ability to close acquisitions, changes to the capital markets, the ongoing COVID-19 pandemic, and our ability to assimilate acquired operations, as well as those risks, uncertainties and other factors discussed in our Annual Report on Form 10-K for the fiscal year ended December 31, 2021 under the captions “Risk Factors” and “Management’s Discussion and Analysis of Financial Condition and Results of Operations” and elsewhere in such report and those included under the captions “Risk Factors” and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General Information</w:t>
      </w:r>
    </w:p>
    <w:p>
      <w:pPr>
        <w:spacing w:after="0" w:line="220"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2"/>
          <w:szCs w:val="22"/>
          <w:color w:val="auto"/>
        </w:rPr>
        <w:t>Essential Utilities, Inc. (formerly known as Aqua America, Inc.) (“we”, “us”, “our” or the “Company”),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For many years, starting in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in seven other states. On March 16, 2020, the Company completed the Peoples Gas Acquisition, a natural gas distribution utility, marking its entrance into the regulated natural gas business.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spacing w:after="0" w:line="189"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68"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During the nine months ended September 30, 2022, we experienced inflationary cost increases in our materials, labor and other operating costs, as well as supply chain pressures as a result of the COVID-19 pandemic and global uncertainties associated with the current conflict in Ukraine and sanctions imposed in response to this conflict. The price of natural gas substantially increased and resulted in the significant increase in the revenue and expenses of our Regulated Natural Gas business during the nine month period ended September 30, 2022, as compared to the same period a year earlier. We expect these pressures to continue throughout 2022. We continue to review the adequacy of our rates as approved by public utility commissions in relation to the increasing cost of providing services and the inherent regulatory lag in adjusting those rates. We also continue to work with our suppliers to monitor and address the risks present in our supply chain. While we have experienced some delays in certain materials, we have been able to adjust our purchasing procedures to secure and stock the necessary materials without materially impacting our operations or capital investment program. We continue to monitor the ongoing COVID-19 pandemic and take steps to mitigate the potential risks to our business. To date, there has not been a significant disruption in our ability to serve our customers or secure necessary supplies.</w:t>
      </w:r>
    </w:p>
    <w:p>
      <w:pPr>
        <w:spacing w:after="0" w:line="1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On August 16, 2022, the Inflation Reduction Act of 2022 (“IRA”) was enacted into law, which among other things, implements a 15% minimum tax on book income of certain large corporations, and a 1% excise tax on net stock repurchases after December 31, 2022. The alternative minimum tax would not be applicable in our next fiscal year because it is based on a three-year average annual adjusted financial statement income in excess of $1,000,000. Also included in the IRA is a provision to implement an annual waste emissions charge beginning with calendar year 2024 (to be paid in 2025) on applicable oil and gas facilities that exceed certain methane emission thresholds. Currently, the Company has gathering facility assets that could exceed the minimum thresholds and potentially be subject to the waste emissions charge. The IRA also provides $850,000 of funding for methane mitigation and monitoring in the form of grants, rebates, and loans. We are continuing to assess the future impact of the provisions of the IRA on our consolidated financial statements and on the Company’s gathering assets. As a regulated utility,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required capital expenditures and operating costs, including taxes, have been traditionally recognized by state utility commissions as appropriate for inclusion in establishing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 Condition</w:t>
      </w:r>
    </w:p>
    <w:p>
      <w:pPr>
        <w:spacing w:after="0" w:line="206"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22"/>
          <w:szCs w:val="22"/>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94"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22"/>
          <w:szCs w:val="22"/>
          <w:color w:val="auto"/>
        </w:rPr>
        <w:t>During the first nine months of 2022, we incurred $719,688 of capital expenditures, expended $104,383 for the acquisition of wastewater utility systems, issued $944,882 of long-term debt, and repaid debt and made sinking fund contributions and other loan repayments of $521,792. The capital expenditures were related to new and replacement water, wastewater, and natural gas mains, improvements to treatment plants, tanks, hydrants, and service lines, well and booster improvements, information technology improvements, and other enhancements and improvements. The proceeds from the issuance of long-term debt, including borrowings from our revolving credit facility, were used for capital expenditures, repayment of existing indebtedness and general corporate purposes, including two municipal acquisitions.</w:t>
      </w:r>
    </w:p>
    <w:p>
      <w:pPr>
        <w:spacing w:after="0" w:line="195"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22"/>
          <w:szCs w:val="22"/>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the date of this report, the Company has not sold any shares under the ATM.</w:t>
      </w:r>
    </w:p>
    <w:p>
      <w:pPr>
        <w:spacing w:after="0" w:line="192"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22"/>
          <w:szCs w:val="22"/>
          <w:color w:val="auto"/>
        </w:rPr>
        <w:t>In October 2022, Aqua Pennsylvania issued $125,000 of first mortgage bonds due in 2052 with interest rates of 4.50%. The proceeds from these bonds were used to repay existing indebtedness and for general corporate purposes.</w:t>
      </w:r>
    </w:p>
    <w:p>
      <w:pPr>
        <w:spacing w:after="0" w:line="172"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On May 20, 2022, the Company issued $500,000 of long-term debt (the “Senior Notes”), less expenses of $5,815, due in 2052 with an interest rate of 5.30%. The Company used the net proceeds from the issuance of Senior Notes to (1) to repay $49,700 of borrowings under the Aqua Pennsylvania’s 364-day revolving credit facility and $410,000 of borrowings under the Company’s existing five-year unsecured revolving credit facility, and (2) for general corporate purposes.</w:t>
      </w:r>
    </w:p>
    <w:p>
      <w:pPr>
        <w:spacing w:after="0" w:line="192" w:lineRule="exact"/>
        <w:rPr>
          <w:sz w:val="20"/>
          <w:szCs w:val="20"/>
          <w:color w:val="auto"/>
        </w:rPr>
      </w:pPr>
    </w:p>
    <w:p>
      <w:pPr>
        <w:ind w:right="560"/>
        <w:spacing w:after="0" w:line="229" w:lineRule="auto"/>
        <w:rPr>
          <w:sz w:val="20"/>
          <w:szCs w:val="20"/>
          <w:color w:val="auto"/>
        </w:rPr>
      </w:pPr>
      <w:r>
        <w:rPr>
          <w:rFonts w:ascii="Times New Roman" w:cs="Times New Roman" w:eastAsia="Times New Roman" w:hAnsi="Times New Roman"/>
          <w:sz w:val="22"/>
          <w:szCs w:val="22"/>
          <w:color w:val="auto"/>
        </w:rPr>
        <w:t>On April 15, 2021, the Company’s operating subsidiary Aqua Ohio, Inc. issued $100,000 of first mortgage bonds, of which $50,000 is due in 2031 and $50,000 is due in 2051, with interest rates of</w:t>
      </w: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our Aqua Pennsylvania five- year revolving credit facility, and the balance was used to repay in full the borrowings under its existing five-year unsecured revolving credit agreement.</w:t>
      </w:r>
    </w:p>
    <w:p>
      <w:pPr>
        <w:spacing w:after="0" w:line="19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At September 30, 2022, we had $23,366 of cash and cash equivalents compared to $10,567 at December 31, 2021. During the first nine months of 2022, we used the proceeds from long-term debt and internally generated funds to fund the cash requirements discussed above and to pay dividends.</w:t>
      </w:r>
    </w:p>
    <w:p>
      <w:pPr>
        <w:spacing w:after="0" w:line="192"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22"/>
          <w:szCs w:val="22"/>
          <w:color w:val="auto"/>
        </w:rPr>
        <w:t>At September 30, 2022 our $1,000,000 unsecured revolving credit facility, which expires in December 2023, had $720,353 available for borrowing. Additionally, at September 30, 2022, we had short-term lines of credit of $435,500, primarily used for working capital, of which $222,265 was available for borrowing. One of our short-term lines of credit is a Peoples Natural Gas Companies’ 364-day unsecured revolving credit facility, which as of September 30, 2022, was amended to increase the amount available on the facility from $100,000 to $300,000 and to update the termination date to June 29, 2023. Another one of our short-term lines of credit is an Aqua Pennsylvania $100,000 364-day unsecured revolving credit facility, which was also amended on June 30, 2022, to update its termination date to June 29, 2023 to coincide with the Peoples Natural Gas Companies revolving credit facility. As of September 30, 2022, $119,000 and $67,765 were available for borrowing from the Peoples Natural Gas Companies and Aqua Pennsylvania 364-day revolving credit facilities, respectively. Our short-term lines of credit of $435,500 are subject to renewal on an annual basis. Although we believe we will be able to renew these facilities, there is no assurance that they will be renewed, or what the terms of any such renewal will be.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Consolidated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financial and operational highlights for the periods ended September 30, 2022 and 2021 are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3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20" w:type="dxa"/>
            <w:vAlign w:val="bottom"/>
          </w:tcPr>
          <w:p>
            <w:pPr>
              <w:spacing w:after="0"/>
              <w:rPr>
                <w:sz w:val="19"/>
                <w:szCs w:val="19"/>
                <w:color w:val="auto"/>
              </w:rPr>
            </w:pPr>
          </w:p>
        </w:tc>
        <w:tc>
          <w:tcPr>
            <w:tcW w:w="27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434,618</w:t>
            </w: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361,860</w:t>
            </w: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1,582,649</w:t>
            </w:r>
          </w:p>
        </w:tc>
        <w:tc>
          <w:tcPr>
            <w:tcW w:w="4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1,342,457</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151,361</w:t>
            </w:r>
          </w:p>
        </w:tc>
        <w:tc>
          <w:tcPr>
            <w:tcW w:w="4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139,355</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428,923</w:t>
            </w:r>
          </w:p>
        </w:tc>
        <w:tc>
          <w:tcPr>
            <w:tcW w:w="4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391,945</w:t>
            </w:r>
          </w:p>
        </w:tc>
        <w:tc>
          <w:tcPr>
            <w:tcW w:w="0" w:type="dxa"/>
            <w:vAlign w:val="bottom"/>
          </w:tcPr>
          <w:p>
            <w:pPr>
              <w:spacing w:after="0"/>
              <w:rPr>
                <w:sz w:val="1"/>
                <w:szCs w:val="1"/>
                <w:color w:val="auto"/>
              </w:rPr>
            </w:pPr>
          </w:p>
        </w:tc>
      </w:tr>
      <w:tr>
        <w:trPr>
          <w:trHeight w:val="169"/>
        </w:trPr>
        <w:tc>
          <w:tcPr>
            <w:tcW w:w="53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2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52,041</w:t>
            </w:r>
          </w:p>
        </w:tc>
        <w:tc>
          <w:tcPr>
            <w:tcW w:w="4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25,488</w:t>
            </w:r>
          </w:p>
        </w:tc>
        <w:tc>
          <w:tcPr>
            <w:tcW w:w="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354,896</w:t>
            </w:r>
          </w:p>
        </w:tc>
        <w:tc>
          <w:tcPr>
            <w:tcW w:w="4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202,538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68,638</w:t>
            </w:r>
          </w:p>
        </w:tc>
        <w:tc>
          <w:tcPr>
            <w:tcW w:w="4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50,503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350,305</w:t>
            </w:r>
          </w:p>
        </w:tc>
        <w:tc>
          <w:tcPr>
            <w:tcW w:w="4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315,106</w:t>
            </w: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60" w:type="dxa"/>
            <w:vAlign w:val="bottom"/>
          </w:tcPr>
          <w:p>
            <w:pPr>
              <w:spacing w:after="0"/>
              <w:rPr>
                <w:sz w:val="16"/>
                <w:szCs w:val="16"/>
                <w:color w:val="auto"/>
              </w:rPr>
            </w:pPr>
          </w:p>
        </w:tc>
        <w:tc>
          <w:tcPr>
            <w:tcW w:w="92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34.8%</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38.5%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rPr>
              <w:t>27.1%</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29.2%</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12.0%</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rPr>
              <w:t>22.4%</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15.1%</w:t>
            </w:r>
          </w:p>
        </w:tc>
        <w:tc>
          <w:tcPr>
            <w:tcW w:w="0" w:type="dxa"/>
            <w:vAlign w:val="bottom"/>
          </w:tcPr>
          <w:p>
            <w:pPr>
              <w:spacing w:after="0"/>
              <w:rPr>
                <w:sz w:val="1"/>
                <w:szCs w:val="1"/>
                <w:color w:val="auto"/>
              </w:rPr>
            </w:pPr>
          </w:p>
        </w:tc>
      </w:tr>
      <w:tr>
        <w:trPr>
          <w:trHeight w:val="189"/>
        </w:trPr>
        <w:tc>
          <w:tcPr>
            <w:tcW w:w="53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6"/>
                <w:szCs w:val="16"/>
                <w:color w:val="auto"/>
              </w:rPr>
            </w:pPr>
          </w:p>
        </w:tc>
        <w:tc>
          <w:tcPr>
            <w:tcW w:w="92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19.0%</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20.6%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16.5%</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w w:val="95"/>
              </w:rPr>
              <w:t>4.3%</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89"/>
        </w:trPr>
        <w:tc>
          <w:tcPr>
            <w:tcW w:w="53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260" w:type="dxa"/>
            <w:vAlign w:val="bottom"/>
          </w:tcPr>
          <w:p>
            <w:pPr>
              <w:spacing w:after="0"/>
              <w:rPr>
                <w:sz w:val="16"/>
                <w:szCs w:val="16"/>
                <w:color w:val="auto"/>
              </w:rPr>
            </w:pPr>
          </w:p>
        </w:tc>
        <w:tc>
          <w:tcPr>
            <w:tcW w:w="92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13.6%</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14.3%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11.4%</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15.8%</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14.0%</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23.5%</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2022 compared with three months ended September 30, 2021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operating revenues increased by $72,758 or 20.1% as compared to the same period in 2021. Revenues from our</w:t>
      </w:r>
    </w:p>
    <w:p>
      <w:pPr>
        <w:spacing w:after="0" w:line="218" w:lineRule="auto"/>
        <w:rPr>
          <w:sz w:val="20"/>
          <w:szCs w:val="20"/>
          <w:color w:val="auto"/>
        </w:rPr>
      </w:pPr>
      <w:r>
        <w:rPr>
          <w:rFonts w:ascii="Times New Roman" w:cs="Times New Roman" w:eastAsia="Times New Roman" w:hAnsi="Times New Roman"/>
          <w:sz w:val="22"/>
          <w:szCs w:val="22"/>
          <w:color w:val="auto"/>
        </w:rPr>
        <w:t>Regulated Water segment, Regulated Natural Gas segment and Other business segment increased by $41,476, $24,233 and</w:t>
      </w:r>
    </w:p>
    <w:p>
      <w:pPr>
        <w:spacing w:after="0" w:line="230" w:lineRule="auto"/>
        <w:rPr>
          <w:sz w:val="20"/>
          <w:szCs w:val="20"/>
          <w:color w:val="auto"/>
        </w:rPr>
      </w:pPr>
      <w:r>
        <w:rPr>
          <w:rFonts w:ascii="Times New Roman" w:cs="Times New Roman" w:eastAsia="Times New Roman" w:hAnsi="Times New Roman"/>
          <w:sz w:val="22"/>
          <w:szCs w:val="22"/>
          <w:color w:val="auto"/>
        </w:rPr>
        <w:t>$7,049, respectively.  A detailed discussion of the factors contributing to the changes in segment net revenue is included below</w:t>
      </w:r>
    </w:p>
    <w:p>
      <w:pPr>
        <w:spacing w:after="0" w:line="228" w:lineRule="auto"/>
        <w:rPr>
          <w:sz w:val="20"/>
          <w:szCs w:val="20"/>
          <w:color w:val="auto"/>
        </w:rPr>
      </w:pPr>
      <w:r>
        <w:rPr>
          <w:rFonts w:ascii="Times New Roman" w:cs="Times New Roman" w:eastAsia="Times New Roman" w:hAnsi="Times New Roman"/>
          <w:sz w:val="21"/>
          <w:szCs w:val="21"/>
          <w:color w:val="auto"/>
        </w:rPr>
        <w:t>under the section, Segment Results of Operations. The increase in our Other business segment revenue is due to higher revenues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our non-regulated natural gas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increased by $12,006 or 8.6%, primarily due to:</w:t>
      </w:r>
    </w:p>
    <w:p>
      <w:pPr>
        <w:spacing w:after="0" w:line="206" w:lineRule="exact"/>
        <w:rPr>
          <w:sz w:val="20"/>
          <w:szCs w:val="20"/>
          <w:color w:val="auto"/>
        </w:rPr>
      </w:pPr>
    </w:p>
    <w:p>
      <w:pPr>
        <w:ind w:left="660" w:right="100"/>
        <w:spacing w:after="0" w:line="235" w:lineRule="auto"/>
        <w:rPr>
          <w:sz w:val="20"/>
          <w:szCs w:val="20"/>
          <w:color w:val="auto"/>
        </w:rPr>
      </w:pPr>
      <w:r>
        <w:rPr>
          <w:rFonts w:ascii="Times New Roman" w:cs="Times New Roman" w:eastAsia="Times New Roman" w:hAnsi="Times New Roman"/>
          <w:sz w:val="22"/>
          <w:szCs w:val="22"/>
          <w:color w:val="auto"/>
        </w:rPr>
        <w:t>increase in employee related costs of $5,183 driven by an increase in labor rates, other compensation, including one-time incentive compensation for non-officer level employees, and benefits to employees;</w:t>
      </w:r>
    </w:p>
    <w:p>
      <w:pPr>
        <w:spacing w:after="0" w:line="1" w:lineRule="exact"/>
        <w:rPr>
          <w:sz w:val="20"/>
          <w:szCs w:val="20"/>
          <w:color w:val="auto"/>
        </w:rPr>
      </w:pPr>
    </w:p>
    <w:p>
      <w:pPr>
        <w:ind w:left="660" w:right="220"/>
        <w:spacing w:after="0" w:line="217" w:lineRule="auto"/>
        <w:rPr>
          <w:sz w:val="20"/>
          <w:szCs w:val="20"/>
          <w:color w:val="auto"/>
        </w:rPr>
      </w:pPr>
      <w:r>
        <w:rPr>
          <w:rFonts w:ascii="Times New Roman" w:cs="Times New Roman" w:eastAsia="Times New Roman" w:hAnsi="Times New Roman"/>
          <w:sz w:val="22"/>
          <w:szCs w:val="22"/>
          <w:color w:val="auto"/>
        </w:rPr>
        <w:t>increase in production costs for water and wastewater operations of $2,827, primarily due to higher chemical prices and increase in wholesale water costs;</w:t>
      </w:r>
    </w:p>
    <w:p>
      <w:pPr>
        <w:spacing w:after="0" w:line="1" w:lineRule="exact"/>
        <w:rPr>
          <w:sz w:val="20"/>
          <w:szCs w:val="20"/>
          <w:color w:val="auto"/>
        </w:rPr>
      </w:pPr>
    </w:p>
    <w:p>
      <w:pPr>
        <w:ind w:left="660"/>
        <w:spacing w:after="0" w:line="232" w:lineRule="auto"/>
        <w:rPr>
          <w:sz w:val="20"/>
          <w:szCs w:val="20"/>
          <w:color w:val="auto"/>
        </w:rPr>
      </w:pPr>
      <w:r>
        <w:rPr>
          <w:rFonts w:ascii="Times New Roman" w:cs="Times New Roman" w:eastAsia="Times New Roman" w:hAnsi="Times New Roman"/>
          <w:sz w:val="21"/>
          <w:szCs w:val="21"/>
          <w:color w:val="auto"/>
        </w:rPr>
        <w:t>additional operating costs resulting from acquired water and wastewater utility systems and higher customer base of $882; increase in customer assistance surcharge costs of $1,301 in our Regulated Natural Gas segment, which has an equivalent offsetting amount in revenues. These revenues and offsetting expenses increased mainly due to the increase in average</w:t>
      </w:r>
    </w:p>
    <w:p>
      <w:pPr>
        <w:spacing w:after="0" w:line="1" w:lineRule="exact"/>
        <w:rPr>
          <w:sz w:val="20"/>
          <w:szCs w:val="20"/>
          <w:color w:val="auto"/>
        </w:rPr>
      </w:pPr>
    </w:p>
    <w:p>
      <w:pPr>
        <w:ind w:left="660" w:right="6880"/>
        <w:spacing w:after="0" w:line="228" w:lineRule="auto"/>
        <w:rPr>
          <w:sz w:val="20"/>
          <w:szCs w:val="20"/>
          <w:color w:val="auto"/>
        </w:rPr>
      </w:pPr>
      <w:r>
        <w:rPr>
          <w:rFonts w:ascii="Times New Roman" w:cs="Times New Roman" w:eastAsia="Times New Roman" w:hAnsi="Times New Roman"/>
          <w:sz w:val="21"/>
          <w:szCs w:val="21"/>
          <w:color w:val="auto"/>
        </w:rPr>
        <w:t>gas prices as compared to the prior period; increase in bad debt expense of $1,016;</w:t>
      </w:r>
    </w:p>
    <w:p>
      <w:pPr>
        <w:ind w:left="340"/>
        <w:spacing w:after="0" w:line="230" w:lineRule="auto"/>
        <w:rPr>
          <w:sz w:val="20"/>
          <w:szCs w:val="20"/>
          <w:color w:val="auto"/>
        </w:rPr>
      </w:pPr>
      <w:r>
        <w:rPr>
          <w:rFonts w:ascii="Times New Roman" w:cs="Times New Roman" w:eastAsia="Times New Roman" w:hAnsi="Times New Roman"/>
          <w:sz w:val="22"/>
          <w:szCs w:val="22"/>
          <w:color w:val="auto"/>
        </w:rPr>
        <w:t>increase in insurance expense of $2,244 due to increase in reserve for legal claims;</w:t>
      </w:r>
    </w:p>
    <w:p>
      <w:pPr>
        <w:ind w:left="340"/>
        <w:spacing w:after="0" w:line="217" w:lineRule="auto"/>
        <w:rPr>
          <w:sz w:val="20"/>
          <w:szCs w:val="20"/>
          <w:color w:val="auto"/>
        </w:rPr>
      </w:pPr>
      <w:r>
        <w:rPr>
          <w:rFonts w:ascii="Times New Roman" w:cs="Times New Roman" w:eastAsia="Times New Roman" w:hAnsi="Times New Roman"/>
          <w:sz w:val="22"/>
          <w:szCs w:val="22"/>
          <w:color w:val="auto"/>
        </w:rPr>
        <w:t>increase in outside services and maintenance expenses of $4,754 for our Regulated Water segment;</w:t>
      </w:r>
    </w:p>
    <w:p>
      <w:pPr>
        <w:ind w:left="660" w:right="160"/>
        <w:spacing w:after="0" w:line="224" w:lineRule="auto"/>
        <w:rPr>
          <w:sz w:val="20"/>
          <w:szCs w:val="20"/>
          <w:color w:val="auto"/>
        </w:rPr>
      </w:pPr>
      <w:r>
        <w:rPr>
          <w:rFonts w:ascii="Times New Roman" w:cs="Times New Roman" w:eastAsia="Times New Roman" w:hAnsi="Times New Roman"/>
          <w:sz w:val="22"/>
          <w:szCs w:val="22"/>
          <w:color w:val="auto"/>
        </w:rPr>
        <w:t>expenses of $180, associated with remediating an advisory for some of our water utility customers served by our Illinois subsidiary. We expect the expenses associated with remediating the advisory to continue through 2022; and</w:t>
      </w:r>
    </w:p>
    <w:p>
      <w:pPr>
        <w:ind w:left="340"/>
        <w:spacing w:after="0" w:line="217" w:lineRule="auto"/>
        <w:rPr>
          <w:sz w:val="20"/>
          <w:szCs w:val="20"/>
          <w:color w:val="auto"/>
        </w:rPr>
      </w:pPr>
      <w:r>
        <w:rPr>
          <w:rFonts w:ascii="Times New Roman" w:cs="Times New Roman" w:eastAsia="Times New Roman" w:hAnsi="Times New Roman"/>
          <w:sz w:val="22"/>
          <w:szCs w:val="22"/>
          <w:color w:val="auto"/>
        </w:rPr>
        <w:t>offset by a decrease in charitable donations of $3,000 in our Regulated Gas segment; and</w:t>
      </w:r>
    </w:p>
    <w:p>
      <w:pPr>
        <w:ind w:left="660" w:right="620"/>
        <w:spacing w:after="0" w:line="231" w:lineRule="auto"/>
        <w:rPr>
          <w:sz w:val="20"/>
          <w:szCs w:val="20"/>
          <w:color w:val="auto"/>
        </w:rPr>
      </w:pPr>
      <w:r>
        <w:rPr>
          <w:rFonts w:ascii="Times New Roman" w:cs="Times New Roman" w:eastAsia="Times New Roman" w:hAnsi="Times New Roman"/>
          <w:sz w:val="22"/>
          <w:szCs w:val="22"/>
          <w:color w:val="auto"/>
        </w:rPr>
        <w:t>a decrease in repairs expense of $2,160 as the third quarter of 2021 included costs incurred to restore and repair the property damaged by Hurricane Ida.</w:t>
      </w:r>
    </w:p>
    <w:p>
      <w:pPr>
        <w:spacing w:after="0" w:line="191"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1"/>
          <w:szCs w:val="21"/>
          <w:color w:val="auto"/>
        </w:rPr>
        <w:t>Purchased gas increased by $26,553 or 104.2%. Purchased gas represents the cost of gas sold by Peoples for the regulated and non-regulated gas business and has a corresponding offset in revenue. The expense increased primarily due to the 119.9% increase in the average gas commodity prices in the third quarter of 2022 as compared to the same period in the prior year.</w:t>
      </w:r>
    </w:p>
    <w:p>
      <w:pPr>
        <w:spacing w:after="0" w:line="18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2"/>
          <w:szCs w:val="22"/>
          <w:color w:val="auto"/>
        </w:rPr>
        <w:t>Depreciation and amortization expense increased by $8,223 or 11.0% principally due to continued capital expenditures to expand and improve our utility facilities and our acquisitions of new utility systems.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Interest expense, net of interest income increased by $7,411 or 14.4% for the quarter primarily due to the increase in average borrowings and higher interest rates on our revolving lines of credit in 2022.</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Other expense, inclusive of gain on sale of other assets, decreased by $4,439 due to the lower non-service cost component of our net benefit cost for pension benefits for our Regulated Gas segment.</w:t>
      </w:r>
    </w:p>
    <w:p>
      <w:pPr>
        <w:spacing w:after="0" w:line="17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Our effective income tax rate was 6.5% in the third quarter of 2022 and 3.4% in the third quarter of 2021. The increase in the effective tax rate for the third quarter of the year is primarily attributed to the increase in pretax income, with a steady year-over-year income tax benefit associated with the tax deduction for qualifying infrastructure.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2022 compared with nine months ended September 30, 2021</w:t>
      </w:r>
    </w:p>
    <w:p>
      <w:pPr>
        <w:spacing w:after="0" w:line="22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Consolidated operating revenues increased by $240,192 or 17.9% for the nine months ended September 30, 2022, as compared to the same period in 2021. Revenues from our Regulated Water segment, Regulated Natural Gas segment and Other business segment increased by $73,499, $152,468 and $14,225, respectively. A detailed discussion of the factors contributing to the changes in segment net revenue is included below under the section, Segment Results of Operations. The increase in our Other business segment revenue is due to higher revenues from our non-regulated natural gas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increased by $36,978 or 9.4%, primarily due to:</w:t>
      </w:r>
    </w:p>
    <w:p>
      <w:pPr>
        <w:spacing w:after="0" w:line="220" w:lineRule="exact"/>
        <w:rPr>
          <w:sz w:val="20"/>
          <w:szCs w:val="20"/>
          <w:color w:val="auto"/>
        </w:rPr>
      </w:pPr>
    </w:p>
    <w:p>
      <w:pPr>
        <w:ind w:left="660"/>
        <w:spacing w:after="0" w:line="229" w:lineRule="auto"/>
        <w:rPr>
          <w:sz w:val="20"/>
          <w:szCs w:val="20"/>
          <w:color w:val="auto"/>
        </w:rPr>
      </w:pPr>
      <w:r>
        <w:rPr>
          <w:rFonts w:ascii="Times New Roman" w:cs="Times New Roman" w:eastAsia="Times New Roman" w:hAnsi="Times New Roman"/>
          <w:sz w:val="22"/>
          <w:szCs w:val="22"/>
          <w:color w:val="auto"/>
        </w:rPr>
        <w:t>increase in employee related costs of $14,185 driven by an increase in labor rates, other compensation, including one-time incentive compensation for non-officer level employees, and benefits to employees;</w:t>
      </w:r>
    </w:p>
    <w:p>
      <w:pPr>
        <w:ind w:left="660" w:right="220"/>
        <w:spacing w:after="0" w:line="224" w:lineRule="auto"/>
        <w:rPr>
          <w:sz w:val="20"/>
          <w:szCs w:val="20"/>
          <w:color w:val="auto"/>
        </w:rPr>
      </w:pPr>
      <w:r>
        <w:rPr>
          <w:rFonts w:ascii="Times New Roman" w:cs="Times New Roman" w:eastAsia="Times New Roman" w:hAnsi="Times New Roman"/>
          <w:sz w:val="22"/>
          <w:szCs w:val="22"/>
          <w:color w:val="auto"/>
        </w:rPr>
        <w:t>increase in production costs for water and wastewater operations of $6,812, primarily due to higher chemical prices and increase in wholesale water costs;</w:t>
      </w:r>
    </w:p>
    <w:p>
      <w:pPr>
        <w:ind w:left="660" w:right="260"/>
        <w:spacing w:after="0" w:line="217" w:lineRule="auto"/>
        <w:rPr>
          <w:sz w:val="20"/>
          <w:szCs w:val="20"/>
          <w:color w:val="auto"/>
        </w:rPr>
      </w:pPr>
      <w:r>
        <w:rPr>
          <w:rFonts w:ascii="Times New Roman" w:cs="Times New Roman" w:eastAsia="Times New Roman" w:hAnsi="Times New Roman"/>
          <w:sz w:val="22"/>
          <w:szCs w:val="22"/>
          <w:color w:val="auto"/>
        </w:rPr>
        <w:t>additional operating costs associated with acquired and pending acquisitions of water and wastewater utility systems of $2,598;</w:t>
      </w:r>
    </w:p>
    <w:p>
      <w:pPr>
        <w:spacing w:after="0" w:line="1" w:lineRule="exact"/>
        <w:rPr>
          <w:sz w:val="20"/>
          <w:szCs w:val="20"/>
          <w:color w:val="auto"/>
        </w:rPr>
      </w:pPr>
    </w:p>
    <w:p>
      <w:pPr>
        <w:ind w:left="660" w:right="60"/>
        <w:spacing w:after="0" w:line="221" w:lineRule="auto"/>
        <w:rPr>
          <w:sz w:val="20"/>
          <w:szCs w:val="20"/>
          <w:color w:val="auto"/>
        </w:rPr>
      </w:pPr>
      <w:r>
        <w:rPr>
          <w:rFonts w:ascii="Times New Roman" w:cs="Times New Roman" w:eastAsia="Times New Roman" w:hAnsi="Times New Roman"/>
          <w:sz w:val="22"/>
          <w:szCs w:val="22"/>
          <w:color w:val="auto"/>
        </w:rPr>
        <w:t>increase in customer assistance surcharge costs of $8,668 in our Regulated Natural Gas segment, which has an equivalent offsetting amount in revenues. These revenues and offsetting expenses increased mainly due to the increase in average gas prices during the first nine months of 2022 compared to the prior period;</w:t>
      </w:r>
    </w:p>
    <w:p>
      <w:pPr>
        <w:spacing w:after="0" w:line="3" w:lineRule="exact"/>
        <w:rPr>
          <w:sz w:val="20"/>
          <w:szCs w:val="20"/>
          <w:color w:val="auto"/>
        </w:rPr>
      </w:pPr>
    </w:p>
    <w:p>
      <w:pPr>
        <w:ind w:left="660" w:right="60"/>
        <w:spacing w:after="0" w:line="224" w:lineRule="auto"/>
        <w:rPr>
          <w:sz w:val="20"/>
          <w:szCs w:val="20"/>
          <w:color w:val="auto"/>
        </w:rPr>
      </w:pPr>
      <w:r>
        <w:rPr>
          <w:rFonts w:ascii="Times New Roman" w:cs="Times New Roman" w:eastAsia="Times New Roman" w:hAnsi="Times New Roman"/>
          <w:sz w:val="22"/>
          <w:szCs w:val="22"/>
          <w:color w:val="auto"/>
        </w:rPr>
        <w:t>increase in insurance expense of $6,929, which includes the impact of a favorable insurance reserve adjustment of $2,426 during the first quarter of 2021;</w:t>
      </w:r>
    </w:p>
    <w:p>
      <w:pPr>
        <w:ind w:left="340"/>
        <w:spacing w:after="0" w:line="217" w:lineRule="auto"/>
        <w:rPr>
          <w:sz w:val="20"/>
          <w:szCs w:val="20"/>
          <w:color w:val="auto"/>
        </w:rPr>
      </w:pPr>
      <w:r>
        <w:rPr>
          <w:rFonts w:ascii="Times New Roman" w:cs="Times New Roman" w:eastAsia="Times New Roman" w:hAnsi="Times New Roman"/>
          <w:sz w:val="22"/>
          <w:szCs w:val="22"/>
          <w:color w:val="auto"/>
        </w:rPr>
        <w:t>increase in legal expenses of $1,460;</w:t>
      </w:r>
    </w:p>
    <w:p>
      <w:pPr>
        <w:ind w:left="340"/>
        <w:spacing w:after="0" w:line="217" w:lineRule="auto"/>
        <w:rPr>
          <w:sz w:val="20"/>
          <w:szCs w:val="20"/>
          <w:color w:val="auto"/>
        </w:rPr>
      </w:pPr>
      <w:r>
        <w:rPr>
          <w:rFonts w:ascii="Times New Roman" w:cs="Times New Roman" w:eastAsia="Times New Roman" w:hAnsi="Times New Roman"/>
          <w:sz w:val="22"/>
          <w:szCs w:val="22"/>
          <w:color w:val="auto"/>
        </w:rPr>
        <w:t>increase in outside services and maintenance expenses of $17,083 in our Regulated Water segment;</w:t>
      </w:r>
    </w:p>
    <w:p>
      <w:pPr>
        <w:ind w:left="660" w:right="160"/>
        <w:spacing w:after="0" w:line="224" w:lineRule="auto"/>
        <w:rPr>
          <w:sz w:val="20"/>
          <w:szCs w:val="20"/>
          <w:color w:val="auto"/>
        </w:rPr>
      </w:pPr>
      <w:r>
        <w:rPr>
          <w:rFonts w:ascii="Times New Roman" w:cs="Times New Roman" w:eastAsia="Times New Roman" w:hAnsi="Times New Roman"/>
          <w:sz w:val="22"/>
          <w:szCs w:val="22"/>
          <w:color w:val="auto"/>
        </w:rPr>
        <w:t>expenses of $555, associated with remediating an advisory for some of our water utility customers served by our Illinois subsidiary. We expect the expenses associated with remediating the advisory to continue through 2022; and,</w:t>
      </w:r>
    </w:p>
    <w:p>
      <w:pPr>
        <w:ind w:left="340"/>
        <w:spacing w:after="0" w:line="217" w:lineRule="auto"/>
        <w:rPr>
          <w:sz w:val="20"/>
          <w:szCs w:val="20"/>
          <w:color w:val="auto"/>
        </w:rPr>
      </w:pPr>
      <w:r>
        <w:rPr>
          <w:rFonts w:ascii="Times New Roman" w:cs="Times New Roman" w:eastAsia="Times New Roman" w:hAnsi="Times New Roman"/>
          <w:sz w:val="22"/>
          <w:szCs w:val="22"/>
          <w:color w:val="auto"/>
        </w:rPr>
        <w:t>offset by the decrease in bad debt expense of $2,702;</w:t>
      </w:r>
    </w:p>
    <w:p>
      <w:pPr>
        <w:ind w:left="340"/>
        <w:spacing w:after="0" w:line="217" w:lineRule="auto"/>
        <w:rPr>
          <w:sz w:val="20"/>
          <w:szCs w:val="20"/>
          <w:color w:val="auto"/>
        </w:rPr>
      </w:pPr>
      <w:r>
        <w:rPr>
          <w:rFonts w:ascii="Times New Roman" w:cs="Times New Roman" w:eastAsia="Times New Roman" w:hAnsi="Times New Roman"/>
          <w:sz w:val="22"/>
          <w:szCs w:val="22"/>
          <w:color w:val="auto"/>
        </w:rPr>
        <w:t>decrease in charitable donations of $3,000 in our Regulated Gas segment;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left="660" w:right="780"/>
        <w:spacing w:after="0" w:line="235" w:lineRule="auto"/>
        <w:rPr>
          <w:sz w:val="20"/>
          <w:szCs w:val="20"/>
          <w:color w:val="auto"/>
        </w:rPr>
      </w:pPr>
      <w:r>
        <w:rPr>
          <w:rFonts w:ascii="Times New Roman" w:cs="Times New Roman" w:eastAsia="Times New Roman" w:hAnsi="Times New Roman"/>
          <w:sz w:val="22"/>
          <w:szCs w:val="22"/>
          <w:color w:val="auto"/>
        </w:rPr>
        <w:t>decrease in repairs expense of $2,160 as the third quarter of 2021 included costs incurred to restore and repair the properties damaged by Hurricane Ida; and,</w:t>
      </w:r>
    </w:p>
    <w:p>
      <w:pPr>
        <w:spacing w:after="0" w:line="1" w:lineRule="exact"/>
        <w:rPr>
          <w:sz w:val="20"/>
          <w:szCs w:val="20"/>
          <w:color w:val="auto"/>
        </w:rPr>
      </w:pPr>
    </w:p>
    <w:p>
      <w:pPr>
        <w:ind w:left="660" w:right="100"/>
        <w:spacing w:after="0" w:line="231" w:lineRule="auto"/>
        <w:rPr>
          <w:sz w:val="20"/>
          <w:szCs w:val="20"/>
          <w:color w:val="auto"/>
        </w:rPr>
      </w:pPr>
      <w:r>
        <w:rPr>
          <w:rFonts w:ascii="Times New Roman" w:cs="Times New Roman" w:eastAsia="Times New Roman" w:hAnsi="Times New Roman"/>
          <w:sz w:val="22"/>
          <w:szCs w:val="22"/>
          <w:color w:val="auto"/>
        </w:rPr>
        <w:t>a decrease in expenses of $12,187 in our Regulated Gas Segment due to higher capitalization as a result of greater capital spend in the current period.</w:t>
      </w:r>
    </w:p>
    <w:p>
      <w:pPr>
        <w:spacing w:after="0" w:line="191"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2"/>
          <w:szCs w:val="22"/>
          <w:color w:val="auto"/>
        </w:rPr>
        <w:t>Purchased gas increased by $152,358 or 75.2%. Purchased gas represents the cost of gas sold by Peoples for the regulated and non-regulated gas business and has a corresponding offset in revenue. The expense increased primarily due to the 109.7% increase in the average gas commodity prices during the first nine months of 2022 as compared to the same period in the prior year.</w:t>
      </w:r>
    </w:p>
    <w:p>
      <w:pPr>
        <w:spacing w:after="0" w:line="17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Depreciation and amortization expense increased by $18,629 or 8.4% principally due to continued capital expenditures to expand and improve our utility facilities and our acquisitions of new utility systems.</w:t>
      </w:r>
    </w:p>
    <w:p>
      <w:pPr>
        <w:spacing w:after="0" w:line="18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Taxes other than income taxes increased by $4,133 or 6.5% largely due to an increase in sales and use taxes and regulatory fees in our Regulated Natural Gas segment and pumping fees in our Aqua Texas subsidiary, offset by the decrease in property taxes during the period as compared with prior period.</w:t>
      </w:r>
    </w:p>
    <w:p>
      <w:pPr>
        <w:spacing w:after="0" w:line="192"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Interest expense, net of interest income, increased by $12,755 or 8.3% for the quarter primarily due to the increase in average borrowings and higher interest rate on our revolving line of credit as compared to the prior period.</w:t>
      </w:r>
    </w:p>
    <w:p>
      <w:pPr>
        <w:spacing w:after="0" w:line="186"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Allowance for funds used during construction (“AFUDC”) increased by $3,880 or by 27.9% due to an increase in the average balance of utility plant construction work in progress, to which AFUDC is applied.</w:t>
      </w:r>
    </w:p>
    <w:p>
      <w:pPr>
        <w:spacing w:after="0" w:line="186"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Other income, inclusive of gain on sale of assets, increased by $1,327 or by 65.8% compared to the same period in the prior year. This is primarily driven by the decrease in the non-service cost component of our net benefit cost for pension benefits for our Regulated Gas segment, offset by a recovery of a previously incurred cost of $1,917 during the first quarter of 2021 that resulted in a recognition of a regulatory asset in the prior period.</w:t>
      </w:r>
    </w:p>
    <w:p>
      <w:pPr>
        <w:spacing w:after="0" w:line="192"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22"/>
          <w:szCs w:val="22"/>
          <w:color w:val="auto"/>
        </w:rPr>
        <w:t>Our effective income tax rate was (1.3)% in the first nine months of 2022 and 3.2% in the first nine months of 2021. The decrease in the effective tax rate for the first nine months of the year is primarily attributed to an increase in our income tax benefit associated with the tax deduction for qualifying infrastructure and the amortization of the regulatory liability for the tax repair catch-up adjustment during 2022 in our Regulated Natural Gas segment.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Segment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Water Segment</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Water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301,335</w:t>
            </w: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259,859</w:t>
            </w: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809,888</w:t>
            </w:r>
          </w:p>
        </w:tc>
        <w:tc>
          <w:tcPr>
            <w:tcW w:w="3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736,389</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94,854</w:t>
            </w:r>
          </w:p>
        </w:tc>
        <w:tc>
          <w:tcPr>
            <w:tcW w:w="300" w:type="dxa"/>
            <w:vAlign w:val="bottom"/>
            <w:tcBorders>
              <w:bottom w:val="single" w:sz="8" w:color="CCEEFF"/>
            </w:tcBorders>
            <w:vMerge w:val="continue"/>
          </w:tcPr>
          <w:p>
            <w:pPr>
              <w:spacing w:after="0"/>
              <w:rPr>
                <w:sz w:val="18"/>
                <w:szCs w:val="18"/>
                <w:color w:val="auto"/>
              </w:rPr>
            </w:pPr>
          </w:p>
        </w:tc>
        <w:tc>
          <w:tcPr>
            <w:tcW w:w="440" w:type="dxa"/>
            <w:vAlign w:val="bottom"/>
            <w:tcBorders>
              <w:bottom w:val="single" w:sz="8" w:color="auto"/>
            </w:tcBorders>
          </w:tcPr>
          <w:p>
            <w:pPr>
              <w:jc w:val="right"/>
              <w:ind w:right="2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86,923</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273,757</w:t>
            </w:r>
          </w:p>
        </w:tc>
        <w:tc>
          <w:tcPr>
            <w:tcW w:w="36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jc w:val="right"/>
              <w:ind w:right="2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243,071</w:t>
            </w:r>
          </w:p>
        </w:tc>
        <w:tc>
          <w:tcPr>
            <w:tcW w:w="0" w:type="dxa"/>
            <w:vAlign w:val="bottom"/>
          </w:tcPr>
          <w:p>
            <w:pPr>
              <w:spacing w:after="0"/>
              <w:rPr>
                <w:sz w:val="1"/>
                <w:szCs w:val="1"/>
                <w:color w:val="auto"/>
              </w:rPr>
            </w:pPr>
          </w:p>
        </w:tc>
      </w:tr>
      <w:tr>
        <w:trPr>
          <w:trHeight w:val="169"/>
        </w:trPr>
        <w:tc>
          <w:tcPr>
            <w:tcW w:w="44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98,586</w:t>
            </w:r>
          </w:p>
        </w:tc>
        <w:tc>
          <w:tcPr>
            <w:tcW w:w="3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81,823</w:t>
            </w:r>
          </w:p>
        </w:tc>
        <w:tc>
          <w:tcPr>
            <w:tcW w:w="3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235,471</w:t>
            </w:r>
          </w:p>
        </w:tc>
        <w:tc>
          <w:tcPr>
            <w:tcW w:w="3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224,702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4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Selected operating results as a percentage of operating</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31.5%</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33.5%</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33.8%</w:t>
            </w: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33.0%</w:t>
            </w:r>
          </w:p>
        </w:tc>
        <w:tc>
          <w:tcPr>
            <w:tcW w:w="0" w:type="dxa"/>
            <w:vAlign w:val="bottom"/>
          </w:tcPr>
          <w:p>
            <w:pPr>
              <w:spacing w:after="0"/>
              <w:rPr>
                <w:sz w:val="1"/>
                <w:szCs w:val="1"/>
                <w:color w:val="auto"/>
              </w:rPr>
            </w:pPr>
          </w:p>
        </w:tc>
      </w:tr>
      <w:tr>
        <w:trPr>
          <w:trHeight w:val="189"/>
        </w:trPr>
        <w:tc>
          <w:tcPr>
            <w:tcW w:w="44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18.6%</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18.5%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89"/>
        </w:trPr>
        <w:tc>
          <w:tcPr>
            <w:tcW w:w="44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2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10.2%</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11.0%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32.7%</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31.5%</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29.1%</w:t>
            </w: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30.5%</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16.3%</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8"/>
              </w:rPr>
              <w:t>14.7%</w:t>
            </w: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2022 compared with three months ended September 30, 2021</w:t>
      </w:r>
    </w:p>
    <w:p>
      <w:pPr>
        <w:spacing w:after="0" w:line="224"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$41,476 or 16.0% for the third quarter of 2022 as compared to the same period in 2021, mainly due to the following:</w:t>
      </w:r>
    </w:p>
    <w:p>
      <w:pPr>
        <w:spacing w:after="0" w:line="186" w:lineRule="exact"/>
        <w:rPr>
          <w:sz w:val="20"/>
          <w:szCs w:val="20"/>
          <w:color w:val="auto"/>
        </w:rPr>
      </w:pPr>
    </w:p>
    <w:p>
      <w:pPr>
        <w:ind w:left="660" w:right="1580"/>
        <w:spacing w:after="0" w:line="229" w:lineRule="auto"/>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$25,898; increase in volume consumption of $9,475, and,</w:t>
      </w:r>
    </w:p>
    <w:p>
      <w:pPr>
        <w:ind w:left="660" w:right="120"/>
        <w:spacing w:after="0" w:line="231" w:lineRule="auto"/>
        <w:rPr>
          <w:sz w:val="20"/>
          <w:szCs w:val="20"/>
          <w:color w:val="auto"/>
        </w:rPr>
      </w:pPr>
      <w:r>
        <w:rPr>
          <w:rFonts w:ascii="Times New Roman" w:cs="Times New Roman" w:eastAsia="Times New Roman" w:hAnsi="Times New Roman"/>
          <w:sz w:val="22"/>
          <w:szCs w:val="22"/>
          <w:color w:val="auto"/>
        </w:rPr>
        <w:t>additional water and wastewater revenues of $6,185 associated with a larger customer base due to utility acquisitions and organic growth.</w:t>
      </w:r>
    </w:p>
    <w:p>
      <w:pPr>
        <w:spacing w:after="0" w:line="19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September 30, 2022 increased by $7,931 or 9.1% was primarily due to the following:</w:t>
      </w:r>
    </w:p>
    <w:p>
      <w:pPr>
        <w:spacing w:after="0" w:line="186" w:lineRule="exact"/>
        <w:rPr>
          <w:sz w:val="20"/>
          <w:szCs w:val="20"/>
          <w:color w:val="auto"/>
        </w:rPr>
      </w:pPr>
    </w:p>
    <w:p>
      <w:pPr>
        <w:ind w:left="660" w:right="580"/>
        <w:spacing w:after="0" w:line="229" w:lineRule="auto"/>
        <w:rPr>
          <w:sz w:val="20"/>
          <w:szCs w:val="20"/>
          <w:color w:val="auto"/>
        </w:rPr>
      </w:pPr>
      <w:r>
        <w:rPr>
          <w:rFonts w:ascii="Times New Roman" w:cs="Times New Roman" w:eastAsia="Times New Roman" w:hAnsi="Times New Roman"/>
          <w:sz w:val="22"/>
          <w:szCs w:val="22"/>
          <w:color w:val="auto"/>
        </w:rPr>
        <w:t>increase in labor and employee benefit costs of $1,282, driven by an increase in labor rates, other compensation and benefits to employees;</w:t>
      </w:r>
    </w:p>
    <w:p>
      <w:pPr>
        <w:ind w:left="340"/>
        <w:spacing w:after="0" w:line="230" w:lineRule="auto"/>
        <w:rPr>
          <w:sz w:val="20"/>
          <w:szCs w:val="20"/>
          <w:color w:val="auto"/>
        </w:rPr>
      </w:pPr>
      <w:r>
        <w:rPr>
          <w:rFonts w:ascii="Times New Roman" w:cs="Times New Roman" w:eastAsia="Times New Roman" w:hAnsi="Times New Roman"/>
          <w:sz w:val="22"/>
          <w:szCs w:val="22"/>
          <w:color w:val="auto"/>
        </w:rPr>
        <w:t>increase in production costs for water and wastewater operations of $2,827, primarily due to higher chemical prices and</w:t>
      </w:r>
    </w:p>
    <w:p>
      <w:pPr>
        <w:ind w:left="660"/>
        <w:spacing w:after="0" w:line="218" w:lineRule="auto"/>
        <w:rPr>
          <w:sz w:val="20"/>
          <w:szCs w:val="20"/>
          <w:color w:val="auto"/>
        </w:rPr>
      </w:pPr>
      <w:r>
        <w:rPr>
          <w:rFonts w:ascii="Times New Roman" w:cs="Times New Roman" w:eastAsia="Times New Roman" w:hAnsi="Times New Roman"/>
          <w:sz w:val="22"/>
          <w:szCs w:val="22"/>
          <w:color w:val="auto"/>
        </w:rPr>
        <w:t>increase in wholesale water costs;</w:t>
      </w: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left="660" w:right="20"/>
        <w:spacing w:after="0" w:line="246" w:lineRule="auto"/>
        <w:rPr>
          <w:sz w:val="20"/>
          <w:szCs w:val="20"/>
          <w:color w:val="auto"/>
        </w:rPr>
      </w:pPr>
      <w:r>
        <w:rPr>
          <w:rFonts w:ascii="Times New Roman" w:cs="Times New Roman" w:eastAsia="Times New Roman" w:hAnsi="Times New Roman"/>
          <w:sz w:val="21"/>
          <w:szCs w:val="21"/>
          <w:color w:val="auto"/>
        </w:rPr>
        <w:t>additional operating costs resulting from acquired water and wastewater utility systems and higher customer base of $882; increase in outside services and maintenance expenses of $4,754 in our Regulated Water segment as compared with the</w:t>
      </w:r>
    </w:p>
    <w:p>
      <w:pPr>
        <w:spacing w:after="0" w:line="1"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2"/>
          <w:szCs w:val="22"/>
          <w:color w:val="auto"/>
        </w:rPr>
        <w:t>prior period; and,</w:t>
      </w:r>
    </w:p>
    <w:p>
      <w:pPr>
        <w:ind w:left="660" w:right="180"/>
        <w:spacing w:after="0" w:line="224" w:lineRule="auto"/>
        <w:rPr>
          <w:sz w:val="20"/>
          <w:szCs w:val="20"/>
          <w:color w:val="auto"/>
        </w:rPr>
      </w:pPr>
      <w:r>
        <w:rPr>
          <w:rFonts w:ascii="Times New Roman" w:cs="Times New Roman" w:eastAsia="Times New Roman" w:hAnsi="Times New Roman"/>
          <w:sz w:val="22"/>
          <w:szCs w:val="22"/>
          <w:color w:val="auto"/>
        </w:rPr>
        <w:t>expenses of $180, associated with remediating an advisory for some of our water utility customers served by our Illinois subsidiary. We expect the expenses associated with remediating the advisory to continue through 2022;</w:t>
      </w:r>
    </w:p>
    <w:p>
      <w:pPr>
        <w:ind w:left="340"/>
        <w:spacing w:after="0"/>
        <w:rPr>
          <w:sz w:val="20"/>
          <w:szCs w:val="20"/>
          <w:color w:val="auto"/>
        </w:rPr>
      </w:pPr>
      <w:r>
        <w:rPr>
          <w:rFonts w:ascii="Times New Roman" w:cs="Times New Roman" w:eastAsia="Times New Roman" w:hAnsi="Times New Roman"/>
          <w:sz w:val="22"/>
          <w:szCs w:val="22"/>
          <w:color w:val="auto"/>
        </w:rPr>
        <w:t>offset by a decrease in repairs expense of $2,160 to restore and repair the property damaged by Hurricane Ida in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by $6,016 or 13.2% primarily due to continued capital spend.</w:t>
      </w:r>
    </w:p>
    <w:p>
      <w:pPr>
        <w:spacing w:after="0" w:line="220"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16.3% in the third quarter of 2022, compared to an expense of 10.1% in the third quarter of 2021. The change in the effective tax rate is primarily due to the increase in pretax income, with a steady year-over-year deduction for qualifying infrastructure, and a decrease in the amortization of certain regulatory liabilities associated with deferred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2022 compared with nine months ended September 30, 2021</w:t>
      </w:r>
    </w:p>
    <w:p>
      <w:pPr>
        <w:spacing w:after="0" w:line="2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$73,499 or 10.0% for the first nine months of 2022 as compared to the same period in 2021, mainly due to the following: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$41,802;</w:t>
      </w:r>
    </w:p>
    <w:p>
      <w:pPr>
        <w:spacing w:after="0" w:line="14"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2"/>
          <w:szCs w:val="22"/>
          <w:color w:val="auto"/>
        </w:rPr>
        <w:t>additional water and wastewater revenues of $16,742 associated with a larger customer base due to utility acquisitions and organic growth; and,</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increase in volume consumption of $13,701.</w:t>
      </w:r>
    </w:p>
    <w:p>
      <w:pPr>
        <w:spacing w:after="0" w:line="196" w:lineRule="exact"/>
        <w:rPr>
          <w:sz w:val="20"/>
          <w:szCs w:val="20"/>
          <w:color w:val="auto"/>
        </w:rPr>
      </w:pPr>
    </w:p>
    <w:p>
      <w:pPr>
        <w:ind w:right="800"/>
        <w:spacing w:after="0" w:line="245" w:lineRule="auto"/>
        <w:rPr>
          <w:sz w:val="20"/>
          <w:szCs w:val="20"/>
          <w:color w:val="auto"/>
        </w:rPr>
      </w:pPr>
      <w:r>
        <w:rPr>
          <w:rFonts w:ascii="Times New Roman" w:cs="Times New Roman" w:eastAsia="Times New Roman" w:hAnsi="Times New Roman"/>
          <w:sz w:val="22"/>
          <w:szCs w:val="22"/>
          <w:color w:val="auto"/>
        </w:rPr>
        <w:t>Operations and maintenance expense for the nine months ended September 30, 2022 increased by $30,686 or 12.6% was primarily due to the following:</w:t>
      </w:r>
    </w:p>
    <w:p>
      <w:pPr>
        <w:spacing w:after="0" w:line="186" w:lineRule="exact"/>
        <w:rPr>
          <w:sz w:val="20"/>
          <w:szCs w:val="20"/>
          <w:color w:val="auto"/>
        </w:rPr>
      </w:pPr>
    </w:p>
    <w:p>
      <w:pPr>
        <w:ind w:left="660" w:right="540"/>
        <w:spacing w:after="0" w:line="229" w:lineRule="auto"/>
        <w:rPr>
          <w:sz w:val="20"/>
          <w:szCs w:val="20"/>
          <w:color w:val="auto"/>
        </w:rPr>
      </w:pPr>
      <w:r>
        <w:rPr>
          <w:rFonts w:ascii="Times New Roman" w:cs="Times New Roman" w:eastAsia="Times New Roman" w:hAnsi="Times New Roman"/>
          <w:sz w:val="22"/>
          <w:szCs w:val="22"/>
          <w:color w:val="auto"/>
        </w:rPr>
        <w:t>increase in employee related costs of $5,134 driven by an increase in labor rates, other compensation and benefits to employees;</w:t>
      </w:r>
    </w:p>
    <w:p>
      <w:pPr>
        <w:ind w:left="340"/>
        <w:spacing w:after="0" w:line="217" w:lineRule="auto"/>
        <w:rPr>
          <w:sz w:val="20"/>
          <w:szCs w:val="20"/>
          <w:color w:val="auto"/>
        </w:rPr>
      </w:pPr>
      <w:r>
        <w:rPr>
          <w:rFonts w:ascii="Times New Roman" w:cs="Times New Roman" w:eastAsia="Times New Roman" w:hAnsi="Times New Roman"/>
          <w:sz w:val="22"/>
          <w:szCs w:val="22"/>
          <w:color w:val="auto"/>
        </w:rPr>
        <w:t>increase in production costs for water and wastewater operations of $6,812;</w:t>
      </w:r>
    </w:p>
    <w:p>
      <w:pPr>
        <w:ind w:left="660" w:right="560"/>
        <w:spacing w:after="0" w:line="224"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$2,598;</w:t>
      </w:r>
    </w:p>
    <w:p>
      <w:pPr>
        <w:ind w:left="660" w:right="180"/>
        <w:spacing w:after="0" w:line="217" w:lineRule="auto"/>
        <w:rPr>
          <w:sz w:val="20"/>
          <w:szCs w:val="20"/>
          <w:color w:val="auto"/>
        </w:rPr>
      </w:pPr>
      <w:r>
        <w:rPr>
          <w:rFonts w:ascii="Times New Roman" w:cs="Times New Roman" w:eastAsia="Times New Roman" w:hAnsi="Times New Roman"/>
          <w:sz w:val="22"/>
          <w:szCs w:val="22"/>
          <w:color w:val="auto"/>
        </w:rPr>
        <w:t>expenses of $555, associated with remediating an advisory for some of our water utility customers served by our Illinois subsidiary. We expect the expenses associated with remediating the advisory to continue through 2022;</w:t>
      </w:r>
    </w:p>
    <w:p>
      <w:pPr>
        <w:spacing w:after="0" w:line="1" w:lineRule="exact"/>
        <w:rPr>
          <w:sz w:val="20"/>
          <w:szCs w:val="20"/>
          <w:color w:val="auto"/>
        </w:rPr>
      </w:pPr>
    </w:p>
    <w:p>
      <w:pPr>
        <w:ind w:left="340"/>
        <w:spacing w:after="0" w:line="230" w:lineRule="auto"/>
        <w:rPr>
          <w:sz w:val="20"/>
          <w:szCs w:val="20"/>
          <w:color w:val="auto"/>
        </w:rPr>
      </w:pPr>
      <w:r>
        <w:rPr>
          <w:rFonts w:ascii="Times New Roman" w:cs="Times New Roman" w:eastAsia="Times New Roman" w:hAnsi="Times New Roman"/>
          <w:sz w:val="22"/>
          <w:szCs w:val="22"/>
          <w:color w:val="auto"/>
        </w:rPr>
        <w:t>increase in legal expenses of $1,664; and,</w:t>
      </w:r>
    </w:p>
    <w:p>
      <w:pPr>
        <w:ind w:left="660" w:right="160"/>
        <w:spacing w:after="0" w:line="217" w:lineRule="auto"/>
        <w:rPr>
          <w:sz w:val="20"/>
          <w:szCs w:val="20"/>
          <w:color w:val="auto"/>
        </w:rPr>
      </w:pPr>
      <w:r>
        <w:rPr>
          <w:rFonts w:ascii="Times New Roman" w:cs="Times New Roman" w:eastAsia="Times New Roman" w:hAnsi="Times New Roman"/>
          <w:sz w:val="22"/>
          <w:szCs w:val="22"/>
          <w:color w:val="auto"/>
        </w:rPr>
        <w:t>increase in outside services and maintenance expenses of $17,083 in our Regulated Water segment as compared with the prior period; 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3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3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left="660" w:right="240"/>
        <w:spacing w:after="0" w:line="258" w:lineRule="auto"/>
        <w:rPr>
          <w:sz w:val="20"/>
          <w:szCs w:val="20"/>
          <w:color w:val="auto"/>
        </w:rPr>
      </w:pPr>
      <w:r>
        <w:rPr>
          <w:rFonts w:ascii="Times New Roman" w:cs="Times New Roman" w:eastAsia="Times New Roman" w:hAnsi="Times New Roman"/>
          <w:sz w:val="22"/>
          <w:szCs w:val="22"/>
          <w:color w:val="auto"/>
        </w:rPr>
        <w:t>offset by a decrease in repairs expense of $2,160 related to costs incurred to restore and repair the property damaged by Hurricane Ida incurred during the third quarter of 2021.</w:t>
      </w:r>
    </w:p>
    <w:p>
      <w:pPr>
        <w:spacing w:after="0" w:line="15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$14,309 or 10.5% primarily due to continued capital spend, offset by a change in the amortization of a regulatory liability in 2022.</w:t>
      </w:r>
    </w:p>
    <w:p>
      <w:pPr>
        <w:spacing w:after="0" w:line="186"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22"/>
          <w:szCs w:val="22"/>
          <w:color w:val="auto"/>
        </w:rPr>
        <w:t>Interest expense, net, increased by $1,949 or 2.4% primarily due to an increase in borrowings and higher interest rate on our revolving line of credit in 2022.</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AFUDC increased by $2,566 or 19.6% due to the increase in the average balance of utility plant construction work in progress, to which AFUDC is applied.</w:t>
      </w:r>
    </w:p>
    <w:p>
      <w:pPr>
        <w:spacing w:after="0" w:line="186" w:lineRule="exact"/>
        <w:rPr>
          <w:sz w:val="20"/>
          <w:szCs w:val="20"/>
          <w:color w:val="auto"/>
        </w:rPr>
      </w:pPr>
    </w:p>
    <w:p>
      <w:pPr>
        <w:ind w:right="440"/>
        <w:spacing w:after="0" w:line="230"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14.7% in the first nine months of 2022, compared to an expense of 8.9% in the first nine months of 2021. The change in the effective tax rate is primarily due to the increase in pretax income, with a steady year-over-year income tax benefit associated with the tax deduction for qualifying infrastructure, and a decrease in the amortization of certain regulatory liabilities associated with deferred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Natural Gas Segment</w:t>
      </w:r>
    </w:p>
    <w:p>
      <w:pPr>
        <w:spacing w:after="0" w:line="21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Natural Gas segment: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19"/>
                <w:szCs w:val="19"/>
                <w:color w:val="auto"/>
              </w:rPr>
            </w:pPr>
          </w:p>
        </w:tc>
        <w:tc>
          <w:tcPr>
            <w:tcW w:w="2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118,985</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94,752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731,897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579,429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51,850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53,954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156,209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jc w:val="right"/>
              <w:ind w:right="1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157,614</w:t>
            </w: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41,124</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20,386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321,822</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183,062</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(17,133)</w:t>
            </w:r>
          </w:p>
        </w:tc>
        <w:tc>
          <w:tcPr>
            <w:tcW w:w="1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jc w:val="right"/>
              <w:ind w:right="17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(28,292)</w:t>
            </w: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133,831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jc w:val="right"/>
              <w:ind w:right="13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92,864</w:t>
            </w:r>
          </w:p>
        </w:tc>
        <w:tc>
          <w:tcPr>
            <w:tcW w:w="0" w:type="dxa"/>
            <w:vAlign w:val="bottom"/>
          </w:tcPr>
          <w:p>
            <w:pPr>
              <w:spacing w:after="0"/>
              <w:rPr>
                <w:sz w:val="1"/>
                <w:szCs w:val="1"/>
                <w:color w:val="auto"/>
              </w:rPr>
            </w:pPr>
          </w:p>
        </w:tc>
      </w:tr>
      <w:tr>
        <w:trPr>
          <w:trHeight w:val="170"/>
        </w:trPr>
        <w:tc>
          <w:tcPr>
            <w:tcW w:w="5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189"/>
        </w:trPr>
        <w:tc>
          <w:tcPr>
            <w:tcW w:w="53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9"/>
        </w:trPr>
        <w:tc>
          <w:tcPr>
            <w:tcW w:w="53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375"/>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05485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54850" cy="12001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1"/>
          <w:szCs w:val="21"/>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a dollar-for-dollar basis, but do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shows the reconciliation of gross margin (non-GAAP) to operating revenues (GAAP):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180" w:type="dxa"/>
            <w:vAlign w:val="bottom"/>
            <w:gridSpan w:val="5"/>
          </w:tcPr>
          <w:p>
            <w:pPr>
              <w:jc w:val="center"/>
              <w:ind w:right="144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40" w:type="dxa"/>
            <w:vAlign w:val="bottom"/>
          </w:tcPr>
          <w:p>
            <w:pPr>
              <w:spacing w:after="0"/>
              <w:rPr>
                <w:sz w:val="22"/>
                <w:szCs w:val="22"/>
                <w:color w:val="auto"/>
              </w:rPr>
            </w:pPr>
          </w:p>
        </w:tc>
        <w:tc>
          <w:tcPr>
            <w:tcW w:w="296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33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22"/>
                <w:szCs w:val="22"/>
                <w:color w:val="auto"/>
                <w:w w:val="97"/>
              </w:rPr>
              <w:t>September 30,</w:t>
            </w:r>
          </w:p>
        </w:tc>
        <w:tc>
          <w:tcPr>
            <w:tcW w:w="1080" w:type="dxa"/>
            <w:vAlign w:val="bottom"/>
            <w:tcBorders>
              <w:bottom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22"/>
                <w:szCs w:val="22"/>
                <w:color w:val="auto"/>
                <w:w w:val="99"/>
              </w:rPr>
              <w:t>September 30,</w:t>
            </w:r>
          </w:p>
        </w:tc>
        <w:tc>
          <w:tcPr>
            <w:tcW w:w="1020" w:type="dxa"/>
            <w:vAlign w:val="bottom"/>
            <w:tcBorders>
              <w:bottom w:val="single" w:sz="8" w:color="auto"/>
            </w:tcBorders>
          </w:tcPr>
          <w:p>
            <w:pPr>
              <w:spacing w:after="0"/>
              <w:rPr>
                <w:sz w:val="22"/>
                <w:szCs w:val="22"/>
                <w:color w:val="auto"/>
              </w:rPr>
            </w:pPr>
          </w:p>
        </w:tc>
      </w:tr>
      <w:tr>
        <w:trPr>
          <w:trHeight w:val="223"/>
        </w:trPr>
        <w:tc>
          <w:tcPr>
            <w:tcW w:w="3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2"/>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2021</w:t>
            </w:r>
          </w:p>
        </w:tc>
        <w:tc>
          <w:tcPr>
            <w:tcW w:w="1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22"/>
                <w:szCs w:val="22"/>
                <w:color w:val="auto"/>
              </w:rPr>
              <w:t>2022</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2"/>
              <w:spacing w:after="0" w:line="223" w:lineRule="exact"/>
              <w:rPr>
                <w:sz w:val="20"/>
                <w:szCs w:val="20"/>
                <w:color w:val="auto"/>
              </w:rPr>
            </w:pPr>
            <w:r>
              <w:rPr>
                <w:rFonts w:ascii="Times New Roman" w:cs="Times New Roman" w:eastAsia="Times New Roman" w:hAnsi="Times New Roman"/>
                <w:sz w:val="22"/>
                <w:szCs w:val="22"/>
                <w:color w:val="auto"/>
                <w:w w:val="99"/>
              </w:rPr>
              <w:t>2021</w:t>
            </w:r>
          </w:p>
        </w:tc>
      </w:tr>
      <w:tr>
        <w:trPr>
          <w:trHeight w:val="223"/>
        </w:trPr>
        <w:tc>
          <w:tcPr>
            <w:tcW w:w="33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 (GAAP)</w:t>
            </w:r>
          </w:p>
        </w:tc>
        <w:tc>
          <w:tcPr>
            <w:tcW w:w="380" w:type="dxa"/>
            <w:vAlign w:val="bottom"/>
            <w:shd w:val="clear" w:color="auto" w:fill="CCEEFF"/>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118,985</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94,752</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shd w:val="clear" w:color="auto" w:fill="CCEEFF"/>
          </w:tcPr>
          <w:p>
            <w:pPr>
              <w:ind w:left="460"/>
              <w:spacing w:after="0" w:line="223" w:lineRule="exact"/>
              <w:rPr>
                <w:sz w:val="20"/>
                <w:szCs w:val="20"/>
                <w:color w:val="auto"/>
              </w:rPr>
            </w:pPr>
            <w:r>
              <w:rPr>
                <w:rFonts w:ascii="Times New Roman" w:cs="Times New Roman" w:eastAsia="Times New Roman" w:hAnsi="Times New Roman"/>
                <w:sz w:val="22"/>
                <w:szCs w:val="22"/>
                <w:color w:val="auto"/>
              </w:rPr>
              <w:t>731,897</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579,429</w:t>
            </w:r>
          </w:p>
        </w:tc>
      </w:tr>
      <w:tr>
        <w:trPr>
          <w:trHeight w:val="229"/>
        </w:trPr>
        <w:tc>
          <w:tcPr>
            <w:tcW w:w="338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41,124</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20,386</w:t>
            </w:r>
          </w:p>
        </w:tc>
        <w:tc>
          <w:tcPr>
            <w:tcW w:w="1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460"/>
              <w:spacing w:after="0" w:line="229" w:lineRule="exact"/>
              <w:rPr>
                <w:sz w:val="20"/>
                <w:szCs w:val="20"/>
                <w:color w:val="auto"/>
              </w:rPr>
            </w:pPr>
            <w:r>
              <w:rPr>
                <w:rFonts w:ascii="Times New Roman" w:cs="Times New Roman" w:eastAsia="Times New Roman" w:hAnsi="Times New Roman"/>
                <w:sz w:val="22"/>
                <w:szCs w:val="22"/>
                <w:color w:val="auto"/>
              </w:rPr>
              <w:t>321,822</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183,062</w:t>
            </w:r>
          </w:p>
        </w:tc>
      </w:tr>
      <w:tr>
        <w:trPr>
          <w:trHeight w:val="223"/>
        </w:trPr>
        <w:tc>
          <w:tcPr>
            <w:tcW w:w="338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Gross margin (non-GAAP)</w:t>
            </w:r>
          </w:p>
        </w:tc>
        <w:tc>
          <w:tcPr>
            <w:tcW w:w="380" w:type="dxa"/>
            <w:vAlign w:val="bottom"/>
            <w:tcBorders>
              <w:bottom w:val="single" w:sz="8" w:color="auto"/>
            </w:tcBorders>
            <w:shd w:val="clear" w:color="auto" w:fill="CCEEFF"/>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77,861</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74,366</w:t>
            </w: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shd w:val="clear" w:color="auto" w:fill="CCEEFF"/>
          </w:tcPr>
          <w:p>
            <w:pPr>
              <w:ind w:left="460"/>
              <w:spacing w:after="0" w:line="223" w:lineRule="exact"/>
              <w:rPr>
                <w:sz w:val="20"/>
                <w:szCs w:val="20"/>
                <w:color w:val="auto"/>
              </w:rPr>
            </w:pPr>
            <w:r>
              <w:rPr>
                <w:rFonts w:ascii="Times New Roman" w:cs="Times New Roman" w:eastAsia="Times New Roman" w:hAnsi="Times New Roman"/>
                <w:sz w:val="22"/>
                <w:szCs w:val="22"/>
                <w:color w:val="auto"/>
              </w:rPr>
              <w:t>410,075</w:t>
            </w:r>
          </w:p>
        </w:tc>
        <w:tc>
          <w:tcPr>
            <w:tcW w:w="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396,367</w:t>
            </w:r>
          </w:p>
        </w:tc>
      </w:tr>
      <w:tr>
        <w:trPr>
          <w:trHeight w:val="20"/>
        </w:trPr>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460"/>
        <w:spacing w:after="0" w:line="238" w:lineRule="auto"/>
        <w:rPr>
          <w:sz w:val="20"/>
          <w:szCs w:val="20"/>
          <w:color w:val="auto"/>
        </w:rPr>
      </w:pPr>
      <w:r>
        <w:rPr>
          <w:rFonts w:ascii="Times New Roman" w:cs="Times New Roman" w:eastAsia="Times New Roman" w:hAnsi="Times New Roman"/>
          <w:sz w:val="22"/>
          <w:szCs w:val="22"/>
          <w:color w:val="auto"/>
        </w:rPr>
        <w:t>The term gross margin is not intended to represent operating revenues, the most comparable GAAP financial measure, as an indicator of operating performance. In addition, our measurement of gross margin is not necessarily comparable to similarly titled measures reported by other companies.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2022 compared with three months ended September 30, 2021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increased by $24,233 or 25.6% due to:</w:t>
      </w:r>
    </w:p>
    <w:p>
      <w:pPr>
        <w:spacing w:after="0" w:line="206" w:lineRule="exact"/>
        <w:rPr>
          <w:sz w:val="20"/>
          <w:szCs w:val="20"/>
          <w:color w:val="auto"/>
        </w:rPr>
      </w:pPr>
    </w:p>
    <w:p>
      <w:pPr>
        <w:ind w:left="660" w:right="3000"/>
        <w:spacing w:after="0" w:line="235" w:lineRule="auto"/>
        <w:rPr>
          <w:sz w:val="20"/>
          <w:szCs w:val="20"/>
          <w:color w:val="auto"/>
        </w:rPr>
      </w:pPr>
      <w:r>
        <w:rPr>
          <w:rFonts w:ascii="Times New Roman" w:cs="Times New Roman" w:eastAsia="Times New Roman" w:hAnsi="Times New Roman"/>
          <w:sz w:val="22"/>
          <w:szCs w:val="22"/>
          <w:color w:val="auto"/>
        </w:rPr>
        <w:t>impact of higher gas cost of $20,738 during the quarter as compared to the prior period; higher gas usage of $1,201;</w:t>
      </w:r>
    </w:p>
    <w:p>
      <w:pPr>
        <w:spacing w:after="0" w:line="1" w:lineRule="exact"/>
        <w:rPr>
          <w:sz w:val="20"/>
          <w:szCs w:val="20"/>
          <w:color w:val="auto"/>
        </w:rPr>
      </w:pPr>
    </w:p>
    <w:p>
      <w:pPr>
        <w:ind w:left="660" w:right="120"/>
        <w:spacing w:after="0" w:line="221" w:lineRule="auto"/>
        <w:rPr>
          <w:sz w:val="20"/>
          <w:szCs w:val="20"/>
          <w:color w:val="auto"/>
        </w:rPr>
      </w:pPr>
      <w:r>
        <w:rPr>
          <w:rFonts w:ascii="Times New Roman" w:cs="Times New Roman" w:eastAsia="Times New Roman" w:hAnsi="Times New Roman"/>
          <w:sz w:val="22"/>
          <w:szCs w:val="22"/>
          <w:color w:val="auto"/>
        </w:rPr>
        <w:t>increase in customer assistance surcharge of $1,301, which has an equivalent offsetting amount in operations and maintenance expense. These revenues and offsetting expenses increased mainly due to the increase in average gas prices during the third quarter of 2022 compared to the prior period; and,</w:t>
      </w:r>
    </w:p>
    <w:p>
      <w:pPr>
        <w:spacing w:after="0" w:line="3" w:lineRule="exact"/>
        <w:rPr>
          <w:sz w:val="20"/>
          <w:szCs w:val="20"/>
          <w:color w:val="auto"/>
        </w:rPr>
      </w:pPr>
    </w:p>
    <w:p>
      <w:pPr>
        <w:ind w:left="340"/>
        <w:spacing w:after="0" w:line="217" w:lineRule="auto"/>
        <w:rPr>
          <w:sz w:val="20"/>
          <w:szCs w:val="20"/>
          <w:color w:val="auto"/>
        </w:rPr>
      </w:pPr>
      <w:r>
        <w:rPr>
          <w:rFonts w:ascii="Times New Roman" w:cs="Times New Roman" w:eastAsia="Times New Roman" w:hAnsi="Times New Roman"/>
          <w:sz w:val="22"/>
          <w:szCs w:val="22"/>
          <w:color w:val="auto"/>
        </w:rPr>
        <w:t>increase of $729 due to higher rates and other surcharges;</w:t>
      </w:r>
    </w:p>
    <w:p>
      <w:pPr>
        <w:ind w:left="340"/>
        <w:spacing w:after="0"/>
        <w:rPr>
          <w:sz w:val="20"/>
          <w:szCs w:val="20"/>
          <w:color w:val="auto"/>
        </w:rPr>
      </w:pPr>
      <w:r>
        <w:rPr>
          <w:rFonts w:ascii="Times New Roman" w:cs="Times New Roman" w:eastAsia="Times New Roman" w:hAnsi="Times New Roman"/>
          <w:sz w:val="22"/>
          <w:szCs w:val="22"/>
          <w:color w:val="auto"/>
        </w:rPr>
        <w:t>offset by the increase in tax repair surcredits to customers of $839.</w:t>
      </w:r>
    </w:p>
    <w:p>
      <w:pPr>
        <w:spacing w:after="0" w:line="19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September 30, 2022 decreased by $2,104 or 3.9% primarily due to the following:</w:t>
      </w:r>
    </w:p>
    <w:p>
      <w:pPr>
        <w:spacing w:after="0" w:line="172" w:lineRule="exact"/>
        <w:rPr>
          <w:sz w:val="20"/>
          <w:szCs w:val="20"/>
          <w:color w:val="auto"/>
        </w:rPr>
      </w:pPr>
    </w:p>
    <w:p>
      <w:pPr>
        <w:ind w:left="660" w:right="340"/>
        <w:spacing w:after="0" w:line="235" w:lineRule="auto"/>
        <w:rPr>
          <w:sz w:val="20"/>
          <w:szCs w:val="20"/>
          <w:color w:val="auto"/>
        </w:rPr>
      </w:pPr>
      <w:r>
        <w:rPr>
          <w:rFonts w:ascii="Times New Roman" w:cs="Times New Roman" w:eastAsia="Times New Roman" w:hAnsi="Times New Roman"/>
          <w:sz w:val="22"/>
          <w:szCs w:val="22"/>
          <w:color w:val="auto"/>
        </w:rPr>
        <w:t>increase in customer assistance surcharge costs of $1,301, which has an equivalent offsetting amount in revenues; and, offset by a decrease in charitable donations of $3,000.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Purchased gas increased by $20,738 or 101.7%. The increase is largely due to the 119.9% increase in the average gas commodity prices in the third quarter of 2022 as compared to the prior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by $2,101 or 7.5% primarily due to continued capital spend.</w:t>
      </w:r>
    </w:p>
    <w:p>
      <w:pPr>
        <w:spacing w:after="0" w:line="220"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2"/>
          <w:szCs w:val="22"/>
          <w:color w:val="auto"/>
        </w:rPr>
        <w:t>Interest expense, net, increased by $1,917 or 10.4% for the quarter due to additional borrowings and higher interest rate on our revolving line of credit in 2022.</w:t>
      </w:r>
    </w:p>
    <w:p>
      <w:pPr>
        <w:spacing w:after="0" w:line="18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Other expense decreased by $4,491or by 84.3% largely due to the decrease in the non-service cost component of our net benefit cost for pension benefits.</w:t>
      </w:r>
    </w:p>
    <w:p>
      <w:pPr>
        <w:spacing w:after="0" w:line="186"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Our effective income tax rate was a benefit of 42.6% in the third quarter of 2022, compared to a benefit of 19.4% in the third quarter of 2021. The change in the effective tax rate is primarily attributed to an increase in the income tax benefit associated with the tax deduction for qualifying infrastructure and the amortization of the catch-up adjustment in our Regulated Natural Gas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2022 compared with nine months ended September 30,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increased by $152,468 or 26.3% due to:</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impact of higher gas cost of $138,760 during the period compared to the prior period;</w:t>
      </w:r>
    </w:p>
    <w:p>
      <w:pPr>
        <w:ind w:left="660" w:right="120"/>
        <w:spacing w:after="0" w:line="224" w:lineRule="auto"/>
        <w:rPr>
          <w:sz w:val="20"/>
          <w:szCs w:val="20"/>
          <w:color w:val="auto"/>
        </w:rPr>
      </w:pPr>
      <w:r>
        <w:rPr>
          <w:rFonts w:ascii="Times New Roman" w:cs="Times New Roman" w:eastAsia="Times New Roman" w:hAnsi="Times New Roman"/>
          <w:sz w:val="22"/>
          <w:szCs w:val="22"/>
          <w:color w:val="auto"/>
        </w:rPr>
        <w:t>higher usage of $12,191 due to colder than normal weather during the first nine months of 2022 as compared to the same period in 2021;</w:t>
      </w:r>
    </w:p>
    <w:p>
      <w:pPr>
        <w:ind w:left="660" w:right="100"/>
        <w:spacing w:after="0" w:line="221" w:lineRule="auto"/>
        <w:rPr>
          <w:sz w:val="20"/>
          <w:szCs w:val="20"/>
          <w:color w:val="auto"/>
        </w:rPr>
      </w:pPr>
      <w:r>
        <w:rPr>
          <w:rFonts w:ascii="Times New Roman" w:cs="Times New Roman" w:eastAsia="Times New Roman" w:hAnsi="Times New Roman"/>
          <w:sz w:val="22"/>
          <w:szCs w:val="22"/>
          <w:color w:val="auto"/>
        </w:rPr>
        <w:t>increase in customer assistance surcharge of $8,668, which has an equivalent offsetting amount in operations and maintenance expense. These revenues and offsetting expenses increased mainly due to the increase in average gas prices during the first nine months of 2022 compared to the prior period; and,</w:t>
      </w:r>
    </w:p>
    <w:p>
      <w:pPr>
        <w:spacing w:after="0" w:line="3" w:lineRule="exact"/>
        <w:rPr>
          <w:sz w:val="20"/>
          <w:szCs w:val="20"/>
          <w:color w:val="auto"/>
        </w:rPr>
      </w:pPr>
    </w:p>
    <w:p>
      <w:pPr>
        <w:ind w:left="340"/>
        <w:spacing w:after="0" w:line="217" w:lineRule="auto"/>
        <w:rPr>
          <w:sz w:val="20"/>
          <w:szCs w:val="20"/>
          <w:color w:val="auto"/>
        </w:rPr>
      </w:pPr>
      <w:r>
        <w:rPr>
          <w:rFonts w:ascii="Times New Roman" w:cs="Times New Roman" w:eastAsia="Times New Roman" w:hAnsi="Times New Roman"/>
          <w:sz w:val="22"/>
          <w:szCs w:val="22"/>
          <w:color w:val="auto"/>
        </w:rPr>
        <w:t>increase of $6,697 due to higher rates and other surcharges;</w:t>
      </w:r>
    </w:p>
    <w:p>
      <w:pPr>
        <w:ind w:left="340"/>
        <w:spacing w:after="0"/>
        <w:rPr>
          <w:sz w:val="20"/>
          <w:szCs w:val="20"/>
          <w:color w:val="auto"/>
        </w:rPr>
      </w:pPr>
      <w:r>
        <w:rPr>
          <w:rFonts w:ascii="Times New Roman" w:cs="Times New Roman" w:eastAsia="Times New Roman" w:hAnsi="Times New Roman"/>
          <w:sz w:val="22"/>
          <w:szCs w:val="22"/>
          <w:color w:val="auto"/>
        </w:rPr>
        <w:t>offset by the increase in tax repair surcredits to customers of $18,077.</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Operations and maintenance expense for the nine months ended September 30, 2022 decreased by $1,405 or 0.9% primarily due to the following: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increase in employee related costs of $2,180; and,</w:t>
      </w:r>
    </w:p>
    <w:p>
      <w:pPr>
        <w:ind w:left="660" w:right="740"/>
        <w:spacing w:after="0" w:line="224" w:lineRule="auto"/>
        <w:rPr>
          <w:sz w:val="20"/>
          <w:szCs w:val="20"/>
          <w:color w:val="auto"/>
        </w:rPr>
      </w:pPr>
      <w:r>
        <w:rPr>
          <w:rFonts w:ascii="Times New Roman" w:cs="Times New Roman" w:eastAsia="Times New Roman" w:hAnsi="Times New Roman"/>
          <w:sz w:val="22"/>
          <w:szCs w:val="22"/>
          <w:color w:val="auto"/>
        </w:rPr>
        <w:t>increase in customer assistance surcharge costs of $8,668, which has an equivalent offsetting amount in revenues; offset by a decrease in bad debt expense of $1,012;</w:t>
      </w:r>
    </w:p>
    <w:p>
      <w:pPr>
        <w:ind w:left="340"/>
        <w:spacing w:after="0" w:line="217" w:lineRule="auto"/>
        <w:rPr>
          <w:sz w:val="20"/>
          <w:szCs w:val="20"/>
          <w:color w:val="auto"/>
        </w:rPr>
      </w:pPr>
      <w:r>
        <w:rPr>
          <w:rFonts w:ascii="Times New Roman" w:cs="Times New Roman" w:eastAsia="Times New Roman" w:hAnsi="Times New Roman"/>
          <w:sz w:val="22"/>
          <w:szCs w:val="22"/>
          <w:color w:val="auto"/>
        </w:rPr>
        <w:t>decrease in charitable donations of $3,000 and,</w:t>
      </w:r>
    </w:p>
    <w:p>
      <w:pPr>
        <w:ind w:left="660" w:right="380"/>
        <w:spacing w:after="0" w:line="231" w:lineRule="auto"/>
        <w:rPr>
          <w:sz w:val="20"/>
          <w:szCs w:val="20"/>
          <w:color w:val="auto"/>
        </w:rPr>
      </w:pPr>
      <w:r>
        <w:rPr>
          <w:rFonts w:ascii="Times New Roman" w:cs="Times New Roman" w:eastAsia="Times New Roman" w:hAnsi="Times New Roman"/>
          <w:sz w:val="22"/>
          <w:szCs w:val="22"/>
          <w:color w:val="auto"/>
        </w:rPr>
        <w:t>decrease in expenses of $12,187 in our Regulated Gas Segment primarily driven by higher capitalization as a result of greater capital spend in the current period.</w:t>
      </w:r>
    </w:p>
    <w:p>
      <w:pPr>
        <w:spacing w:after="0" w:line="1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Purchased gas increased by $138,760 or 75.8%. The increase is largely due to the 109.7% increase in the average gas commodity prices in the first nine months of 2022 as compared to the prior period.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7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7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by $5,225 or 6.2% primarily due to continued capital spend.</w:t>
      </w:r>
    </w:p>
    <w:p>
      <w:pPr>
        <w:spacing w:after="0" w:line="20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2"/>
          <w:szCs w:val="22"/>
          <w:color w:val="auto"/>
        </w:rPr>
        <w:t>Taxes other than income taxes increased by $3,522 or 26.4% mainly due to an increase in sales and use taxes and regulatory fees in 2022.</w:t>
      </w:r>
    </w:p>
    <w:p>
      <w:pPr>
        <w:spacing w:after="0" w:line="18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Interest expense, net, increased by $4,021 or 7.2% due to additional borrowings and higher interest rate on our revolving line of credit in 2022.</w:t>
      </w:r>
    </w:p>
    <w:p>
      <w:pPr>
        <w:spacing w:after="0" w:line="18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AFUDC increased by $1,314 due to the increase in the average balance of utility plant construction work in progress, to which AFUDC is applied.</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Other expense decreased by $4,058 or by 90.9% due to the decrease in the non-service cost component of our net benefit cost for pension benefits.</w:t>
      </w:r>
    </w:p>
    <w:p>
      <w:pPr>
        <w:spacing w:after="0" w:line="17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Our effective income tax rate was a benefit of 49.6% in the first nine months of 2022, compared to a benefit of 13.6% in the first nine months of 2021. The change in the effective tax rate is primarily attributed to an increase in the income tax benefit associated with the tax deduction for qualifying infrastructure and the amortization of the catch-up adjustment in our Regulated Natural Gas segment.</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16" w:lineRule="exact"/>
        <w:rPr>
          <w:sz w:val="20"/>
          <w:szCs w:val="20"/>
          <w:color w:val="auto"/>
        </w:rPr>
      </w:pPr>
    </w:p>
    <w:p>
      <w:pPr>
        <w:ind w:right="1040"/>
        <w:spacing w:after="0" w:line="249"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15, </w:t>
      </w:r>
      <w:r>
        <w:rPr>
          <w:rFonts w:ascii="Times New Roman" w:cs="Times New Roman" w:eastAsia="Times New Roman" w:hAnsi="Times New Roman"/>
          <w:sz w:val="22"/>
          <w:szCs w:val="22"/>
          <w:i w:val="1"/>
          <w:iCs w:val="1"/>
          <w:color w:val="auto"/>
        </w:rPr>
        <w:t>Recent Accounting Pronouncements</w:t>
      </w:r>
      <w:r>
        <w:rPr>
          <w:rFonts w:ascii="Times New Roman" w:cs="Times New Roman" w:eastAsia="Times New Roman" w:hAnsi="Times New Roman"/>
          <w:sz w:val="22"/>
          <w:szCs w:val="22"/>
          <w:color w:val="auto"/>
        </w:rPr>
        <w:t>, to the consolidated financial statements in this report.</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06"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Refer to Item 7A of the Company’s Annual Report on Form 10-K for the year ended December 31, 2021, filed March 1, 2022, for additional information on market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3"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0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We have implemented a new enterprise resource planning (ERP) system for our Regulated Water business segment that enhances our business and financial processes and standardizes some of our information technology systems with our other segments. In connection with this new ERP implementation, we have updated our internal controls over financial reporting, as necessary, to accommodate modifications in our Regulated Water business processes and accounting procedures.</w:t>
      </w:r>
    </w:p>
    <w:p>
      <w:pPr>
        <w:spacing w:after="0" w:line="17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Except as described above, there were no changes in our internal control over financial reporting, during the quarter ended September 30, 2022 that have materially affected, or are reasonably likely to materially affect, our internal control over financial reporting.</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20"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2"/>
          <w:szCs w:val="22"/>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Please review the risks disclosed in our Annual Report on Form 10-K for the year ended December 31, 2021, under “Part 1, Item 1A – Risk Factors.”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Company’s purchases of its common stock for the quarter ended September 30,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420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Issuer Purchases of Equity Securities</w:t>
            </w:r>
          </w:p>
        </w:tc>
        <w:tc>
          <w:tcPr>
            <w:tcW w:w="1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color w:val="auto"/>
              </w:rPr>
              <w:t>Total</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Maximum</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Number of</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Number of</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Shares</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Shares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Purchased</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that May</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as Part of</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Yet be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Total</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Publicly</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Purchased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Number</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Announced</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Under the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of Shares</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Price Paid</w:t>
            </w:r>
          </w:p>
        </w:tc>
        <w:tc>
          <w:tcPr>
            <w:tcW w:w="184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Plans or</w:t>
            </w: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Plan or</w:t>
            </w:r>
          </w:p>
        </w:tc>
        <w:tc>
          <w:tcPr>
            <w:tcW w:w="0" w:type="dxa"/>
            <w:vAlign w:val="bottom"/>
          </w:tcPr>
          <w:p>
            <w:pPr>
              <w:spacing w:after="0"/>
              <w:rPr>
                <w:sz w:val="1"/>
                <w:szCs w:val="1"/>
                <w:color w:val="auto"/>
              </w:rPr>
            </w:pPr>
          </w:p>
        </w:tc>
      </w:tr>
      <w:tr>
        <w:trPr>
          <w:trHeight w:val="230"/>
        </w:trPr>
        <w:tc>
          <w:tcPr>
            <w:tcW w:w="58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7"/>
              </w:rPr>
              <w:t>Period</w:t>
            </w: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30" w:lineRule="exact"/>
              <w:rPr>
                <w:sz w:val="20"/>
                <w:szCs w:val="20"/>
                <w:color w:val="auto"/>
              </w:rPr>
            </w:pPr>
            <w:r>
              <w:rPr>
                <w:rFonts w:ascii="Times New Roman" w:cs="Times New Roman" w:eastAsia="Times New Roman" w:hAnsi="Times New Roman"/>
                <w:sz w:val="22"/>
                <w:szCs w:val="22"/>
                <w:color w:val="auto"/>
              </w:rPr>
              <w:t>Purchased (1)</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30" w:lineRule="exact"/>
              <w:rPr>
                <w:sz w:val="20"/>
                <w:szCs w:val="20"/>
                <w:color w:val="auto"/>
              </w:rPr>
            </w:pPr>
            <w:r>
              <w:rPr>
                <w:rFonts w:ascii="Times New Roman" w:cs="Times New Roman" w:eastAsia="Times New Roman" w:hAnsi="Times New Roman"/>
                <w:sz w:val="22"/>
                <w:szCs w:val="22"/>
                <w:color w:val="auto"/>
              </w:rPr>
              <w:t>per Share</w:t>
            </w:r>
          </w:p>
        </w:tc>
        <w:tc>
          <w:tcPr>
            <w:tcW w:w="1840" w:type="dxa"/>
            <w:vAlign w:val="bottom"/>
            <w:gridSpan w:val="2"/>
          </w:tcPr>
          <w:p>
            <w:pPr>
              <w:jc w:val="right"/>
              <w:ind w:right="260"/>
              <w:spacing w:after="0" w:line="230" w:lineRule="exact"/>
              <w:rPr>
                <w:sz w:val="20"/>
                <w:szCs w:val="20"/>
                <w:color w:val="auto"/>
              </w:rPr>
            </w:pPr>
            <w:r>
              <w:rPr>
                <w:rFonts w:ascii="Times New Roman" w:cs="Times New Roman" w:eastAsia="Times New Roman" w:hAnsi="Times New Roman"/>
                <w:sz w:val="22"/>
                <w:szCs w:val="22"/>
                <w:color w:val="auto"/>
              </w:rPr>
              <w:t>Programs</w:t>
            </w:r>
          </w:p>
        </w:tc>
        <w:tc>
          <w:tcPr>
            <w:tcW w:w="18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Programs</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July 1-31, 2022</w:t>
            </w: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gridSpan w:val="2"/>
            <w:vMerge w:val="continue"/>
          </w:tcPr>
          <w:p>
            <w:pPr>
              <w:spacing w:after="0"/>
              <w:rPr>
                <w:sz w:val="15"/>
                <w:szCs w:val="15"/>
                <w:color w:val="auto"/>
              </w:rPr>
            </w:pPr>
          </w:p>
        </w:tc>
        <w:tc>
          <w:tcPr>
            <w:tcW w:w="196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auto"/>
              </w:rPr>
              <w:t>85</w:t>
            </w:r>
          </w:p>
        </w:tc>
        <w:tc>
          <w:tcPr>
            <w:tcW w:w="260" w:type="dxa"/>
            <w:vAlign w:val="bottom"/>
            <w:vMerge w:val="continue"/>
          </w:tcPr>
          <w:p>
            <w:pPr>
              <w:spacing w:after="0"/>
              <w:rPr>
                <w:sz w:val="15"/>
                <w:szCs w:val="15"/>
                <w:color w:val="auto"/>
              </w:rPr>
            </w:pPr>
          </w:p>
        </w:tc>
        <w:tc>
          <w:tcPr>
            <w:tcW w:w="480" w:type="dxa"/>
            <w:vAlign w:val="bottom"/>
          </w:tcPr>
          <w:p>
            <w:pPr>
              <w:jc w:val="right"/>
              <w:ind w:right="253"/>
              <w:spacing w:after="0" w:line="183" w:lineRule="exact"/>
              <w:rPr>
                <w:sz w:val="20"/>
                <w:szCs w:val="20"/>
                <w:color w:val="auto"/>
              </w:rPr>
            </w:pPr>
            <w:r>
              <w:rPr>
                <w:rFonts w:ascii="Times New Roman" w:cs="Times New Roman" w:eastAsia="Times New Roman" w:hAnsi="Times New Roman"/>
                <w:sz w:val="21"/>
                <w:szCs w:val="21"/>
                <w:color w:val="auto"/>
                <w:w w:val="94"/>
              </w:rPr>
              <w:t>$</w:t>
            </w:r>
          </w:p>
        </w:tc>
        <w:tc>
          <w:tcPr>
            <w:tcW w:w="12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auto"/>
              </w:rPr>
              <w:t>48.67</w:t>
            </w:r>
          </w:p>
        </w:tc>
        <w:tc>
          <w:tcPr>
            <w:tcW w:w="260" w:type="dxa"/>
            <w:vAlign w:val="bottom"/>
          </w:tcPr>
          <w:p>
            <w:pPr>
              <w:spacing w:after="0"/>
              <w:rPr>
                <w:sz w:val="15"/>
                <w:szCs w:val="15"/>
                <w:color w:val="auto"/>
              </w:rPr>
            </w:pPr>
          </w:p>
        </w:tc>
        <w:tc>
          <w:tcPr>
            <w:tcW w:w="15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auto"/>
              </w:rPr>
              <w:t>-</w:t>
            </w:r>
          </w:p>
        </w:tc>
        <w:tc>
          <w:tcPr>
            <w:tcW w:w="260" w:type="dxa"/>
            <w:vAlign w:val="bottom"/>
          </w:tcPr>
          <w:p>
            <w:pPr>
              <w:spacing w:after="0"/>
              <w:rPr>
                <w:sz w:val="15"/>
                <w:szCs w:val="15"/>
                <w:color w:val="auto"/>
              </w:rPr>
            </w:pPr>
          </w:p>
        </w:tc>
        <w:tc>
          <w:tcPr>
            <w:tcW w:w="18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August 1-31, 2022</w:t>
            </w:r>
          </w:p>
        </w:tc>
        <w:tc>
          <w:tcPr>
            <w:tcW w:w="222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w:t>
            </w:r>
          </w:p>
        </w:tc>
        <w:tc>
          <w:tcPr>
            <w:tcW w:w="480" w:type="dxa"/>
            <w:vAlign w:val="bottom"/>
          </w:tcPr>
          <w:p>
            <w:pPr>
              <w:jc w:val="right"/>
              <w:ind w:right="253"/>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September 1-30, 2022</w:t>
            </w: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519</w:t>
            </w:r>
          </w:p>
        </w:tc>
        <w:tc>
          <w:tcPr>
            <w:tcW w:w="480" w:type="dxa"/>
            <w:vAlign w:val="bottom"/>
          </w:tcPr>
          <w:p>
            <w:pPr>
              <w:jc w:val="right"/>
              <w:ind w:right="253"/>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46.94</w:t>
            </w:r>
          </w:p>
        </w:tc>
        <w:tc>
          <w:tcPr>
            <w:tcW w:w="2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Total</w:t>
            </w:r>
          </w:p>
        </w:tc>
        <w:tc>
          <w:tcPr>
            <w:tcW w:w="19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604</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53"/>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top w:val="single" w:sz="8" w:color="auto"/>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47.18</w:t>
            </w:r>
          </w:p>
        </w:tc>
        <w:tc>
          <w:tcPr>
            <w:tcW w:w="2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46" w:lineRule="auto"/>
        <w:tabs>
          <w:tab w:leader="none" w:pos="6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amounts consist of 604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8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17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Borders>
              <w:top w:val="single" w:sz="8" w:color="CCEEFF"/>
            </w:tcBorders>
            <w:shd w:val="clear" w:color="auto" w:fill="CCEEFF"/>
          </w:tcPr>
          <w:p>
            <w:pPr>
              <w:spacing w:after="0"/>
              <w:rPr>
                <w:sz w:val="13"/>
                <w:szCs w:val="13"/>
                <w:color w:val="auto"/>
              </w:rPr>
            </w:pPr>
          </w:p>
        </w:tc>
        <w:tc>
          <w:tcPr>
            <w:tcW w:w="9080" w:type="dxa"/>
            <w:vAlign w:val="bottom"/>
            <w:tcBorders>
              <w:top w:val="single" w:sz="8" w:color="auto"/>
            </w:tcBorders>
            <w:gridSpan w:val="8"/>
            <w:shd w:val="clear" w:color="auto" w:fill="CCEEFF"/>
          </w:tcPr>
          <w:p>
            <w:pPr>
              <w:spacing w:after="0" w:line="156" w:lineRule="exact"/>
              <w:rPr>
                <w:rFonts w:ascii="Times New Roman" w:cs="Times New Roman" w:eastAsia="Times New Roman" w:hAnsi="Times New Roman"/>
                <w:sz w:val="18"/>
                <w:szCs w:val="18"/>
                <w:color w:val="0563C1"/>
              </w:rPr>
            </w:pPr>
            <w:hyperlink r:id="rId62">
              <w:r>
                <w:rPr>
                  <w:rFonts w:ascii="Times New Roman" w:cs="Times New Roman" w:eastAsia="Times New Roman" w:hAnsi="Times New Roman"/>
                  <w:sz w:val="18"/>
                  <w:szCs w:val="18"/>
                  <w:color w:val="0563C1"/>
                </w:rPr>
                <w:t>Form of Sales Agreement, dated October 14, 2022, among Essential Utilities, Inc. and each Sales Agent</w:t>
              </w:r>
            </w:hyperlink>
          </w:p>
        </w:tc>
        <w:tc>
          <w:tcPr>
            <w:tcW w:w="0" w:type="dxa"/>
            <w:vAlign w:val="bottom"/>
          </w:tcPr>
          <w:p>
            <w:pPr>
              <w:spacing w:after="0"/>
              <w:rPr>
                <w:sz w:val="1"/>
                <w:szCs w:val="1"/>
                <w:color w:val="auto"/>
              </w:rPr>
            </w:pPr>
          </w:p>
        </w:tc>
      </w:tr>
      <w:tr>
        <w:trPr>
          <w:trHeight w:val="190"/>
        </w:trPr>
        <w:tc>
          <w:tcPr>
            <w:tcW w:w="1700" w:type="dxa"/>
            <w:vAlign w:val="bottom"/>
            <w:tcBorders>
              <w:top w:val="single" w:sz="8" w:color="auto"/>
            </w:tcBorders>
            <w:vMerge w:val="continue"/>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500" w:type="dxa"/>
            <w:vAlign w:val="bottom"/>
            <w:tcBorders>
              <w:top w:val="single" w:sz="8" w:color="0563C1"/>
            </w:tcBorders>
            <w:gridSpan w:val="4"/>
            <w:shd w:val="clear" w:color="auto" w:fill="CCEEFF"/>
          </w:tcPr>
          <w:p>
            <w:pPr>
              <w:spacing w:after="0" w:line="156" w:lineRule="exact"/>
              <w:rPr>
                <w:rFonts w:ascii="Times New Roman" w:cs="Times New Roman" w:eastAsia="Times New Roman" w:hAnsi="Times New Roman"/>
                <w:sz w:val="18"/>
                <w:szCs w:val="18"/>
                <w:color w:val="0563C1"/>
              </w:rPr>
            </w:pPr>
            <w:hyperlink r:id="rId62">
              <w:r>
                <w:rPr>
                  <w:rFonts w:ascii="Times New Roman" w:cs="Times New Roman" w:eastAsia="Times New Roman" w:hAnsi="Times New Roman"/>
                  <w:sz w:val="18"/>
                  <w:szCs w:val="18"/>
                  <w:color w:val="0563C1"/>
                </w:rPr>
                <w:t>(incorporated by reference to the Company’s Form 8-K filed October 17, 2022</w:t>
              </w:r>
            </w:hyperlink>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5660" w:type="dxa"/>
            <w:vAlign w:val="bottom"/>
            <w:tcBorders>
              <w:top w:val="single" w:sz="8" w:color="0563C1"/>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460" w:type="dxa"/>
            <w:vAlign w:val="bottom"/>
            <w:shd w:val="clear" w:color="auto" w:fill="CCEEFF"/>
          </w:tcPr>
          <w:p>
            <w:pPr>
              <w:spacing w:after="0"/>
              <w:rPr>
                <w:sz w:val="19"/>
                <w:szCs w:val="19"/>
                <w:color w:val="auto"/>
              </w:rPr>
            </w:pPr>
          </w:p>
        </w:tc>
        <w:tc>
          <w:tcPr>
            <w:tcW w:w="9080" w:type="dxa"/>
            <w:vAlign w:val="bottom"/>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563C1"/>
              </w:rPr>
              <w:t>Bond Purchase Agreement, dated September 19, 2022, by and among Aqua Pennsylvania and the Purchasers</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660" w:type="dxa"/>
            <w:vAlign w:val="bottom"/>
            <w:tcBorders>
              <w:top w:val="single" w:sz="8" w:color="0563C1"/>
            </w:tcBorders>
          </w:tcPr>
          <w:p>
            <w:pPr>
              <w:spacing w:after="0"/>
              <w:rPr>
                <w:sz w:val="16"/>
                <w:szCs w:val="16"/>
                <w:color w:val="auto"/>
              </w:rPr>
            </w:pPr>
          </w:p>
        </w:tc>
        <w:tc>
          <w:tcPr>
            <w:tcW w:w="5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1260" w:type="dxa"/>
            <w:vAlign w:val="bottom"/>
            <w:tcBorders>
              <w:top w:val="single" w:sz="8" w:color="0563C1"/>
            </w:tcBorders>
          </w:tcPr>
          <w:p>
            <w:pPr>
              <w:spacing w:after="0"/>
              <w:rPr>
                <w:sz w:val="16"/>
                <w:szCs w:val="16"/>
                <w:color w:val="auto"/>
              </w:rPr>
            </w:pPr>
          </w:p>
        </w:tc>
        <w:tc>
          <w:tcPr>
            <w:tcW w:w="340" w:type="dxa"/>
            <w:vAlign w:val="bottom"/>
            <w:tcBorders>
              <w:top w:val="single" w:sz="8" w:color="0563C1"/>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460" w:type="dxa"/>
            <w:vAlign w:val="bottom"/>
            <w:shd w:val="clear" w:color="auto" w:fill="CCEEFF"/>
          </w:tcPr>
          <w:p>
            <w:pPr>
              <w:spacing w:after="0"/>
              <w:rPr>
                <w:sz w:val="14"/>
                <w:szCs w:val="14"/>
                <w:color w:val="auto"/>
              </w:rPr>
            </w:pP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filed pursuant to Rule 13a-14(a) under the Securities and Exchange Act of 1934</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660" w:type="dxa"/>
            <w:vAlign w:val="bottom"/>
            <w:tcBorders>
              <w:top w:val="single" w:sz="8" w:color="0563C1"/>
            </w:tcBorders>
          </w:tcPr>
          <w:p>
            <w:pPr>
              <w:spacing w:after="0"/>
              <w:rPr>
                <w:sz w:val="16"/>
                <w:szCs w:val="16"/>
                <w:color w:val="auto"/>
              </w:rPr>
            </w:pPr>
          </w:p>
        </w:tc>
        <w:tc>
          <w:tcPr>
            <w:tcW w:w="5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1260" w:type="dxa"/>
            <w:vAlign w:val="bottom"/>
            <w:tcBorders>
              <w:top w:val="single" w:sz="8" w:color="0563C1"/>
            </w:tcBorders>
          </w:tcPr>
          <w:p>
            <w:pPr>
              <w:spacing w:after="0"/>
              <w:rPr>
                <w:sz w:val="16"/>
                <w:szCs w:val="16"/>
                <w:color w:val="auto"/>
              </w:rPr>
            </w:pPr>
          </w:p>
        </w:tc>
        <w:tc>
          <w:tcPr>
            <w:tcW w:w="340" w:type="dxa"/>
            <w:vAlign w:val="bottom"/>
            <w:tcBorders>
              <w:top w:val="single" w:sz="8" w:color="0563C1"/>
            </w:tcBorders>
          </w:tcPr>
          <w:p>
            <w:pPr>
              <w:spacing w:after="0"/>
              <w:rPr>
                <w:sz w:val="16"/>
                <w:szCs w:val="16"/>
                <w:color w:val="auto"/>
              </w:rPr>
            </w:pPr>
          </w:p>
        </w:tc>
        <w:tc>
          <w:tcPr>
            <w:tcW w:w="8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460" w:type="dxa"/>
            <w:vAlign w:val="bottom"/>
            <w:shd w:val="clear" w:color="auto" w:fill="CCEEFF"/>
          </w:tcPr>
          <w:p>
            <w:pPr>
              <w:spacing w:after="0"/>
              <w:rPr>
                <w:sz w:val="14"/>
                <w:szCs w:val="14"/>
                <w:color w:val="auto"/>
              </w:rPr>
            </w:pP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filed pursuant to Rule 13a-14(a) under the Securities and Exchange Act of 1934</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660" w:type="dxa"/>
            <w:vAlign w:val="bottom"/>
            <w:tcBorders>
              <w:top w:val="single" w:sz="8" w:color="0563C1"/>
            </w:tcBorders>
          </w:tcPr>
          <w:p>
            <w:pPr>
              <w:spacing w:after="0"/>
              <w:rPr>
                <w:sz w:val="16"/>
                <w:szCs w:val="16"/>
                <w:color w:val="auto"/>
              </w:rPr>
            </w:pPr>
          </w:p>
        </w:tc>
        <w:tc>
          <w:tcPr>
            <w:tcW w:w="5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1260" w:type="dxa"/>
            <w:vAlign w:val="bottom"/>
            <w:tcBorders>
              <w:top w:val="single" w:sz="8" w:color="0563C1"/>
            </w:tcBorders>
          </w:tcPr>
          <w:p>
            <w:pPr>
              <w:spacing w:after="0"/>
              <w:rPr>
                <w:sz w:val="16"/>
                <w:szCs w:val="16"/>
                <w:color w:val="auto"/>
              </w:rPr>
            </w:pPr>
          </w:p>
        </w:tc>
        <w:tc>
          <w:tcPr>
            <w:tcW w:w="340" w:type="dxa"/>
            <w:vAlign w:val="bottom"/>
            <w:tcBorders>
              <w:top w:val="single" w:sz="8" w:color="0563C1"/>
            </w:tcBorders>
          </w:tcPr>
          <w:p>
            <w:pPr>
              <w:spacing w:after="0"/>
              <w:rPr>
                <w:sz w:val="16"/>
                <w:szCs w:val="16"/>
                <w:color w:val="auto"/>
              </w:rPr>
            </w:pPr>
          </w:p>
        </w:tc>
        <w:tc>
          <w:tcPr>
            <w:tcW w:w="820" w:type="dxa"/>
            <w:vAlign w:val="bottom"/>
            <w:tcBorders>
              <w:top w:val="single" w:sz="8" w:color="0563C1"/>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460" w:type="dxa"/>
            <w:vAlign w:val="bottom"/>
            <w:shd w:val="clear" w:color="auto" w:fill="CCEEFF"/>
          </w:tcPr>
          <w:p>
            <w:pPr>
              <w:spacing w:after="0"/>
              <w:rPr>
                <w:sz w:val="14"/>
                <w:szCs w:val="14"/>
                <w:color w:val="auto"/>
              </w:rPr>
            </w:pP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furnished pursuant to 18 U.S.C. Section 1350</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660" w:type="dxa"/>
            <w:vAlign w:val="bottom"/>
            <w:tcBorders>
              <w:top w:val="single" w:sz="8" w:color="0563C1"/>
            </w:tcBorders>
          </w:tcPr>
          <w:p>
            <w:pPr>
              <w:spacing w:after="0"/>
              <w:rPr>
                <w:sz w:val="16"/>
                <w:szCs w:val="16"/>
                <w:color w:val="auto"/>
              </w:rPr>
            </w:pPr>
          </w:p>
        </w:tc>
        <w:tc>
          <w:tcPr>
            <w:tcW w:w="5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460" w:type="dxa"/>
            <w:vAlign w:val="bottom"/>
            <w:shd w:val="clear" w:color="auto" w:fill="CCEEFF"/>
          </w:tcPr>
          <w:p>
            <w:pPr>
              <w:spacing w:after="0"/>
              <w:rPr>
                <w:sz w:val="14"/>
                <w:szCs w:val="14"/>
                <w:color w:val="auto"/>
              </w:rPr>
            </w:pPr>
          </w:p>
        </w:tc>
        <w:tc>
          <w:tcPr>
            <w:tcW w:w="908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furnished pursuant to 18 U.S.C. Section 1350</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5660" w:type="dxa"/>
            <w:vAlign w:val="bottom"/>
            <w:tcBorders>
              <w:top w:val="single" w:sz="8" w:color="0563C1"/>
            </w:tcBorders>
          </w:tcPr>
          <w:p>
            <w:pPr>
              <w:spacing w:after="0"/>
              <w:rPr>
                <w:sz w:val="16"/>
                <w:szCs w:val="16"/>
                <w:color w:val="auto"/>
              </w:rPr>
            </w:pPr>
          </w:p>
        </w:tc>
        <w:tc>
          <w:tcPr>
            <w:tcW w:w="520" w:type="dxa"/>
            <w:vAlign w:val="bottom"/>
            <w:tcBorders>
              <w:top w:val="single" w:sz="8" w:color="0563C1"/>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101.PRES</w:t>
            </w:r>
          </w:p>
        </w:tc>
        <w:tc>
          <w:tcPr>
            <w:tcW w:w="9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September 30, 2022, formatted 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Inline XBRL (included in Exhibit 101)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SIGNATURES</w:t>
      </w:r>
    </w:p>
    <w:p>
      <w:pPr>
        <w:spacing w:after="0" w:line="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9, 2022</w:t>
      </w:r>
    </w:p>
    <w:p>
      <w:pPr>
        <w:spacing w:after="0" w:line="17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Christopher H. Franklin</w:t>
      </w:r>
    </w:p>
    <w:p>
      <w:pPr>
        <w:ind w:left="6300"/>
        <w:spacing w:after="0" w:line="217"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Daniel J. Schuller</w:t>
      </w:r>
    </w:p>
    <w:p>
      <w:pPr>
        <w:ind w:left="630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100"/>
          </w:cols>
          <w:pgMar w:left="320" w:top="112" w:right="479" w:bottom="1440" w:gutter="0" w:footer="0" w:header="0"/>
        </w:sectPr>
      </w:pPr>
    </w:p>
    <w:bookmarkStart w:id="49" w:name="page50"/>
    <w:bookmarkEnd w:id="49"/>
    <w:p>
      <w:pPr>
        <w:jc w:val="right"/>
        <w:ind w:right="199"/>
        <w:spacing w:after="0"/>
        <w:rPr>
          <w:sz w:val="20"/>
          <w:szCs w:val="20"/>
          <w:color w:val="auto"/>
        </w:rPr>
      </w:pPr>
      <w:r>
        <w:rPr>
          <w:rFonts w:ascii="Times New Roman" w:cs="Times New Roman" w:eastAsia="Times New Roman" w:hAnsi="Times New Roman"/>
          <w:sz w:val="22"/>
          <w:szCs w:val="22"/>
          <w:color w:val="auto"/>
        </w:rPr>
        <w:t>Exhibit 4.1</w:t>
      </w:r>
    </w:p>
    <w:p>
      <w:pPr>
        <w:spacing w:after="0" w:line="247"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27940</wp:posOffset>
            </wp:positionV>
            <wp:extent cx="54864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$125,000,000</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$125,000,000 First Mortgage Bonds, 4.50% Series due December 1, 2052</w:t>
      </w:r>
    </w:p>
    <w:p>
      <w:pPr>
        <w:spacing w:after="0" w:line="3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_____________</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Bond Purchase Agreement</w:t>
      </w:r>
    </w:p>
    <w:p>
      <w:pPr>
        <w:spacing w:after="0" w:line="3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_____________</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Dated as of September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850900</wp:posOffset>
            </wp:positionV>
            <wp:extent cx="54864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4388898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67945</wp:posOffset>
            </wp:positionV>
            <wp:extent cx="552894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0" w:name="page51"/>
    <w:bookmarkEnd w:id="50"/>
    <w:tbl>
      <w:tblPr>
        <w:tblLayout w:type="fixed"/>
        <w:tblInd w:w="18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21"/>
          </w:tcPr>
          <w:p>
            <w:pPr>
              <w:ind w:left="80"/>
              <w:spacing w:after="0"/>
              <w:rPr>
                <w:sz w:val="20"/>
                <w:szCs w:val="20"/>
                <w:color w:val="auto"/>
              </w:rPr>
            </w:pPr>
            <w:r>
              <w:rPr>
                <w:rFonts w:ascii="Times New Roman" w:cs="Times New Roman" w:eastAsia="Times New Roman" w:hAnsi="Times New Roman"/>
                <w:sz w:val="22"/>
                <w:szCs w:val="22"/>
                <w:color w:val="auto"/>
              </w:rPr>
              <w:t>HEADING</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43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1.</w:t>
            </w:r>
          </w:p>
        </w:tc>
        <w:tc>
          <w:tcPr>
            <w:tcW w:w="28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AUTHORIZATION OF BONDS</w:t>
            </w:r>
          </w:p>
        </w:tc>
        <w:tc>
          <w:tcPr>
            <w:tcW w:w="3500" w:type="dxa"/>
            <w:vAlign w:val="bottom"/>
            <w:gridSpan w:val="1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33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22"/>
                <w:szCs w:val="22"/>
                <w:color w:val="0000EE"/>
                <w:w w:val="98"/>
              </w:rPr>
              <w:t>SALE AND PURCHASE OF BONDS</w:t>
            </w:r>
          </w:p>
        </w:tc>
        <w:tc>
          <w:tcPr>
            <w:tcW w:w="300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3.</w:t>
            </w:r>
          </w:p>
        </w:tc>
        <w:tc>
          <w:tcPr>
            <w:tcW w:w="33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2"/>
                <w:szCs w:val="22"/>
                <w:color w:val="0000EE"/>
                <w:w w:val="97"/>
              </w:rPr>
              <w:t>EXECUTION DATE AND CLOSING</w:t>
            </w:r>
          </w:p>
        </w:tc>
        <w:tc>
          <w:tcPr>
            <w:tcW w:w="302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4.</w:t>
            </w:r>
          </w:p>
        </w:tc>
        <w:tc>
          <w:tcPr>
            <w:tcW w:w="2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2"/>
                <w:szCs w:val="22"/>
                <w:color w:val="0000EE"/>
                <w:w w:val="97"/>
              </w:rPr>
              <w:t>CONDITIONS TO CLOSING</w:t>
            </w:r>
          </w:p>
        </w:tc>
        <w:tc>
          <w:tcPr>
            <w:tcW w:w="3720" w:type="dxa"/>
            <w:vAlign w:val="bottom"/>
            <w:gridSpan w:val="2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4.1.</w:t>
            </w:r>
          </w:p>
        </w:tc>
        <w:tc>
          <w:tcPr>
            <w:tcW w:w="320" w:type="dxa"/>
            <w:vAlign w:val="bottom"/>
          </w:tcPr>
          <w:p>
            <w:pPr>
              <w:spacing w:after="0"/>
              <w:rPr>
                <w:sz w:val="24"/>
                <w:szCs w:val="24"/>
                <w:color w:val="auto"/>
              </w:rPr>
            </w:pPr>
          </w:p>
        </w:tc>
        <w:tc>
          <w:tcPr>
            <w:tcW w:w="6060" w:type="dxa"/>
            <w:vAlign w:val="bottom"/>
            <w:gridSpan w:val="33"/>
          </w:tcPr>
          <w:p>
            <w:pPr>
              <w:spacing w:after="0"/>
              <w:rPr>
                <w:sz w:val="20"/>
                <w:szCs w:val="20"/>
                <w:color w:val="auto"/>
              </w:rPr>
            </w:pPr>
            <w:r>
              <w:rPr>
                <w:rFonts w:ascii="Times New Roman" w:cs="Times New Roman" w:eastAsia="Times New Roman" w:hAnsi="Times New Roman"/>
                <w:sz w:val="22"/>
                <w:szCs w:val="22"/>
                <w:color w:val="0000EE"/>
              </w:rPr>
              <w:t>Representations and Warranties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4.2.</w:t>
            </w:r>
          </w:p>
        </w:tc>
        <w:tc>
          <w:tcPr>
            <w:tcW w:w="320" w:type="dxa"/>
            <w:vAlign w:val="bottom"/>
          </w:tcPr>
          <w:p>
            <w:pPr>
              <w:spacing w:after="0"/>
              <w:rPr>
                <w:sz w:val="19"/>
                <w:szCs w:val="19"/>
                <w:color w:val="auto"/>
              </w:rPr>
            </w:pPr>
          </w:p>
        </w:tc>
        <w:tc>
          <w:tcPr>
            <w:tcW w:w="2760" w:type="dxa"/>
            <w:vAlign w:val="bottom"/>
            <w:tcBorders>
              <w:top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color w:val="0000EE"/>
              </w:rPr>
              <w:t>Performance; No Default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4.3.</w:t>
            </w:r>
          </w:p>
        </w:tc>
        <w:tc>
          <w:tcPr>
            <w:tcW w:w="320" w:type="dxa"/>
            <w:vAlign w:val="bottom"/>
          </w:tcPr>
          <w:p>
            <w:pPr>
              <w:spacing w:after="0"/>
              <w:rPr>
                <w:sz w:val="19"/>
                <w:szCs w:val="19"/>
                <w:color w:val="auto"/>
              </w:rPr>
            </w:pPr>
          </w:p>
        </w:tc>
        <w:tc>
          <w:tcPr>
            <w:tcW w:w="220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Compliance Certificates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4.4.</w:t>
            </w:r>
          </w:p>
        </w:tc>
        <w:tc>
          <w:tcPr>
            <w:tcW w:w="320" w:type="dxa"/>
            <w:vAlign w:val="bottom"/>
          </w:tcPr>
          <w:p>
            <w:pPr>
              <w:spacing w:after="0"/>
              <w:rPr>
                <w:sz w:val="19"/>
                <w:szCs w:val="19"/>
                <w:color w:val="auto"/>
              </w:rPr>
            </w:pPr>
          </w:p>
        </w:tc>
        <w:tc>
          <w:tcPr>
            <w:tcW w:w="1800" w:type="dxa"/>
            <w:vAlign w:val="bottom"/>
            <w:tcBorders>
              <w:top w:val="single" w:sz="8" w:color="0000EE"/>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color w:val="0000EE"/>
                <w:w w:val="97"/>
              </w:rPr>
              <w:t>Opinions of Counsel</w:t>
            </w:r>
          </w:p>
        </w:tc>
        <w:tc>
          <w:tcPr>
            <w:tcW w:w="300" w:type="dxa"/>
            <w:vAlign w:val="bottom"/>
            <w:tcBorders>
              <w:top w:val="single" w:sz="8" w:color="0000EE"/>
            </w:tcBorders>
            <w:gridSpan w:val="3"/>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4.5.</w:t>
            </w:r>
          </w:p>
        </w:tc>
        <w:tc>
          <w:tcPr>
            <w:tcW w:w="320" w:type="dxa"/>
            <w:vAlign w:val="bottom"/>
          </w:tcPr>
          <w:p>
            <w:pPr>
              <w:spacing w:after="0"/>
              <w:rPr>
                <w:sz w:val="19"/>
                <w:szCs w:val="19"/>
                <w:color w:val="auto"/>
              </w:rPr>
            </w:pPr>
          </w:p>
        </w:tc>
        <w:tc>
          <w:tcPr>
            <w:tcW w:w="606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rPr>
              <w:t>Purchase Permitted by Applicable Law, Etc</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4.6.</w:t>
            </w:r>
          </w:p>
        </w:tc>
        <w:tc>
          <w:tcPr>
            <w:tcW w:w="320" w:type="dxa"/>
            <w:vAlign w:val="bottom"/>
          </w:tcPr>
          <w:p>
            <w:pPr>
              <w:spacing w:after="0"/>
              <w:rPr>
                <w:sz w:val="19"/>
                <w:szCs w:val="19"/>
                <w:color w:val="auto"/>
              </w:rPr>
            </w:pPr>
          </w:p>
        </w:tc>
        <w:tc>
          <w:tcPr>
            <w:tcW w:w="122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color w:val="0000EE"/>
                <w:w w:val="97"/>
              </w:rPr>
              <w:t>Sale of Bonds</w:t>
            </w:r>
          </w:p>
        </w:tc>
        <w:tc>
          <w:tcPr>
            <w:tcW w:w="2560" w:type="dxa"/>
            <w:vAlign w:val="bottom"/>
            <w:tcBorders>
              <w:top w:val="single" w:sz="8" w:color="0000EE"/>
            </w:tcBorders>
            <w:gridSpan w:val="23"/>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4.7.</w:t>
            </w:r>
          </w:p>
        </w:tc>
        <w:tc>
          <w:tcPr>
            <w:tcW w:w="320" w:type="dxa"/>
            <w:vAlign w:val="bottom"/>
          </w:tcPr>
          <w:p>
            <w:pPr>
              <w:spacing w:after="0"/>
              <w:rPr>
                <w:sz w:val="19"/>
                <w:szCs w:val="19"/>
                <w:color w:val="auto"/>
              </w:rPr>
            </w:pPr>
          </w:p>
        </w:tc>
        <w:tc>
          <w:tcPr>
            <w:tcW w:w="606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rPr>
              <w:t>Payment of Special Counsel Fees</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4.8.</w:t>
            </w:r>
          </w:p>
        </w:tc>
        <w:tc>
          <w:tcPr>
            <w:tcW w:w="320" w:type="dxa"/>
            <w:vAlign w:val="bottom"/>
          </w:tcPr>
          <w:p>
            <w:pPr>
              <w:spacing w:after="0"/>
              <w:rPr>
                <w:sz w:val="19"/>
                <w:szCs w:val="19"/>
                <w:color w:val="auto"/>
              </w:rPr>
            </w:pPr>
          </w:p>
        </w:tc>
        <w:tc>
          <w:tcPr>
            <w:tcW w:w="2340" w:type="dxa"/>
            <w:vAlign w:val="bottom"/>
            <w:tcBorders>
              <w:top w:val="single" w:sz="8" w:color="0000EE"/>
              <w:bottom w:val="single" w:sz="8" w:color="0000EE"/>
            </w:tcBorders>
            <w:gridSpan w:val="12"/>
          </w:tcPr>
          <w:p>
            <w:pPr>
              <w:spacing w:after="0" w:line="223" w:lineRule="exact"/>
              <w:rPr>
                <w:sz w:val="20"/>
                <w:szCs w:val="20"/>
                <w:color w:val="auto"/>
              </w:rPr>
            </w:pPr>
            <w:r>
              <w:rPr>
                <w:rFonts w:ascii="Times New Roman" w:cs="Times New Roman" w:eastAsia="Times New Roman" w:hAnsi="Times New Roman"/>
                <w:sz w:val="22"/>
                <w:szCs w:val="22"/>
                <w:color w:val="0000EE"/>
                <w:w w:val="97"/>
              </w:rPr>
              <w:t>Private Placement Number</w:t>
            </w:r>
          </w:p>
        </w:tc>
        <w:tc>
          <w:tcPr>
            <w:tcW w:w="580" w:type="dxa"/>
            <w:vAlign w:val="bottom"/>
            <w:tcBorders>
              <w:top w:val="single" w:sz="8" w:color="0000EE"/>
            </w:tcBorders>
            <w:gridSpan w:val="7"/>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4.9.</w:t>
            </w:r>
          </w:p>
        </w:tc>
        <w:tc>
          <w:tcPr>
            <w:tcW w:w="320" w:type="dxa"/>
            <w:vAlign w:val="bottom"/>
          </w:tcPr>
          <w:p>
            <w:pPr>
              <w:spacing w:after="0"/>
              <w:rPr>
                <w:sz w:val="19"/>
                <w:szCs w:val="19"/>
                <w:color w:val="auto"/>
              </w:rPr>
            </w:pPr>
          </w:p>
        </w:tc>
        <w:tc>
          <w:tcPr>
            <w:tcW w:w="606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rPr>
              <w:t>Changes in Corporate Structure</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4.10.</w:t>
            </w:r>
          </w:p>
        </w:tc>
        <w:tc>
          <w:tcPr>
            <w:tcW w:w="320" w:type="dxa"/>
            <w:vAlign w:val="bottom"/>
          </w:tcPr>
          <w:p>
            <w:pPr>
              <w:spacing w:after="0"/>
              <w:rPr>
                <w:sz w:val="19"/>
                <w:szCs w:val="19"/>
                <w:color w:val="auto"/>
              </w:rPr>
            </w:pPr>
          </w:p>
        </w:tc>
        <w:tc>
          <w:tcPr>
            <w:tcW w:w="2740" w:type="dxa"/>
            <w:vAlign w:val="bottom"/>
            <w:tcBorders>
              <w:top w:val="single" w:sz="8" w:color="0000EE"/>
            </w:tcBorders>
            <w:gridSpan w:val="16"/>
          </w:tcPr>
          <w:p>
            <w:pPr>
              <w:spacing w:after="0" w:line="223" w:lineRule="exact"/>
              <w:rPr>
                <w:sz w:val="20"/>
                <w:szCs w:val="20"/>
                <w:color w:val="auto"/>
              </w:rPr>
            </w:pPr>
            <w:r>
              <w:rPr>
                <w:rFonts w:ascii="Times New Roman" w:cs="Times New Roman" w:eastAsia="Times New Roman" w:hAnsi="Times New Roman"/>
                <w:sz w:val="22"/>
                <w:szCs w:val="22"/>
                <w:color w:val="0000EE"/>
              </w:rPr>
              <w:t>Funding Instructions</w:t>
            </w:r>
          </w:p>
        </w:tc>
        <w:tc>
          <w:tcPr>
            <w:tcW w:w="16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0"/>
        </w:trPr>
        <w:tc>
          <w:tcPr>
            <w:tcW w:w="16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Section 4.11.</w:t>
            </w: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line="20" w:lineRule="exact"/>
              <w:rPr>
                <w:sz w:val="1"/>
                <w:szCs w:val="1"/>
                <w:color w:val="auto"/>
              </w:rPr>
            </w:pPr>
          </w:p>
        </w:tc>
      </w:tr>
      <w:tr>
        <w:trPr>
          <w:trHeight w:val="223"/>
        </w:trPr>
        <w:tc>
          <w:tcPr>
            <w:tcW w:w="1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06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rPr>
              <w:t>Proceedings and Documents</w:t>
            </w: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4.12.</w:t>
            </w:r>
          </w:p>
        </w:tc>
        <w:tc>
          <w:tcPr>
            <w:tcW w:w="320" w:type="dxa"/>
            <w:vAlign w:val="bottom"/>
          </w:tcPr>
          <w:p>
            <w:pPr>
              <w:spacing w:after="0"/>
              <w:rPr>
                <w:sz w:val="19"/>
                <w:szCs w:val="19"/>
                <w:color w:val="auto"/>
              </w:rPr>
            </w:pPr>
          </w:p>
        </w:tc>
        <w:tc>
          <w:tcPr>
            <w:tcW w:w="2460" w:type="dxa"/>
            <w:vAlign w:val="bottom"/>
            <w:tcBorders>
              <w:top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color w:val="0000EE"/>
                <w:w w:val="99"/>
              </w:rPr>
              <w:t>Execution and Delivery and</w:t>
            </w:r>
          </w:p>
        </w:tc>
        <w:tc>
          <w:tcPr>
            <w:tcW w:w="3600" w:type="dxa"/>
            <w:vAlign w:val="bottom"/>
            <w:gridSpan w:val="20"/>
          </w:tcPr>
          <w:p>
            <w:pPr>
              <w:ind w:left="20"/>
              <w:spacing w:after="0" w:line="223" w:lineRule="exact"/>
              <w:rPr>
                <w:sz w:val="20"/>
                <w:szCs w:val="20"/>
                <w:color w:val="auto"/>
              </w:rPr>
            </w:pPr>
            <w:r>
              <w:rPr>
                <w:rFonts w:ascii="Times New Roman" w:cs="Times New Roman" w:eastAsia="Times New Roman" w:hAnsi="Times New Roman"/>
                <w:sz w:val="22"/>
                <w:szCs w:val="22"/>
                <w:color w:val="0000EE"/>
              </w:rPr>
              <w:t>Filing and Recording of the Supplement</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4.13.</w:t>
            </w:r>
          </w:p>
        </w:tc>
        <w:tc>
          <w:tcPr>
            <w:tcW w:w="320" w:type="dxa"/>
            <w:vAlign w:val="bottom"/>
          </w:tcPr>
          <w:p>
            <w:pPr>
              <w:spacing w:after="0"/>
              <w:rPr>
                <w:sz w:val="19"/>
                <w:szCs w:val="19"/>
                <w:color w:val="auto"/>
              </w:rPr>
            </w:pPr>
          </w:p>
        </w:tc>
        <w:tc>
          <w:tcPr>
            <w:tcW w:w="5960" w:type="dxa"/>
            <w:vAlign w:val="bottom"/>
            <w:tcBorders>
              <w:top w:val="single" w:sz="8" w:color="0000EE"/>
            </w:tcBorders>
            <w:gridSpan w:val="32"/>
          </w:tcPr>
          <w:p>
            <w:pPr>
              <w:spacing w:after="0" w:line="223" w:lineRule="exact"/>
              <w:rPr>
                <w:sz w:val="20"/>
                <w:szCs w:val="20"/>
                <w:color w:val="auto"/>
              </w:rPr>
            </w:pPr>
            <w:r>
              <w:rPr>
                <w:rFonts w:ascii="Times New Roman" w:cs="Times New Roman" w:eastAsia="Times New Roman" w:hAnsi="Times New Roman"/>
                <w:sz w:val="22"/>
                <w:szCs w:val="22"/>
                <w:color w:val="0000EE"/>
              </w:rPr>
              <w:t>Regulatory Approvals</w:t>
            </w:r>
          </w:p>
        </w:tc>
        <w:tc>
          <w:tcPr>
            <w:tcW w:w="10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586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22"/>
                <w:szCs w:val="22"/>
                <w:color w:val="0000EE"/>
                <w:w w:val="96"/>
              </w:rPr>
              <w:t>REPRESENTATIONS AND WARRANTIES OF THE COMPANY</w:t>
            </w:r>
          </w:p>
        </w:tc>
        <w:tc>
          <w:tcPr>
            <w:tcW w:w="52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5.1.</w:t>
            </w:r>
          </w:p>
        </w:tc>
        <w:tc>
          <w:tcPr>
            <w:tcW w:w="320" w:type="dxa"/>
            <w:vAlign w:val="bottom"/>
          </w:tcPr>
          <w:p>
            <w:pPr>
              <w:spacing w:after="0"/>
              <w:rPr>
                <w:sz w:val="24"/>
                <w:szCs w:val="24"/>
                <w:color w:val="auto"/>
              </w:rPr>
            </w:pPr>
          </w:p>
        </w:tc>
        <w:tc>
          <w:tcPr>
            <w:tcW w:w="6060" w:type="dxa"/>
            <w:vAlign w:val="bottom"/>
            <w:gridSpan w:val="33"/>
          </w:tcPr>
          <w:p>
            <w:pPr>
              <w:spacing w:after="0"/>
              <w:rPr>
                <w:sz w:val="20"/>
                <w:szCs w:val="20"/>
                <w:color w:val="auto"/>
              </w:rPr>
            </w:pPr>
            <w:r>
              <w:rPr>
                <w:rFonts w:ascii="Times New Roman" w:cs="Times New Roman" w:eastAsia="Times New Roman" w:hAnsi="Times New Roman"/>
                <w:sz w:val="22"/>
                <w:szCs w:val="22"/>
                <w:color w:val="0000EE"/>
              </w:rPr>
              <w:t>Organization; Power and Authority</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5.2.</w:t>
            </w:r>
          </w:p>
        </w:tc>
        <w:tc>
          <w:tcPr>
            <w:tcW w:w="320" w:type="dxa"/>
            <w:vAlign w:val="bottom"/>
          </w:tcPr>
          <w:p>
            <w:pPr>
              <w:spacing w:after="0"/>
              <w:rPr>
                <w:sz w:val="19"/>
                <w:szCs w:val="19"/>
                <w:color w:val="auto"/>
              </w:rPr>
            </w:pPr>
          </w:p>
        </w:tc>
        <w:tc>
          <w:tcPr>
            <w:tcW w:w="3060" w:type="dxa"/>
            <w:vAlign w:val="bottom"/>
            <w:tcBorders>
              <w:top w:val="single" w:sz="8" w:color="0000EE"/>
            </w:tcBorders>
            <w:gridSpan w:val="22"/>
          </w:tcPr>
          <w:p>
            <w:pPr>
              <w:spacing w:after="0" w:line="223" w:lineRule="exact"/>
              <w:rPr>
                <w:sz w:val="20"/>
                <w:szCs w:val="20"/>
                <w:color w:val="auto"/>
              </w:rPr>
            </w:pPr>
            <w:r>
              <w:rPr>
                <w:rFonts w:ascii="Times New Roman" w:cs="Times New Roman" w:eastAsia="Times New Roman" w:hAnsi="Times New Roman"/>
                <w:sz w:val="22"/>
                <w:szCs w:val="22"/>
                <w:color w:val="0000EE"/>
              </w:rPr>
              <w:t>Authorization, Etc7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5.3.</w:t>
            </w:r>
          </w:p>
        </w:tc>
        <w:tc>
          <w:tcPr>
            <w:tcW w:w="320" w:type="dxa"/>
            <w:vAlign w:val="bottom"/>
          </w:tcPr>
          <w:p>
            <w:pPr>
              <w:spacing w:after="0"/>
              <w:rPr>
                <w:sz w:val="19"/>
                <w:szCs w:val="19"/>
                <w:color w:val="auto"/>
              </w:rPr>
            </w:pPr>
          </w:p>
        </w:tc>
        <w:tc>
          <w:tcPr>
            <w:tcW w:w="172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color w:val="0000EE"/>
              </w:rPr>
              <w:t>Disclosure</w:t>
            </w:r>
          </w:p>
        </w:tc>
        <w:tc>
          <w:tcPr>
            <w:tcW w:w="2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380" w:type="dxa"/>
            <w:vAlign w:val="bottom"/>
            <w:gridSpan w:val="4"/>
          </w:tcPr>
          <w:p>
            <w:pPr>
              <w:spacing w:after="0"/>
              <w:rPr>
                <w:sz w:val="19"/>
                <w:szCs w:val="19"/>
                <w:color w:val="auto"/>
              </w:rPr>
            </w:pPr>
          </w:p>
        </w:tc>
        <w:tc>
          <w:tcPr>
            <w:tcW w:w="400" w:type="dxa"/>
            <w:vAlign w:val="bottom"/>
            <w:gridSpan w:val="4"/>
          </w:tcPr>
          <w:p>
            <w:pPr>
              <w:spacing w:after="0"/>
              <w:rPr>
                <w:sz w:val="19"/>
                <w:szCs w:val="19"/>
                <w:color w:val="auto"/>
              </w:rPr>
            </w:pPr>
          </w:p>
        </w:tc>
        <w:tc>
          <w:tcPr>
            <w:tcW w:w="80" w:type="dxa"/>
            <w:vAlign w:val="bottom"/>
            <w:gridSpan w:val="2"/>
          </w:tcPr>
          <w:p>
            <w:pPr>
              <w:spacing w:after="0"/>
              <w:rPr>
                <w:sz w:val="19"/>
                <w:szCs w:val="19"/>
                <w:color w:val="auto"/>
              </w:rPr>
            </w:pPr>
          </w:p>
        </w:tc>
        <w:tc>
          <w:tcPr>
            <w:tcW w:w="26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gridSpan w:val="3"/>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5.4.</w:t>
            </w:r>
          </w:p>
        </w:tc>
        <w:tc>
          <w:tcPr>
            <w:tcW w:w="320" w:type="dxa"/>
            <w:vAlign w:val="bottom"/>
          </w:tcPr>
          <w:p>
            <w:pPr>
              <w:spacing w:after="0"/>
              <w:rPr>
                <w:sz w:val="19"/>
                <w:szCs w:val="19"/>
                <w:color w:val="auto"/>
              </w:rPr>
            </w:pPr>
          </w:p>
        </w:tc>
        <w:tc>
          <w:tcPr>
            <w:tcW w:w="940" w:type="dxa"/>
            <w:vAlign w:val="bottom"/>
            <w:tcBorders>
              <w:top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EE"/>
                <w:w w:val="80"/>
              </w:rPr>
              <w:t>Organization</w:t>
            </w:r>
          </w:p>
        </w:tc>
        <w:tc>
          <w:tcPr>
            <w:tcW w:w="5120" w:type="dxa"/>
            <w:vAlign w:val="bottom"/>
            <w:gridSpan w:val="31"/>
          </w:tcPr>
          <w:p>
            <w:pPr>
              <w:ind w:left="240"/>
              <w:spacing w:after="0" w:line="223" w:lineRule="exact"/>
              <w:rPr>
                <w:sz w:val="20"/>
                <w:szCs w:val="20"/>
                <w:color w:val="auto"/>
              </w:rPr>
            </w:pPr>
            <w:r>
              <w:rPr>
                <w:rFonts w:ascii="Times New Roman" w:cs="Times New Roman" w:eastAsia="Times New Roman" w:hAnsi="Times New Roman"/>
                <w:sz w:val="22"/>
                <w:szCs w:val="22"/>
                <w:color w:val="0000EE"/>
              </w:rPr>
              <w:t>and Ownership of Shares of Subsidiaries</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5.5.</w:t>
            </w:r>
          </w:p>
        </w:tc>
        <w:tc>
          <w:tcPr>
            <w:tcW w:w="320" w:type="dxa"/>
            <w:vAlign w:val="bottom"/>
          </w:tcPr>
          <w:p>
            <w:pPr>
              <w:spacing w:after="0"/>
              <w:rPr>
                <w:sz w:val="19"/>
                <w:szCs w:val="19"/>
                <w:color w:val="auto"/>
              </w:rPr>
            </w:pPr>
          </w:p>
        </w:tc>
        <w:tc>
          <w:tcPr>
            <w:tcW w:w="4700" w:type="dxa"/>
            <w:vAlign w:val="bottom"/>
            <w:tcBorders>
              <w:top w:val="single" w:sz="8" w:color="0000EE"/>
            </w:tcBorders>
            <w:gridSpan w:val="30"/>
          </w:tcPr>
          <w:p>
            <w:pPr>
              <w:spacing w:after="0" w:line="223" w:lineRule="exact"/>
              <w:rPr>
                <w:sz w:val="20"/>
                <w:szCs w:val="20"/>
                <w:color w:val="auto"/>
              </w:rPr>
            </w:pPr>
            <w:r>
              <w:rPr>
                <w:rFonts w:ascii="Times New Roman" w:cs="Times New Roman" w:eastAsia="Times New Roman" w:hAnsi="Times New Roman"/>
                <w:sz w:val="22"/>
                <w:szCs w:val="22"/>
                <w:color w:val="0000EE"/>
              </w:rPr>
              <w:t>Financial Statements; Material Liabilities</w:t>
            </w:r>
          </w:p>
        </w:tc>
        <w:tc>
          <w:tcPr>
            <w:tcW w:w="1360" w:type="dxa"/>
            <w:vAlign w:val="bottom"/>
            <w:gridSpan w:val="3"/>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5.6.</w:t>
            </w:r>
          </w:p>
        </w:tc>
        <w:tc>
          <w:tcPr>
            <w:tcW w:w="320" w:type="dxa"/>
            <w:vAlign w:val="bottom"/>
          </w:tcPr>
          <w:p>
            <w:pPr>
              <w:spacing w:after="0"/>
              <w:rPr>
                <w:sz w:val="19"/>
                <w:szCs w:val="19"/>
                <w:color w:val="auto"/>
              </w:rPr>
            </w:pPr>
          </w:p>
        </w:tc>
        <w:tc>
          <w:tcPr>
            <w:tcW w:w="3600" w:type="dxa"/>
            <w:vAlign w:val="bottom"/>
            <w:tcBorders>
              <w:top w:val="single" w:sz="8" w:color="0000EE"/>
            </w:tcBorders>
            <w:gridSpan w:val="25"/>
          </w:tcPr>
          <w:p>
            <w:pPr>
              <w:spacing w:after="0" w:line="223" w:lineRule="exact"/>
              <w:rPr>
                <w:sz w:val="20"/>
                <w:szCs w:val="20"/>
                <w:color w:val="auto"/>
              </w:rPr>
            </w:pPr>
            <w:r>
              <w:rPr>
                <w:rFonts w:ascii="Times New Roman" w:cs="Times New Roman" w:eastAsia="Times New Roman" w:hAnsi="Times New Roman"/>
                <w:sz w:val="22"/>
                <w:szCs w:val="22"/>
                <w:color w:val="0000EE"/>
                <w:w w:val="94"/>
              </w:rPr>
              <w:t>Compliance with Laws, Other Instruments,</w:t>
            </w:r>
          </w:p>
        </w:tc>
        <w:tc>
          <w:tcPr>
            <w:tcW w:w="40" w:type="dxa"/>
            <w:vAlign w:val="bottom"/>
          </w:tcPr>
          <w:p>
            <w:pPr>
              <w:spacing w:after="0"/>
              <w:rPr>
                <w:sz w:val="19"/>
                <w:szCs w:val="19"/>
                <w:color w:val="auto"/>
              </w:rPr>
            </w:pPr>
          </w:p>
        </w:tc>
        <w:tc>
          <w:tcPr>
            <w:tcW w:w="2420" w:type="dxa"/>
            <w:vAlign w:val="bottom"/>
            <w:gridSpan w:val="7"/>
          </w:tcPr>
          <w:p>
            <w:pPr>
              <w:ind w:left="160"/>
              <w:spacing w:after="0" w:line="223" w:lineRule="exact"/>
              <w:rPr>
                <w:sz w:val="20"/>
                <w:szCs w:val="20"/>
                <w:color w:val="auto"/>
              </w:rPr>
            </w:pPr>
            <w:r>
              <w:rPr>
                <w:rFonts w:ascii="Times New Roman" w:cs="Times New Roman" w:eastAsia="Times New Roman" w:hAnsi="Times New Roman"/>
                <w:sz w:val="22"/>
                <w:szCs w:val="22"/>
                <w:color w:val="0000EE"/>
              </w:rPr>
              <w:t>Etc</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5.7.</w:t>
            </w:r>
          </w:p>
        </w:tc>
        <w:tc>
          <w:tcPr>
            <w:tcW w:w="320" w:type="dxa"/>
            <w:vAlign w:val="bottom"/>
          </w:tcPr>
          <w:p>
            <w:pPr>
              <w:spacing w:after="0"/>
              <w:rPr>
                <w:sz w:val="19"/>
                <w:szCs w:val="19"/>
                <w:color w:val="auto"/>
              </w:rPr>
            </w:pPr>
          </w:p>
        </w:tc>
        <w:tc>
          <w:tcPr>
            <w:tcW w:w="4080" w:type="dxa"/>
            <w:vAlign w:val="bottom"/>
            <w:tcBorders>
              <w:top w:val="single" w:sz="8" w:color="0000EE"/>
            </w:tcBorders>
            <w:gridSpan w:val="29"/>
          </w:tcPr>
          <w:p>
            <w:pPr>
              <w:spacing w:after="0" w:line="223" w:lineRule="exact"/>
              <w:rPr>
                <w:sz w:val="20"/>
                <w:szCs w:val="20"/>
                <w:color w:val="auto"/>
              </w:rPr>
            </w:pPr>
            <w:r>
              <w:rPr>
                <w:rFonts w:ascii="Times New Roman" w:cs="Times New Roman" w:eastAsia="Times New Roman" w:hAnsi="Times New Roman"/>
                <w:sz w:val="22"/>
                <w:szCs w:val="22"/>
                <w:color w:val="0000EE"/>
              </w:rPr>
              <w:t>Governmental Authorizations, Etc</w:t>
            </w:r>
          </w:p>
        </w:tc>
        <w:tc>
          <w:tcPr>
            <w:tcW w:w="1980" w:type="dxa"/>
            <w:vAlign w:val="bottom"/>
            <w:gridSpan w:val="4"/>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5.8.</w:t>
            </w:r>
          </w:p>
        </w:tc>
        <w:tc>
          <w:tcPr>
            <w:tcW w:w="320" w:type="dxa"/>
            <w:vAlign w:val="bottom"/>
          </w:tcPr>
          <w:p>
            <w:pPr>
              <w:spacing w:after="0"/>
              <w:rPr>
                <w:sz w:val="19"/>
                <w:szCs w:val="19"/>
                <w:color w:val="auto"/>
              </w:rPr>
            </w:pPr>
          </w:p>
        </w:tc>
        <w:tc>
          <w:tcPr>
            <w:tcW w:w="2980" w:type="dxa"/>
            <w:vAlign w:val="bottom"/>
            <w:tcBorders>
              <w:top w:val="single" w:sz="8" w:color="0000EE"/>
            </w:tcBorders>
            <w:gridSpan w:val="20"/>
          </w:tcPr>
          <w:p>
            <w:pPr>
              <w:spacing w:after="0" w:line="223" w:lineRule="exact"/>
              <w:rPr>
                <w:sz w:val="20"/>
                <w:szCs w:val="20"/>
                <w:color w:val="auto"/>
              </w:rPr>
            </w:pPr>
            <w:r>
              <w:rPr>
                <w:rFonts w:ascii="Times New Roman" w:cs="Times New Roman" w:eastAsia="Times New Roman" w:hAnsi="Times New Roman"/>
                <w:sz w:val="22"/>
                <w:szCs w:val="22"/>
                <w:color w:val="0000EE"/>
                <w:w w:val="98"/>
              </w:rPr>
              <w:t>Litigation; Observance of Statutes</w:t>
            </w:r>
          </w:p>
        </w:tc>
        <w:tc>
          <w:tcPr>
            <w:tcW w:w="3080" w:type="dxa"/>
            <w:vAlign w:val="bottom"/>
            <w:gridSpan w:val="13"/>
          </w:tcPr>
          <w:p>
            <w:pPr>
              <w:ind w:left="40"/>
              <w:spacing w:after="0" w:line="223" w:lineRule="exact"/>
              <w:rPr>
                <w:sz w:val="20"/>
                <w:szCs w:val="20"/>
                <w:color w:val="auto"/>
              </w:rPr>
            </w:pPr>
            <w:r>
              <w:rPr>
                <w:rFonts w:ascii="Times New Roman" w:cs="Times New Roman" w:eastAsia="Times New Roman" w:hAnsi="Times New Roman"/>
                <w:sz w:val="22"/>
                <w:szCs w:val="22"/>
                <w:color w:val="0000EE"/>
              </w:rPr>
              <w:t>and Orders</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5.9.</w:t>
            </w:r>
          </w:p>
        </w:tc>
        <w:tc>
          <w:tcPr>
            <w:tcW w:w="320" w:type="dxa"/>
            <w:vAlign w:val="bottom"/>
          </w:tcPr>
          <w:p>
            <w:pPr>
              <w:spacing w:after="0"/>
              <w:rPr>
                <w:sz w:val="19"/>
                <w:szCs w:val="19"/>
                <w:color w:val="auto"/>
              </w:rPr>
            </w:pPr>
          </w:p>
        </w:tc>
        <w:tc>
          <w:tcPr>
            <w:tcW w:w="3980" w:type="dxa"/>
            <w:vAlign w:val="bottom"/>
            <w:tcBorders>
              <w:top w:val="single" w:sz="8" w:color="0000EE"/>
            </w:tcBorders>
            <w:gridSpan w:val="28"/>
          </w:tcPr>
          <w:p>
            <w:pPr>
              <w:spacing w:after="0" w:line="223" w:lineRule="exact"/>
              <w:rPr>
                <w:sz w:val="20"/>
                <w:szCs w:val="20"/>
                <w:color w:val="auto"/>
              </w:rPr>
            </w:pPr>
            <w:r>
              <w:rPr>
                <w:rFonts w:ascii="Times New Roman" w:cs="Times New Roman" w:eastAsia="Times New Roman" w:hAnsi="Times New Roman"/>
                <w:sz w:val="22"/>
                <w:szCs w:val="22"/>
                <w:color w:val="0000EE"/>
              </w:rPr>
              <w:t>Taxes</w:t>
            </w:r>
          </w:p>
        </w:tc>
        <w:tc>
          <w:tcPr>
            <w:tcW w:w="2080" w:type="dxa"/>
            <w:vAlign w:val="bottom"/>
            <w:gridSpan w:val="5"/>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16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6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line="20" w:lineRule="exact"/>
              <w:rPr>
                <w:sz w:val="1"/>
                <w:szCs w:val="1"/>
                <w:color w:val="auto"/>
              </w:rPr>
            </w:pPr>
          </w:p>
        </w:tc>
      </w:tr>
      <w:tr>
        <w:trPr>
          <w:trHeight w:val="223"/>
        </w:trPr>
        <w:tc>
          <w:tcPr>
            <w:tcW w:w="1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06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rPr>
              <w:t>Title to Property; Leases</w:t>
            </w: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5.11.</w:t>
            </w:r>
          </w:p>
        </w:tc>
        <w:tc>
          <w:tcPr>
            <w:tcW w:w="320" w:type="dxa"/>
            <w:vAlign w:val="bottom"/>
          </w:tcPr>
          <w:p>
            <w:pPr>
              <w:spacing w:after="0"/>
              <w:rPr>
                <w:sz w:val="19"/>
                <w:szCs w:val="19"/>
                <w:color w:val="auto"/>
              </w:rPr>
            </w:pPr>
          </w:p>
        </w:tc>
        <w:tc>
          <w:tcPr>
            <w:tcW w:w="212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Licenses, Permits, Etc</w:t>
            </w:r>
          </w:p>
        </w:tc>
        <w:tc>
          <w:tcPr>
            <w:tcW w:w="380" w:type="dxa"/>
            <w:vAlign w:val="bottom"/>
            <w:gridSpan w:val="4"/>
          </w:tcPr>
          <w:p>
            <w:pPr>
              <w:spacing w:after="0"/>
              <w:rPr>
                <w:sz w:val="19"/>
                <w:szCs w:val="19"/>
                <w:color w:val="auto"/>
              </w:rPr>
            </w:pPr>
          </w:p>
        </w:tc>
        <w:tc>
          <w:tcPr>
            <w:tcW w:w="400" w:type="dxa"/>
            <w:vAlign w:val="bottom"/>
            <w:gridSpan w:val="4"/>
          </w:tcPr>
          <w:p>
            <w:pPr>
              <w:spacing w:after="0"/>
              <w:rPr>
                <w:sz w:val="19"/>
                <w:szCs w:val="19"/>
                <w:color w:val="auto"/>
              </w:rPr>
            </w:pPr>
          </w:p>
        </w:tc>
        <w:tc>
          <w:tcPr>
            <w:tcW w:w="340" w:type="dxa"/>
            <w:vAlign w:val="bottom"/>
            <w:gridSpan w:val="5"/>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420" w:type="dxa"/>
            <w:vAlign w:val="bottom"/>
            <w:gridSpan w:val="7"/>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0"/>
        </w:trPr>
        <w:tc>
          <w:tcPr>
            <w:tcW w:w="16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3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6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line="20" w:lineRule="exact"/>
              <w:rPr>
                <w:sz w:val="1"/>
                <w:szCs w:val="1"/>
                <w:color w:val="auto"/>
              </w:rPr>
            </w:pPr>
          </w:p>
        </w:tc>
      </w:tr>
      <w:tr>
        <w:trPr>
          <w:trHeight w:val="223"/>
        </w:trPr>
        <w:tc>
          <w:tcPr>
            <w:tcW w:w="1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06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rPr>
              <w:t>Compliance with Employee Benefit Plans</w:t>
            </w: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5.13.</w:t>
            </w:r>
          </w:p>
        </w:tc>
        <w:tc>
          <w:tcPr>
            <w:tcW w:w="320" w:type="dxa"/>
            <w:vAlign w:val="bottom"/>
          </w:tcPr>
          <w:p>
            <w:pPr>
              <w:spacing w:after="0"/>
              <w:rPr>
                <w:sz w:val="19"/>
                <w:szCs w:val="19"/>
                <w:color w:val="auto"/>
              </w:rPr>
            </w:pPr>
          </w:p>
        </w:tc>
        <w:tc>
          <w:tcPr>
            <w:tcW w:w="2900" w:type="dxa"/>
            <w:vAlign w:val="bottom"/>
            <w:tcBorders>
              <w:top w:val="single" w:sz="8" w:color="0000EE"/>
              <w:bottom w:val="single" w:sz="8" w:color="0000EE"/>
            </w:tcBorders>
            <w:gridSpan w:val="18"/>
          </w:tcPr>
          <w:p>
            <w:pPr>
              <w:spacing w:after="0" w:line="223" w:lineRule="exact"/>
              <w:rPr>
                <w:sz w:val="20"/>
                <w:szCs w:val="20"/>
                <w:color w:val="auto"/>
              </w:rPr>
            </w:pPr>
            <w:r>
              <w:rPr>
                <w:rFonts w:ascii="Times New Roman" w:cs="Times New Roman" w:eastAsia="Times New Roman" w:hAnsi="Times New Roman"/>
                <w:sz w:val="22"/>
                <w:szCs w:val="22"/>
                <w:color w:val="0000EE"/>
                <w:w w:val="97"/>
              </w:rPr>
              <w:t>Private Offering by the Company</w:t>
            </w:r>
          </w:p>
        </w:tc>
        <w:tc>
          <w:tcPr>
            <w:tcW w:w="740" w:type="dxa"/>
            <w:vAlign w:val="bottom"/>
            <w:tcBorders>
              <w:top w:val="single" w:sz="8" w:color="0000EE"/>
            </w:tcBorders>
            <w:gridSpan w:val="8"/>
          </w:tcPr>
          <w:p>
            <w:pPr>
              <w:spacing w:after="0"/>
              <w:rPr>
                <w:sz w:val="19"/>
                <w:szCs w:val="19"/>
                <w:color w:val="auto"/>
              </w:rPr>
            </w:pPr>
          </w:p>
        </w:tc>
        <w:tc>
          <w:tcPr>
            <w:tcW w:w="2420" w:type="dxa"/>
            <w:vAlign w:val="bottom"/>
            <w:gridSpan w:val="7"/>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5.14.</w:t>
            </w:r>
          </w:p>
        </w:tc>
        <w:tc>
          <w:tcPr>
            <w:tcW w:w="320" w:type="dxa"/>
            <w:vAlign w:val="bottom"/>
          </w:tcPr>
          <w:p>
            <w:pPr>
              <w:spacing w:after="0"/>
              <w:rPr>
                <w:sz w:val="19"/>
                <w:szCs w:val="19"/>
                <w:color w:val="auto"/>
              </w:rPr>
            </w:pPr>
          </w:p>
        </w:tc>
        <w:tc>
          <w:tcPr>
            <w:tcW w:w="6060" w:type="dxa"/>
            <w:vAlign w:val="bottom"/>
            <w:gridSpan w:val="33"/>
          </w:tcPr>
          <w:p>
            <w:pPr>
              <w:spacing w:after="0" w:line="223" w:lineRule="exact"/>
              <w:rPr>
                <w:sz w:val="20"/>
                <w:szCs w:val="20"/>
                <w:color w:val="auto"/>
              </w:rPr>
            </w:pPr>
            <w:r>
              <w:rPr>
                <w:rFonts w:ascii="Times New Roman" w:cs="Times New Roman" w:eastAsia="Times New Roman" w:hAnsi="Times New Roman"/>
                <w:sz w:val="22"/>
                <w:szCs w:val="22"/>
                <w:color w:val="0000EE"/>
              </w:rPr>
              <w:t>Use of Proceeds; Margin Regulations</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5.15.</w:t>
            </w:r>
          </w:p>
        </w:tc>
        <w:tc>
          <w:tcPr>
            <w:tcW w:w="320" w:type="dxa"/>
            <w:vAlign w:val="bottom"/>
          </w:tcPr>
          <w:p>
            <w:pPr>
              <w:spacing w:after="0"/>
              <w:rPr>
                <w:sz w:val="19"/>
                <w:szCs w:val="19"/>
                <w:color w:val="auto"/>
              </w:rPr>
            </w:pPr>
          </w:p>
        </w:tc>
        <w:tc>
          <w:tcPr>
            <w:tcW w:w="3240" w:type="dxa"/>
            <w:vAlign w:val="bottom"/>
            <w:tcBorders>
              <w:top w:val="single" w:sz="8" w:color="0000EE"/>
            </w:tcBorders>
            <w:gridSpan w:val="23"/>
          </w:tcPr>
          <w:p>
            <w:pPr>
              <w:spacing w:after="0" w:line="223" w:lineRule="exact"/>
              <w:rPr>
                <w:sz w:val="20"/>
                <w:szCs w:val="20"/>
                <w:color w:val="auto"/>
              </w:rPr>
            </w:pPr>
            <w:r>
              <w:rPr>
                <w:rFonts w:ascii="Times New Roman" w:cs="Times New Roman" w:eastAsia="Times New Roman" w:hAnsi="Times New Roman"/>
                <w:sz w:val="22"/>
                <w:szCs w:val="22"/>
                <w:color w:val="0000EE"/>
              </w:rPr>
              <w:t>Existing Debt</w:t>
            </w:r>
          </w:p>
        </w:tc>
        <w:tc>
          <w:tcPr>
            <w:tcW w:w="260" w:type="dxa"/>
            <w:vAlign w:val="bottom"/>
          </w:tcPr>
          <w:p>
            <w:pPr>
              <w:spacing w:after="0"/>
              <w:rPr>
                <w:sz w:val="19"/>
                <w:szCs w:val="19"/>
                <w:color w:val="auto"/>
              </w:rPr>
            </w:pPr>
          </w:p>
        </w:tc>
        <w:tc>
          <w:tcPr>
            <w:tcW w:w="2560" w:type="dxa"/>
            <w:vAlign w:val="bottom"/>
            <w:gridSpan w:val="9"/>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5.16.</w:t>
            </w:r>
          </w:p>
        </w:tc>
        <w:tc>
          <w:tcPr>
            <w:tcW w:w="320" w:type="dxa"/>
            <w:vAlign w:val="bottom"/>
          </w:tcPr>
          <w:p>
            <w:pPr>
              <w:spacing w:after="0"/>
              <w:rPr>
                <w:sz w:val="19"/>
                <w:szCs w:val="19"/>
                <w:color w:val="auto"/>
              </w:rPr>
            </w:pPr>
          </w:p>
        </w:tc>
        <w:tc>
          <w:tcPr>
            <w:tcW w:w="120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w w:val="89"/>
              </w:rPr>
              <w:t>Foreign Assets</w:t>
            </w:r>
          </w:p>
        </w:tc>
        <w:tc>
          <w:tcPr>
            <w:tcW w:w="4860" w:type="dxa"/>
            <w:vAlign w:val="bottom"/>
            <w:gridSpan w:val="30"/>
          </w:tcPr>
          <w:p>
            <w:pPr>
              <w:ind w:left="160"/>
              <w:spacing w:after="0" w:line="223" w:lineRule="exact"/>
              <w:rPr>
                <w:sz w:val="20"/>
                <w:szCs w:val="20"/>
                <w:color w:val="auto"/>
              </w:rPr>
            </w:pPr>
            <w:r>
              <w:rPr>
                <w:rFonts w:ascii="Times New Roman" w:cs="Times New Roman" w:eastAsia="Times New Roman" w:hAnsi="Times New Roman"/>
                <w:sz w:val="22"/>
                <w:szCs w:val="22"/>
                <w:color w:val="0000EE"/>
              </w:rPr>
              <w:t>Control Regulations, Etc</w:t>
            </w: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5.17.</w:t>
            </w:r>
          </w:p>
        </w:tc>
        <w:tc>
          <w:tcPr>
            <w:tcW w:w="320" w:type="dxa"/>
            <w:vAlign w:val="bottom"/>
          </w:tcPr>
          <w:p>
            <w:pPr>
              <w:spacing w:after="0"/>
              <w:rPr>
                <w:sz w:val="19"/>
                <w:szCs w:val="19"/>
                <w:color w:val="auto"/>
              </w:rPr>
            </w:pPr>
          </w:p>
        </w:tc>
        <w:tc>
          <w:tcPr>
            <w:tcW w:w="3500" w:type="dxa"/>
            <w:vAlign w:val="bottom"/>
            <w:tcBorders>
              <w:top w:val="single" w:sz="8" w:color="0000EE"/>
            </w:tcBorders>
            <w:gridSpan w:val="24"/>
          </w:tcPr>
          <w:p>
            <w:pPr>
              <w:spacing w:after="0" w:line="223" w:lineRule="exact"/>
              <w:rPr>
                <w:sz w:val="20"/>
                <w:szCs w:val="20"/>
                <w:color w:val="auto"/>
              </w:rPr>
            </w:pPr>
            <w:r>
              <w:rPr>
                <w:rFonts w:ascii="Times New Roman" w:cs="Times New Roman" w:eastAsia="Times New Roman" w:hAnsi="Times New Roman"/>
                <w:sz w:val="22"/>
                <w:szCs w:val="22"/>
                <w:color w:val="0000EE"/>
              </w:rPr>
              <w:t>Status under Certain Statutes</w:t>
            </w:r>
          </w:p>
        </w:tc>
        <w:tc>
          <w:tcPr>
            <w:tcW w:w="2560" w:type="dxa"/>
            <w:vAlign w:val="bottom"/>
            <w:gridSpan w:val="9"/>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5.18.</w:t>
            </w:r>
          </w:p>
        </w:tc>
        <w:tc>
          <w:tcPr>
            <w:tcW w:w="320" w:type="dxa"/>
            <w:vAlign w:val="bottom"/>
          </w:tcPr>
          <w:p>
            <w:pPr>
              <w:spacing w:after="0"/>
              <w:rPr>
                <w:sz w:val="19"/>
                <w:szCs w:val="19"/>
                <w:color w:val="auto"/>
              </w:rPr>
            </w:pPr>
          </w:p>
        </w:tc>
        <w:tc>
          <w:tcPr>
            <w:tcW w:w="2500" w:type="dxa"/>
            <w:vAlign w:val="bottom"/>
            <w:tcBorders>
              <w:top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2"/>
                <w:szCs w:val="22"/>
                <w:color w:val="0000EE"/>
              </w:rPr>
              <w:t>Environmental Matters</w:t>
            </w:r>
          </w:p>
        </w:tc>
        <w:tc>
          <w:tcPr>
            <w:tcW w:w="3560" w:type="dxa"/>
            <w:vAlign w:val="bottom"/>
            <w:gridSpan w:val="19"/>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367030</wp:posOffset>
            </wp:positionV>
            <wp:extent cx="552894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1" w:name="page52"/>
    <w:bookmarkEnd w:id="51"/>
    <w:tbl>
      <w:tblPr>
        <w:tblLayout w:type="fixed"/>
        <w:tblInd w:w="180" w:type="dxa"/>
        <w:tblCellMar>
          <w:top w:w="0" w:type="dxa"/>
          <w:left w:w="0" w:type="dxa"/>
          <w:bottom w:w="0" w:type="dxa"/>
          <w:right w:w="0" w:type="dxa"/>
        </w:tblCellMar>
      </w:tblPr>
      <w:tr>
        <w:trPr>
          <w:trHeight w:val="253"/>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5.19.</w:t>
            </w:r>
          </w:p>
        </w:tc>
        <w:tc>
          <w:tcPr>
            <w:tcW w:w="320" w:type="dxa"/>
            <w:vAlign w:val="bottom"/>
          </w:tcPr>
          <w:p>
            <w:pPr>
              <w:spacing w:after="0"/>
              <w:rPr>
                <w:sz w:val="22"/>
                <w:szCs w:val="22"/>
                <w:color w:val="auto"/>
              </w:rPr>
            </w:pPr>
          </w:p>
        </w:tc>
        <w:tc>
          <w:tcPr>
            <w:tcW w:w="424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rPr>
              <w:t>Lien of Indenture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5.20.</w:t>
            </w:r>
          </w:p>
        </w:tc>
        <w:tc>
          <w:tcPr>
            <w:tcW w:w="320" w:type="dxa"/>
            <w:vAlign w:val="bottom"/>
          </w:tcPr>
          <w:p>
            <w:pPr>
              <w:spacing w:after="0"/>
              <w:rPr>
                <w:sz w:val="19"/>
                <w:szCs w:val="19"/>
                <w:color w:val="auto"/>
              </w:rPr>
            </w:pPr>
          </w:p>
        </w:tc>
        <w:tc>
          <w:tcPr>
            <w:tcW w:w="152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color w:val="0000EE"/>
              </w:rPr>
              <w:t>Filings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6.</w:t>
            </w:r>
          </w:p>
        </w:tc>
        <w:tc>
          <w:tcPr>
            <w:tcW w:w="42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22"/>
                <w:szCs w:val="22"/>
                <w:color w:val="0000EE"/>
                <w:w w:val="96"/>
              </w:rPr>
              <w:t>REPRESENTATIONS OF THE PURCHASERS</w:t>
            </w:r>
          </w:p>
        </w:tc>
        <w:tc>
          <w:tcPr>
            <w:tcW w:w="3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6.1.</w:t>
            </w:r>
          </w:p>
        </w:tc>
        <w:tc>
          <w:tcPr>
            <w:tcW w:w="320" w:type="dxa"/>
            <w:vAlign w:val="bottom"/>
          </w:tcPr>
          <w:p>
            <w:pPr>
              <w:spacing w:after="0"/>
              <w:rPr>
                <w:sz w:val="24"/>
                <w:szCs w:val="24"/>
                <w:color w:val="auto"/>
              </w:rPr>
            </w:pPr>
          </w:p>
        </w:tc>
        <w:tc>
          <w:tcPr>
            <w:tcW w:w="424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rPr>
              <w:t>Purchase for Investment</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6.2.</w:t>
            </w:r>
          </w:p>
        </w:tc>
        <w:tc>
          <w:tcPr>
            <w:tcW w:w="320" w:type="dxa"/>
            <w:vAlign w:val="bottom"/>
          </w:tcPr>
          <w:p>
            <w:pPr>
              <w:spacing w:after="0"/>
              <w:rPr>
                <w:sz w:val="19"/>
                <w:szCs w:val="19"/>
                <w:color w:val="auto"/>
              </w:rPr>
            </w:pPr>
          </w:p>
        </w:tc>
        <w:tc>
          <w:tcPr>
            <w:tcW w:w="2100" w:type="dxa"/>
            <w:vAlign w:val="bottom"/>
            <w:tcBorders>
              <w:top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2"/>
                <w:szCs w:val="22"/>
                <w:color w:val="0000EE"/>
              </w:rPr>
              <w:t>Source of Funds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12</w:t>
            </w: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7.</w:t>
            </w:r>
          </w:p>
        </w:tc>
        <w:tc>
          <w:tcPr>
            <w:tcW w:w="32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22"/>
                <w:szCs w:val="22"/>
                <w:color w:val="0000EE"/>
                <w:w w:val="96"/>
              </w:rPr>
              <w:t>INFORMATION AS TO COMPANY</w:t>
            </w:r>
          </w:p>
        </w:tc>
        <w:tc>
          <w:tcPr>
            <w:tcW w:w="1280" w:type="dxa"/>
            <w:vAlign w:val="bottom"/>
            <w:gridSpan w:val="3"/>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7.1.</w:t>
            </w:r>
          </w:p>
        </w:tc>
        <w:tc>
          <w:tcPr>
            <w:tcW w:w="320" w:type="dxa"/>
            <w:vAlign w:val="bottom"/>
          </w:tcPr>
          <w:p>
            <w:pPr>
              <w:spacing w:after="0"/>
              <w:rPr>
                <w:sz w:val="24"/>
                <w:szCs w:val="24"/>
                <w:color w:val="auto"/>
              </w:rPr>
            </w:pPr>
          </w:p>
        </w:tc>
        <w:tc>
          <w:tcPr>
            <w:tcW w:w="424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rPr>
              <w:t>Financial and Business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7.2</w:t>
            </w:r>
          </w:p>
        </w:tc>
        <w:tc>
          <w:tcPr>
            <w:tcW w:w="320" w:type="dxa"/>
            <w:vAlign w:val="bottom"/>
          </w:tcPr>
          <w:p>
            <w:pPr>
              <w:spacing w:after="0"/>
              <w:rPr>
                <w:sz w:val="19"/>
                <w:szCs w:val="19"/>
                <w:color w:val="auto"/>
              </w:rPr>
            </w:pPr>
          </w:p>
        </w:tc>
        <w:tc>
          <w:tcPr>
            <w:tcW w:w="3080" w:type="dxa"/>
            <w:vAlign w:val="bottom"/>
            <w:tcBorders>
              <w:top w:val="single" w:sz="8" w:color="0000EE"/>
            </w:tcBorders>
            <w:gridSpan w:val="24"/>
          </w:tcPr>
          <w:p>
            <w:pPr>
              <w:spacing w:after="0" w:line="223" w:lineRule="exact"/>
              <w:rPr>
                <w:sz w:val="20"/>
                <w:szCs w:val="20"/>
                <w:color w:val="auto"/>
              </w:rPr>
            </w:pPr>
            <w:r>
              <w:rPr>
                <w:rFonts w:ascii="Times New Roman" w:cs="Times New Roman" w:eastAsia="Times New Roman" w:hAnsi="Times New Roman"/>
                <w:sz w:val="22"/>
                <w:szCs w:val="22"/>
                <w:color w:val="0000EE"/>
              </w:rPr>
              <w:t>Officer’s Certificate</w:t>
            </w:r>
          </w:p>
        </w:tc>
        <w:tc>
          <w:tcPr>
            <w:tcW w:w="1160" w:type="dxa"/>
            <w:vAlign w:val="bottom"/>
            <w:gridSpan w:val="2"/>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16</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7.3.</w:t>
            </w:r>
          </w:p>
        </w:tc>
        <w:tc>
          <w:tcPr>
            <w:tcW w:w="320" w:type="dxa"/>
            <w:vAlign w:val="bottom"/>
          </w:tcPr>
          <w:p>
            <w:pPr>
              <w:spacing w:after="0"/>
              <w:rPr>
                <w:sz w:val="19"/>
                <w:szCs w:val="19"/>
                <w:color w:val="auto"/>
              </w:rPr>
            </w:pPr>
          </w:p>
        </w:tc>
        <w:tc>
          <w:tcPr>
            <w:tcW w:w="174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color w:val="0000EE"/>
              </w:rPr>
              <w:t>Visitation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4"/>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17</w:t>
            </w: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22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2"/>
                <w:szCs w:val="22"/>
                <w:color w:val="0000EE"/>
                <w:w w:val="97"/>
              </w:rPr>
              <w:t>PURCHASE OF BONDS</w:t>
            </w:r>
          </w:p>
        </w:tc>
        <w:tc>
          <w:tcPr>
            <w:tcW w:w="2300" w:type="dxa"/>
            <w:vAlign w:val="bottom"/>
            <w:gridSpan w:val="14"/>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28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22"/>
                <w:szCs w:val="22"/>
                <w:color w:val="0000EE"/>
                <w:w w:val="96"/>
              </w:rPr>
              <w:t>AFFIRMATIVE COVENANTS</w:t>
            </w:r>
          </w:p>
        </w:tc>
        <w:tc>
          <w:tcPr>
            <w:tcW w:w="1760" w:type="dxa"/>
            <w:vAlign w:val="bottom"/>
            <w:gridSpan w:val="4"/>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9.1.</w:t>
            </w:r>
          </w:p>
        </w:tc>
        <w:tc>
          <w:tcPr>
            <w:tcW w:w="320" w:type="dxa"/>
            <w:vAlign w:val="bottom"/>
          </w:tcPr>
          <w:p>
            <w:pPr>
              <w:spacing w:after="0"/>
              <w:rPr>
                <w:sz w:val="24"/>
                <w:szCs w:val="24"/>
                <w:color w:val="auto"/>
              </w:rPr>
            </w:pPr>
          </w:p>
        </w:tc>
        <w:tc>
          <w:tcPr>
            <w:tcW w:w="424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rPr>
              <w:t>Compliance with Law</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9.2.</w:t>
            </w:r>
          </w:p>
        </w:tc>
        <w:tc>
          <w:tcPr>
            <w:tcW w:w="320" w:type="dxa"/>
            <w:vAlign w:val="bottom"/>
          </w:tcPr>
          <w:p>
            <w:pPr>
              <w:spacing w:after="0"/>
              <w:rPr>
                <w:sz w:val="19"/>
                <w:szCs w:val="19"/>
                <w:color w:val="auto"/>
              </w:rPr>
            </w:pPr>
          </w:p>
        </w:tc>
        <w:tc>
          <w:tcPr>
            <w:tcW w:w="192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Insurance</w:t>
            </w:r>
          </w:p>
        </w:tc>
        <w:tc>
          <w:tcPr>
            <w:tcW w:w="40" w:type="dxa"/>
            <w:vAlign w:val="bottom"/>
            <w:gridSpan w:val="2"/>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5"/>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18</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9.3.</w:t>
            </w:r>
          </w:p>
        </w:tc>
        <w:tc>
          <w:tcPr>
            <w:tcW w:w="320" w:type="dxa"/>
            <w:vAlign w:val="bottom"/>
          </w:tcPr>
          <w:p>
            <w:pPr>
              <w:spacing w:after="0"/>
              <w:rPr>
                <w:sz w:val="19"/>
                <w:szCs w:val="19"/>
                <w:color w:val="auto"/>
              </w:rPr>
            </w:pPr>
          </w:p>
        </w:tc>
        <w:tc>
          <w:tcPr>
            <w:tcW w:w="84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w w:val="72"/>
              </w:rPr>
              <w:t>Maintenance</w:t>
            </w:r>
          </w:p>
        </w:tc>
        <w:tc>
          <w:tcPr>
            <w:tcW w:w="3400" w:type="dxa"/>
            <w:vAlign w:val="bottom"/>
            <w:gridSpan w:val="23"/>
          </w:tcPr>
          <w:p>
            <w:pPr>
              <w:ind w:left="340"/>
              <w:spacing w:after="0" w:line="223" w:lineRule="exact"/>
              <w:rPr>
                <w:sz w:val="20"/>
                <w:szCs w:val="20"/>
                <w:color w:val="auto"/>
              </w:rPr>
            </w:pPr>
            <w:r>
              <w:rPr>
                <w:rFonts w:ascii="Times New Roman" w:cs="Times New Roman" w:eastAsia="Times New Roman" w:hAnsi="Times New Roman"/>
                <w:sz w:val="22"/>
                <w:szCs w:val="22"/>
                <w:color w:val="0000EE"/>
              </w:rPr>
              <w:t>of Properties</w:t>
            </w: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18</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9.4.</w:t>
            </w:r>
          </w:p>
        </w:tc>
        <w:tc>
          <w:tcPr>
            <w:tcW w:w="32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color w:val="0000EE"/>
                <w:w w:val="96"/>
              </w:rPr>
              <w:t>Payment of Taxes</w:t>
            </w:r>
          </w:p>
        </w:tc>
        <w:tc>
          <w:tcPr>
            <w:tcW w:w="720" w:type="dxa"/>
            <w:vAlign w:val="bottom"/>
            <w:tcBorders>
              <w:top w:val="single" w:sz="8" w:color="0000EE"/>
            </w:tcBorders>
            <w:gridSpan w:val="1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5"/>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18</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9.5.</w:t>
            </w:r>
          </w:p>
        </w:tc>
        <w:tc>
          <w:tcPr>
            <w:tcW w:w="320" w:type="dxa"/>
            <w:vAlign w:val="bottom"/>
          </w:tcPr>
          <w:p>
            <w:pPr>
              <w:spacing w:after="0"/>
              <w:rPr>
                <w:sz w:val="19"/>
                <w:szCs w:val="19"/>
                <w:color w:val="auto"/>
              </w:rPr>
            </w:pPr>
          </w:p>
        </w:tc>
        <w:tc>
          <w:tcPr>
            <w:tcW w:w="4240" w:type="dxa"/>
            <w:vAlign w:val="bottom"/>
            <w:gridSpan w:val="26"/>
          </w:tcPr>
          <w:p>
            <w:pPr>
              <w:spacing w:after="0" w:line="223" w:lineRule="exact"/>
              <w:rPr>
                <w:sz w:val="20"/>
                <w:szCs w:val="20"/>
                <w:color w:val="auto"/>
              </w:rPr>
            </w:pPr>
            <w:r>
              <w:rPr>
                <w:rFonts w:ascii="Times New Roman" w:cs="Times New Roman" w:eastAsia="Times New Roman" w:hAnsi="Times New Roman"/>
                <w:sz w:val="22"/>
                <w:szCs w:val="22"/>
                <w:color w:val="0000EE"/>
              </w:rPr>
              <w:t>Corporate Existence, Etc</w:t>
            </w: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18</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9.6.</w:t>
            </w:r>
          </w:p>
        </w:tc>
        <w:tc>
          <w:tcPr>
            <w:tcW w:w="320" w:type="dxa"/>
            <w:vAlign w:val="bottom"/>
          </w:tcPr>
          <w:p>
            <w:pPr>
              <w:spacing w:after="0"/>
              <w:rPr>
                <w:sz w:val="19"/>
                <w:szCs w:val="19"/>
                <w:color w:val="auto"/>
              </w:rPr>
            </w:pPr>
          </w:p>
        </w:tc>
        <w:tc>
          <w:tcPr>
            <w:tcW w:w="2160" w:type="dxa"/>
            <w:vAlign w:val="bottom"/>
            <w:tcBorders>
              <w:top w:val="single" w:sz="8" w:color="0000EE"/>
            </w:tcBorders>
            <w:gridSpan w:val="16"/>
          </w:tcPr>
          <w:p>
            <w:pPr>
              <w:spacing w:after="0" w:line="223" w:lineRule="exact"/>
              <w:rPr>
                <w:sz w:val="20"/>
                <w:szCs w:val="20"/>
                <w:color w:val="auto"/>
              </w:rPr>
            </w:pPr>
            <w:r>
              <w:rPr>
                <w:rFonts w:ascii="Times New Roman" w:cs="Times New Roman" w:eastAsia="Times New Roman" w:hAnsi="Times New Roman"/>
                <w:sz w:val="22"/>
                <w:szCs w:val="22"/>
                <w:color w:val="0000EE"/>
              </w:rPr>
              <w:t>Books and Records</w:t>
            </w:r>
          </w:p>
        </w:tc>
        <w:tc>
          <w:tcPr>
            <w:tcW w:w="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5"/>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18</w:t>
            </w: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10.</w:t>
            </w:r>
          </w:p>
        </w:tc>
        <w:tc>
          <w:tcPr>
            <w:tcW w:w="24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6"/>
              </w:rPr>
              <w:t>NEGATIVE COVENANTS</w:t>
            </w:r>
          </w:p>
        </w:tc>
        <w:tc>
          <w:tcPr>
            <w:tcW w:w="2120" w:type="dxa"/>
            <w:vAlign w:val="bottom"/>
            <w:gridSpan w:val="11"/>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10.1.</w:t>
            </w:r>
          </w:p>
        </w:tc>
        <w:tc>
          <w:tcPr>
            <w:tcW w:w="320" w:type="dxa"/>
            <w:vAlign w:val="bottom"/>
          </w:tcPr>
          <w:p>
            <w:pPr>
              <w:spacing w:after="0"/>
              <w:rPr>
                <w:sz w:val="24"/>
                <w:szCs w:val="24"/>
                <w:color w:val="auto"/>
              </w:rPr>
            </w:pPr>
          </w:p>
        </w:tc>
        <w:tc>
          <w:tcPr>
            <w:tcW w:w="424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rPr>
              <w:t>Transactions with Affiliates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10.2.</w:t>
            </w:r>
          </w:p>
        </w:tc>
        <w:tc>
          <w:tcPr>
            <w:tcW w:w="320" w:type="dxa"/>
            <w:vAlign w:val="bottom"/>
          </w:tcPr>
          <w:p>
            <w:pPr>
              <w:spacing w:after="0"/>
              <w:rPr>
                <w:sz w:val="19"/>
                <w:szCs w:val="19"/>
                <w:color w:val="auto"/>
              </w:rPr>
            </w:pPr>
          </w:p>
        </w:tc>
        <w:tc>
          <w:tcPr>
            <w:tcW w:w="2400" w:type="dxa"/>
            <w:vAlign w:val="bottom"/>
            <w:tcBorders>
              <w:top w:val="single" w:sz="8" w:color="0000EE"/>
            </w:tcBorders>
            <w:gridSpan w:val="21"/>
          </w:tcPr>
          <w:p>
            <w:pPr>
              <w:spacing w:after="0" w:line="223" w:lineRule="exact"/>
              <w:rPr>
                <w:sz w:val="20"/>
                <w:szCs w:val="20"/>
                <w:color w:val="auto"/>
              </w:rPr>
            </w:pPr>
            <w:r>
              <w:rPr>
                <w:rFonts w:ascii="Times New Roman" w:cs="Times New Roman" w:eastAsia="Times New Roman" w:hAnsi="Times New Roman"/>
                <w:sz w:val="22"/>
                <w:szCs w:val="22"/>
                <w:color w:val="0000EE"/>
                <w:w w:val="99"/>
              </w:rPr>
              <w:t>Merger, Consolidation, Etc</w:t>
            </w:r>
          </w:p>
        </w:tc>
        <w:tc>
          <w:tcPr>
            <w:tcW w:w="1840" w:type="dxa"/>
            <w:vAlign w:val="bottom"/>
            <w:gridSpan w:val="5"/>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19</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10.3.</w:t>
            </w:r>
          </w:p>
        </w:tc>
        <w:tc>
          <w:tcPr>
            <w:tcW w:w="320" w:type="dxa"/>
            <w:vAlign w:val="bottom"/>
          </w:tcPr>
          <w:p>
            <w:pPr>
              <w:spacing w:after="0"/>
              <w:rPr>
                <w:sz w:val="19"/>
                <w:szCs w:val="19"/>
                <w:color w:val="auto"/>
              </w:rPr>
            </w:pPr>
          </w:p>
        </w:tc>
        <w:tc>
          <w:tcPr>
            <w:tcW w:w="1420" w:type="dxa"/>
            <w:vAlign w:val="bottom"/>
            <w:tcBorders>
              <w:top w:val="single" w:sz="8" w:color="0000EE"/>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color w:val="0000EE"/>
                <w:w w:val="93"/>
              </w:rPr>
              <w:t>Line of Business</w:t>
            </w:r>
          </w:p>
        </w:tc>
        <w:tc>
          <w:tcPr>
            <w:tcW w:w="920" w:type="dxa"/>
            <w:vAlign w:val="bottom"/>
            <w:tcBorders>
              <w:top w:val="single" w:sz="8" w:color="0000EE"/>
            </w:tcBorders>
            <w:gridSpan w:val="16"/>
          </w:tcPr>
          <w:p>
            <w:pPr>
              <w:spacing w:after="0"/>
              <w:rPr>
                <w:sz w:val="19"/>
                <w:szCs w:val="19"/>
                <w:color w:val="auto"/>
              </w:rPr>
            </w:pPr>
          </w:p>
        </w:tc>
        <w:tc>
          <w:tcPr>
            <w:tcW w:w="1900" w:type="dxa"/>
            <w:vAlign w:val="bottom"/>
            <w:gridSpan w:val="6"/>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19</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10.4.</w:t>
            </w:r>
          </w:p>
        </w:tc>
        <w:tc>
          <w:tcPr>
            <w:tcW w:w="320" w:type="dxa"/>
            <w:vAlign w:val="bottom"/>
          </w:tcPr>
          <w:p>
            <w:pPr>
              <w:spacing w:after="0"/>
              <w:rPr>
                <w:sz w:val="19"/>
                <w:szCs w:val="19"/>
                <w:color w:val="auto"/>
              </w:rPr>
            </w:pPr>
          </w:p>
        </w:tc>
        <w:tc>
          <w:tcPr>
            <w:tcW w:w="4240" w:type="dxa"/>
            <w:vAlign w:val="bottom"/>
            <w:gridSpan w:val="26"/>
          </w:tcPr>
          <w:p>
            <w:pPr>
              <w:spacing w:after="0" w:line="223" w:lineRule="exact"/>
              <w:rPr>
                <w:sz w:val="20"/>
                <w:szCs w:val="20"/>
                <w:color w:val="auto"/>
              </w:rPr>
            </w:pPr>
            <w:r>
              <w:rPr>
                <w:rFonts w:ascii="Times New Roman" w:cs="Times New Roman" w:eastAsia="Times New Roman" w:hAnsi="Times New Roman"/>
                <w:sz w:val="22"/>
                <w:szCs w:val="22"/>
                <w:color w:val="0000EE"/>
              </w:rPr>
              <w:t>Economic Sanctions, Etc.</w:t>
            </w: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w:t>
            </w:r>
          </w:p>
        </w:tc>
      </w:tr>
      <w:tr>
        <w:trPr>
          <w:trHeight w:val="20"/>
        </w:trPr>
        <w:tc>
          <w:tcPr>
            <w:tcW w:w="194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6180" w:type="dxa"/>
            <w:vAlign w:val="bottom"/>
            <w:gridSpan w:val="28"/>
          </w:tcPr>
          <w:p>
            <w:pPr>
              <w:spacing w:after="0"/>
              <w:rPr>
                <w:sz w:val="20"/>
                <w:szCs w:val="20"/>
                <w:color w:val="auto"/>
              </w:rPr>
            </w:pPr>
            <w:r>
              <w:rPr>
                <w:rFonts w:ascii="Times New Roman" w:cs="Times New Roman" w:eastAsia="Times New Roman" w:hAnsi="Times New Roman"/>
                <w:sz w:val="22"/>
                <w:szCs w:val="22"/>
                <w:color w:val="auto"/>
                <w:w w:val="96"/>
              </w:rPr>
              <w:t>SECTION 11.</w:t>
            </w:r>
            <w:r>
              <w:rPr>
                <w:rFonts w:ascii="Times New Roman" w:cs="Times New Roman" w:eastAsia="Times New Roman" w:hAnsi="Times New Roman"/>
                <w:sz w:val="22"/>
                <w:szCs w:val="22"/>
                <w:color w:val="0000EE"/>
                <w:w w:val="96"/>
              </w:rPr>
              <w:t>PAYMENTS ON BONDS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0"/>
        </w:trPr>
        <w:tc>
          <w:tcPr>
            <w:tcW w:w="1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11.1.</w:t>
            </w:r>
          </w:p>
        </w:tc>
        <w:tc>
          <w:tcPr>
            <w:tcW w:w="320" w:type="dxa"/>
            <w:vAlign w:val="bottom"/>
          </w:tcPr>
          <w:p>
            <w:pPr>
              <w:spacing w:after="0"/>
              <w:rPr>
                <w:sz w:val="24"/>
                <w:szCs w:val="24"/>
                <w:color w:val="auto"/>
              </w:rPr>
            </w:pPr>
          </w:p>
        </w:tc>
        <w:tc>
          <w:tcPr>
            <w:tcW w:w="23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2"/>
                <w:szCs w:val="22"/>
                <w:color w:val="0000EE"/>
                <w:w w:val="97"/>
              </w:rPr>
              <w:t>Payment by Wire Transfer</w:t>
            </w:r>
          </w:p>
        </w:tc>
        <w:tc>
          <w:tcPr>
            <w:tcW w:w="194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66"/>
        </w:trPr>
        <w:tc>
          <w:tcPr>
            <w:tcW w:w="618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color w:val="0000EE"/>
              </w:rPr>
              <w:t>REGISTRATION; EXCHANGE; EXPENSES, ETC</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12.1.</w:t>
            </w:r>
          </w:p>
        </w:tc>
        <w:tc>
          <w:tcPr>
            <w:tcW w:w="320" w:type="dxa"/>
            <w:vAlign w:val="bottom"/>
            <w:tcBorders>
              <w:top w:val="single" w:sz="8" w:color="0000EE"/>
            </w:tcBorders>
          </w:tcPr>
          <w:p>
            <w:pPr>
              <w:spacing w:after="0"/>
              <w:rPr>
                <w:sz w:val="24"/>
                <w:szCs w:val="24"/>
                <w:color w:val="auto"/>
              </w:rPr>
            </w:pPr>
          </w:p>
        </w:tc>
        <w:tc>
          <w:tcPr>
            <w:tcW w:w="424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22"/>
                <w:szCs w:val="22"/>
                <w:color w:val="0000EE"/>
              </w:rPr>
              <w:t>Registration of Bonds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12.2.</w:t>
            </w:r>
          </w:p>
        </w:tc>
        <w:tc>
          <w:tcPr>
            <w:tcW w:w="320" w:type="dxa"/>
            <w:vAlign w:val="bottom"/>
          </w:tcPr>
          <w:p>
            <w:pPr>
              <w:spacing w:after="0"/>
              <w:rPr>
                <w:sz w:val="19"/>
                <w:szCs w:val="19"/>
                <w:color w:val="auto"/>
              </w:rPr>
            </w:pPr>
          </w:p>
        </w:tc>
        <w:tc>
          <w:tcPr>
            <w:tcW w:w="190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w w:val="97"/>
              </w:rPr>
              <w:t>Transaction Expenses</w:t>
            </w:r>
          </w:p>
        </w:tc>
        <w:tc>
          <w:tcPr>
            <w:tcW w:w="2340" w:type="dxa"/>
            <w:vAlign w:val="bottom"/>
            <w:gridSpan w:val="16"/>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12.3.</w:t>
            </w:r>
          </w:p>
        </w:tc>
        <w:tc>
          <w:tcPr>
            <w:tcW w:w="320" w:type="dxa"/>
            <w:vAlign w:val="bottom"/>
          </w:tcPr>
          <w:p>
            <w:pPr>
              <w:spacing w:after="0"/>
              <w:rPr>
                <w:sz w:val="19"/>
                <w:szCs w:val="19"/>
                <w:color w:val="auto"/>
              </w:rPr>
            </w:pPr>
          </w:p>
        </w:tc>
        <w:tc>
          <w:tcPr>
            <w:tcW w:w="740" w:type="dxa"/>
            <w:vAlign w:val="bottom"/>
            <w:tcBorders>
              <w:top w:val="single" w:sz="8" w:color="0000EE"/>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EE"/>
                <w:w w:val="96"/>
              </w:rPr>
              <w:t>Survival</w:t>
            </w:r>
          </w:p>
        </w:tc>
        <w:tc>
          <w:tcPr>
            <w:tcW w:w="1140" w:type="dxa"/>
            <w:vAlign w:val="bottom"/>
            <w:tcBorders>
              <w:top w:val="single" w:sz="8" w:color="0000EE"/>
            </w:tcBorders>
            <w:gridSpan w:val="7"/>
          </w:tcPr>
          <w:p>
            <w:pPr>
              <w:spacing w:after="0"/>
              <w:rPr>
                <w:sz w:val="19"/>
                <w:szCs w:val="19"/>
                <w:color w:val="auto"/>
              </w:rPr>
            </w:pPr>
          </w:p>
        </w:tc>
        <w:tc>
          <w:tcPr>
            <w:tcW w:w="2360" w:type="dxa"/>
            <w:vAlign w:val="bottom"/>
            <w:gridSpan w:val="17"/>
          </w:tcPr>
          <w:p>
            <w:pPr>
              <w:spacing w:after="0"/>
              <w:rPr>
                <w:sz w:val="19"/>
                <w:szCs w:val="19"/>
                <w:color w:val="auto"/>
              </w:rPr>
            </w:pP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21</w:t>
            </w: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12.4.</w:t>
            </w:r>
          </w:p>
        </w:tc>
        <w:tc>
          <w:tcPr>
            <w:tcW w:w="320" w:type="dxa"/>
            <w:vAlign w:val="bottom"/>
          </w:tcPr>
          <w:p>
            <w:pPr>
              <w:spacing w:after="0"/>
              <w:rPr>
                <w:sz w:val="19"/>
                <w:szCs w:val="19"/>
                <w:color w:val="auto"/>
              </w:rPr>
            </w:pPr>
          </w:p>
        </w:tc>
        <w:tc>
          <w:tcPr>
            <w:tcW w:w="4240" w:type="dxa"/>
            <w:vAlign w:val="bottom"/>
            <w:gridSpan w:val="26"/>
          </w:tcPr>
          <w:p>
            <w:pPr>
              <w:spacing w:after="0" w:line="223" w:lineRule="exact"/>
              <w:rPr>
                <w:sz w:val="20"/>
                <w:szCs w:val="20"/>
                <w:color w:val="auto"/>
              </w:rPr>
            </w:pPr>
            <w:r>
              <w:rPr>
                <w:rFonts w:ascii="Times New Roman" w:cs="Times New Roman" w:eastAsia="Times New Roman" w:hAnsi="Times New Roman"/>
                <w:sz w:val="22"/>
                <w:szCs w:val="22"/>
                <w:color w:val="0000EE"/>
              </w:rPr>
              <w:t>Tax Withholding</w:t>
            </w:r>
          </w:p>
        </w:tc>
        <w:tc>
          <w:tcPr>
            <w:tcW w:w="2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21</w:t>
            </w: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367030</wp:posOffset>
            </wp:positionV>
            <wp:extent cx="552894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52" w:name="page53"/>
    <w:bookmarkEnd w:id="52"/>
    <w:tbl>
      <w:tblPr>
        <w:tblLayout w:type="fixed"/>
        <w:tblInd w:w="180" w:type="dxa"/>
        <w:tblCellMar>
          <w:top w:w="0" w:type="dxa"/>
          <w:left w:w="0" w:type="dxa"/>
          <w:bottom w:w="0" w:type="dxa"/>
          <w:right w:w="0" w:type="dxa"/>
        </w:tblCellMar>
      </w:tblPr>
      <w:tr>
        <w:trPr>
          <w:trHeight w:val="253"/>
        </w:trPr>
        <w:tc>
          <w:tcPr>
            <w:tcW w:w="1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13.</w:t>
            </w:r>
          </w:p>
        </w:tc>
        <w:tc>
          <w:tcPr>
            <w:tcW w:w="65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rPr>
              <w:t>SURVIVAL OF REPRESENTATIONS AND WARRANTIES; ENTIRE</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154"/>
        </w:trPr>
        <w:tc>
          <w:tcPr>
            <w:tcW w:w="1620" w:type="dxa"/>
            <w:vAlign w:val="bottom"/>
            <w:vMerge w:val="continue"/>
          </w:tcPr>
          <w:p>
            <w:pPr>
              <w:spacing w:after="0"/>
              <w:rPr>
                <w:sz w:val="13"/>
                <w:szCs w:val="13"/>
                <w:color w:val="auto"/>
              </w:rPr>
            </w:pPr>
          </w:p>
        </w:tc>
        <w:tc>
          <w:tcPr>
            <w:tcW w:w="1340" w:type="dxa"/>
            <w:vAlign w:val="bottom"/>
            <w:tcBorders>
              <w:top w:val="single" w:sz="8" w:color="0000EE"/>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EE"/>
                <w:w w:val="97"/>
              </w:rPr>
              <w:t>AGREEMENT</w:t>
            </w:r>
          </w:p>
        </w:tc>
        <w:tc>
          <w:tcPr>
            <w:tcW w:w="4900" w:type="dxa"/>
            <w:vAlign w:val="bottom"/>
            <w:tcBorders>
              <w:top w:val="single" w:sz="8" w:color="0000EE"/>
            </w:tcBorders>
            <w:gridSpan w:val="17"/>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620" w:type="dxa"/>
            <w:vAlign w:val="bottom"/>
          </w:tcPr>
          <w:p>
            <w:pPr>
              <w:spacing w:after="0"/>
              <w:rPr>
                <w:sz w:val="6"/>
                <w:szCs w:val="6"/>
                <w:color w:val="auto"/>
              </w:rPr>
            </w:pPr>
          </w:p>
        </w:tc>
        <w:tc>
          <w:tcPr>
            <w:tcW w:w="1340" w:type="dxa"/>
            <w:vAlign w:val="bottom"/>
            <w:tcBorders>
              <w:bottom w:val="single" w:sz="8" w:color="0000EE"/>
            </w:tcBorders>
            <w:gridSpan w:val="3"/>
            <w:vMerge w:val="continue"/>
          </w:tcPr>
          <w:p>
            <w:pPr>
              <w:spacing w:after="0"/>
              <w:rPr>
                <w:sz w:val="6"/>
                <w:szCs w:val="6"/>
                <w:color w:val="auto"/>
              </w:rPr>
            </w:pPr>
          </w:p>
        </w:tc>
        <w:tc>
          <w:tcPr>
            <w:tcW w:w="4900" w:type="dxa"/>
            <w:vAlign w:val="bottom"/>
            <w:gridSpan w:val="17"/>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8120" w:type="dxa"/>
            <w:vAlign w:val="bottom"/>
            <w:gridSpan w:val="22"/>
          </w:tcPr>
          <w:p>
            <w:pPr>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color w:val="0000EE"/>
              </w:rPr>
              <w:t>AMENDMENT AND WAIVER</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14.1.</w:t>
            </w:r>
          </w:p>
        </w:tc>
        <w:tc>
          <w:tcPr>
            <w:tcW w:w="320" w:type="dxa"/>
            <w:vAlign w:val="bottom"/>
            <w:tcBorders>
              <w:top w:val="single" w:sz="8" w:color="0000EE"/>
            </w:tcBorders>
          </w:tcPr>
          <w:p>
            <w:pPr>
              <w:spacing w:after="0"/>
              <w:rPr>
                <w:sz w:val="24"/>
                <w:szCs w:val="24"/>
                <w:color w:val="auto"/>
              </w:rPr>
            </w:pPr>
          </w:p>
        </w:tc>
        <w:tc>
          <w:tcPr>
            <w:tcW w:w="25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22"/>
                <w:szCs w:val="22"/>
                <w:color w:val="0000EE"/>
              </w:rPr>
              <w:t>Requirements</w:t>
            </w:r>
          </w:p>
        </w:tc>
        <w:tc>
          <w:tcPr>
            <w:tcW w:w="36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14.2.</w:t>
            </w:r>
          </w:p>
        </w:tc>
        <w:tc>
          <w:tcPr>
            <w:tcW w:w="320" w:type="dxa"/>
            <w:vAlign w:val="bottom"/>
          </w:tcPr>
          <w:p>
            <w:pPr>
              <w:spacing w:after="0"/>
              <w:rPr>
                <w:sz w:val="19"/>
                <w:szCs w:val="19"/>
                <w:color w:val="auto"/>
              </w:rPr>
            </w:pPr>
          </w:p>
        </w:tc>
        <w:tc>
          <w:tcPr>
            <w:tcW w:w="1200" w:type="dxa"/>
            <w:vAlign w:val="bottom"/>
            <w:tcBorders>
              <w:top w:val="single" w:sz="8" w:color="0000EE"/>
            </w:tcBorders>
            <w:gridSpan w:val="5"/>
          </w:tcPr>
          <w:p>
            <w:pPr>
              <w:spacing w:after="0" w:line="223" w:lineRule="exact"/>
              <w:rPr>
                <w:sz w:val="20"/>
                <w:szCs w:val="20"/>
                <w:color w:val="auto"/>
              </w:rPr>
            </w:pPr>
            <w:r>
              <w:rPr>
                <w:rFonts w:ascii="Times New Roman" w:cs="Times New Roman" w:eastAsia="Times New Roman" w:hAnsi="Times New Roman"/>
                <w:sz w:val="22"/>
                <w:szCs w:val="22"/>
                <w:color w:val="0000EE"/>
                <w:w w:val="94"/>
              </w:rPr>
              <w:t>Solicitation of</w:t>
            </w:r>
          </w:p>
        </w:tc>
        <w:tc>
          <w:tcPr>
            <w:tcW w:w="4980" w:type="dxa"/>
            <w:vAlign w:val="bottom"/>
            <w:gridSpan w:val="15"/>
          </w:tcPr>
          <w:p>
            <w:pPr>
              <w:ind w:left="100"/>
              <w:spacing w:after="0" w:line="223" w:lineRule="exact"/>
              <w:rPr>
                <w:sz w:val="20"/>
                <w:szCs w:val="20"/>
                <w:color w:val="auto"/>
              </w:rPr>
            </w:pPr>
            <w:r>
              <w:rPr>
                <w:rFonts w:ascii="Times New Roman" w:cs="Times New Roman" w:eastAsia="Times New Roman" w:hAnsi="Times New Roman"/>
                <w:sz w:val="22"/>
                <w:szCs w:val="22"/>
                <w:color w:val="0000EE"/>
              </w:rPr>
              <w:t>Holders of Bonds</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14.3.</w:t>
            </w:r>
          </w:p>
        </w:tc>
        <w:tc>
          <w:tcPr>
            <w:tcW w:w="320" w:type="dxa"/>
            <w:vAlign w:val="bottom"/>
          </w:tcPr>
          <w:p>
            <w:pPr>
              <w:spacing w:after="0"/>
              <w:rPr>
                <w:sz w:val="19"/>
                <w:szCs w:val="19"/>
                <w:color w:val="auto"/>
              </w:rPr>
            </w:pPr>
          </w:p>
        </w:tc>
        <w:tc>
          <w:tcPr>
            <w:tcW w:w="1680" w:type="dxa"/>
            <w:vAlign w:val="bottom"/>
            <w:tcBorders>
              <w:top w:val="single" w:sz="8" w:color="0000EE"/>
              <w:bottom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w w:val="97"/>
              </w:rPr>
              <w:t>Binding Effect, Etc</w:t>
            </w:r>
          </w:p>
        </w:tc>
        <w:tc>
          <w:tcPr>
            <w:tcW w:w="1140" w:type="dxa"/>
            <w:vAlign w:val="bottom"/>
            <w:tcBorders>
              <w:top w:val="single" w:sz="8" w:color="0000EE"/>
            </w:tcBorders>
            <w:gridSpan w:val="5"/>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2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14.4.</w:t>
            </w:r>
          </w:p>
        </w:tc>
        <w:tc>
          <w:tcPr>
            <w:tcW w:w="320" w:type="dxa"/>
            <w:vAlign w:val="bottom"/>
          </w:tcPr>
          <w:p>
            <w:pPr>
              <w:spacing w:after="0"/>
              <w:rPr>
                <w:sz w:val="19"/>
                <w:szCs w:val="19"/>
                <w:color w:val="auto"/>
              </w:rPr>
            </w:pPr>
          </w:p>
        </w:tc>
        <w:tc>
          <w:tcPr>
            <w:tcW w:w="2580" w:type="dxa"/>
            <w:vAlign w:val="bottom"/>
            <w:tcBorders>
              <w:bottom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color w:val="0000EE"/>
                <w:w w:val="97"/>
              </w:rPr>
              <w:t>Bonds Held by Company, Etc</w:t>
            </w:r>
          </w:p>
        </w:tc>
        <w:tc>
          <w:tcPr>
            <w:tcW w:w="3600" w:type="dxa"/>
            <w:vAlign w:val="bottom"/>
            <w:gridSpan w:val="7"/>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15.</w:t>
            </w: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w w:val="96"/>
              </w:rPr>
              <w:t>NOTICES</w:t>
            </w:r>
          </w:p>
        </w:tc>
        <w:tc>
          <w:tcPr>
            <w:tcW w:w="5580" w:type="dxa"/>
            <w:vAlign w:val="bottom"/>
            <w:gridSpan w:val="19"/>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16.</w:t>
            </w:r>
          </w:p>
        </w:tc>
        <w:tc>
          <w:tcPr>
            <w:tcW w:w="65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rPr>
              <w:t>INDEMNIFICATION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120" w:type="dxa"/>
            <w:vAlign w:val="bottom"/>
            <w:gridSpan w:val="22"/>
          </w:tcPr>
          <w:p>
            <w:pPr>
              <w:spacing w:after="0"/>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color w:val="0000EE"/>
              </w:rPr>
              <w:t>REPRODUCTION OF DOCUMENTS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18.</w:t>
            </w:r>
          </w:p>
        </w:tc>
        <w:tc>
          <w:tcPr>
            <w:tcW w:w="34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22"/>
                <w:szCs w:val="22"/>
                <w:color w:val="0000EE"/>
              </w:rPr>
              <w:t>CONFIDENTIAL INFORMATION</w:t>
            </w:r>
          </w:p>
        </w:tc>
        <w:tc>
          <w:tcPr>
            <w:tcW w:w="310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466"/>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19.</w:t>
            </w:r>
          </w:p>
        </w:tc>
        <w:tc>
          <w:tcPr>
            <w:tcW w:w="31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rPr>
              <w:t>MISCELLANEOUS</w:t>
            </w:r>
          </w:p>
        </w:tc>
        <w:tc>
          <w:tcPr>
            <w:tcW w:w="338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19.1.</w:t>
            </w:r>
          </w:p>
        </w:tc>
        <w:tc>
          <w:tcPr>
            <w:tcW w:w="320" w:type="dxa"/>
            <w:vAlign w:val="bottom"/>
          </w:tcPr>
          <w:p>
            <w:pPr>
              <w:spacing w:after="0"/>
              <w:rPr>
                <w:sz w:val="24"/>
                <w:szCs w:val="24"/>
                <w:color w:val="auto"/>
              </w:rPr>
            </w:pPr>
          </w:p>
        </w:tc>
        <w:tc>
          <w:tcPr>
            <w:tcW w:w="6180" w:type="dxa"/>
            <w:vAlign w:val="bottom"/>
            <w:gridSpan w:val="20"/>
          </w:tcPr>
          <w:p>
            <w:pPr>
              <w:spacing w:after="0"/>
              <w:rPr>
                <w:sz w:val="20"/>
                <w:szCs w:val="20"/>
                <w:color w:val="auto"/>
              </w:rPr>
            </w:pPr>
            <w:r>
              <w:rPr>
                <w:rFonts w:ascii="Times New Roman" w:cs="Times New Roman" w:eastAsia="Times New Roman" w:hAnsi="Times New Roman"/>
                <w:sz w:val="22"/>
                <w:szCs w:val="22"/>
                <w:color w:val="0000EE"/>
              </w:rPr>
              <w:t>Successors and Assigns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19.2.</w:t>
            </w:r>
          </w:p>
        </w:tc>
        <w:tc>
          <w:tcPr>
            <w:tcW w:w="320" w:type="dxa"/>
            <w:vAlign w:val="bottom"/>
          </w:tcPr>
          <w:p>
            <w:pPr>
              <w:spacing w:after="0"/>
              <w:rPr>
                <w:sz w:val="19"/>
                <w:szCs w:val="19"/>
                <w:color w:val="auto"/>
              </w:rPr>
            </w:pPr>
          </w:p>
        </w:tc>
        <w:tc>
          <w:tcPr>
            <w:tcW w:w="206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Accounting Terms</w:t>
            </w:r>
          </w:p>
        </w:tc>
        <w:tc>
          <w:tcPr>
            <w:tcW w:w="1240" w:type="dxa"/>
            <w:vAlign w:val="bottom"/>
            <w:gridSpan w:val="6"/>
          </w:tcPr>
          <w:p>
            <w:pPr>
              <w:spacing w:after="0"/>
              <w:rPr>
                <w:sz w:val="19"/>
                <w:szCs w:val="19"/>
                <w:color w:val="auto"/>
              </w:rPr>
            </w:pPr>
          </w:p>
        </w:tc>
        <w:tc>
          <w:tcPr>
            <w:tcW w:w="660" w:type="dxa"/>
            <w:vAlign w:val="bottom"/>
          </w:tcPr>
          <w:p>
            <w:pPr>
              <w:spacing w:after="0"/>
              <w:rPr>
                <w:sz w:val="19"/>
                <w:szCs w:val="19"/>
                <w:color w:val="auto"/>
              </w:rPr>
            </w:pPr>
          </w:p>
        </w:tc>
        <w:tc>
          <w:tcPr>
            <w:tcW w:w="222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19.3.</w:t>
            </w:r>
          </w:p>
        </w:tc>
        <w:tc>
          <w:tcPr>
            <w:tcW w:w="320" w:type="dxa"/>
            <w:vAlign w:val="bottom"/>
          </w:tcPr>
          <w:p>
            <w:pPr>
              <w:spacing w:after="0"/>
              <w:rPr>
                <w:sz w:val="19"/>
                <w:szCs w:val="19"/>
                <w:color w:val="auto"/>
              </w:rPr>
            </w:pPr>
          </w:p>
        </w:tc>
        <w:tc>
          <w:tcPr>
            <w:tcW w:w="1600" w:type="dxa"/>
            <w:vAlign w:val="bottom"/>
            <w:tcBorders>
              <w:top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color w:val="0000EE"/>
              </w:rPr>
              <w:t>Severability</w:t>
            </w:r>
          </w:p>
        </w:tc>
        <w:tc>
          <w:tcPr>
            <w:tcW w:w="1700" w:type="dxa"/>
            <w:vAlign w:val="bottom"/>
            <w:gridSpan w:val="8"/>
          </w:tcPr>
          <w:p>
            <w:pPr>
              <w:spacing w:after="0"/>
              <w:rPr>
                <w:sz w:val="19"/>
                <w:szCs w:val="19"/>
                <w:color w:val="auto"/>
              </w:rPr>
            </w:pPr>
          </w:p>
        </w:tc>
        <w:tc>
          <w:tcPr>
            <w:tcW w:w="660" w:type="dxa"/>
            <w:vAlign w:val="bottom"/>
          </w:tcPr>
          <w:p>
            <w:pPr>
              <w:spacing w:after="0"/>
              <w:rPr>
                <w:sz w:val="19"/>
                <w:szCs w:val="19"/>
                <w:color w:val="auto"/>
              </w:rPr>
            </w:pPr>
          </w:p>
        </w:tc>
        <w:tc>
          <w:tcPr>
            <w:tcW w:w="222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19.4.</w:t>
            </w:r>
          </w:p>
        </w:tc>
        <w:tc>
          <w:tcPr>
            <w:tcW w:w="320" w:type="dxa"/>
            <w:vAlign w:val="bottom"/>
          </w:tcPr>
          <w:p>
            <w:pPr>
              <w:spacing w:after="0"/>
              <w:rPr>
                <w:sz w:val="19"/>
                <w:szCs w:val="19"/>
                <w:color w:val="auto"/>
              </w:rPr>
            </w:pPr>
          </w:p>
        </w:tc>
        <w:tc>
          <w:tcPr>
            <w:tcW w:w="1060" w:type="dxa"/>
            <w:vAlign w:val="bottom"/>
            <w:tcBorders>
              <w:top w:val="single" w:sz="8" w:color="0000EE"/>
            </w:tcBorders>
            <w:gridSpan w:val="3"/>
          </w:tcPr>
          <w:p>
            <w:pPr>
              <w:spacing w:after="0" w:line="223" w:lineRule="exact"/>
              <w:rPr>
                <w:sz w:val="20"/>
                <w:szCs w:val="20"/>
                <w:color w:val="auto"/>
              </w:rPr>
            </w:pPr>
            <w:r>
              <w:rPr>
                <w:rFonts w:ascii="Times New Roman" w:cs="Times New Roman" w:eastAsia="Times New Roman" w:hAnsi="Times New Roman"/>
                <w:sz w:val="22"/>
                <w:szCs w:val="22"/>
                <w:color w:val="0000EE"/>
                <w:w w:val="87"/>
              </w:rPr>
              <w:t>Construction,</w:t>
            </w:r>
          </w:p>
        </w:tc>
        <w:tc>
          <w:tcPr>
            <w:tcW w:w="60" w:type="dxa"/>
            <w:vAlign w:val="bottom"/>
          </w:tcPr>
          <w:p>
            <w:pPr>
              <w:spacing w:after="0"/>
              <w:rPr>
                <w:sz w:val="19"/>
                <w:szCs w:val="19"/>
                <w:color w:val="auto"/>
              </w:rPr>
            </w:pPr>
          </w:p>
        </w:tc>
        <w:tc>
          <w:tcPr>
            <w:tcW w:w="5060" w:type="dxa"/>
            <w:vAlign w:val="bottom"/>
            <w:gridSpan w:val="16"/>
          </w:tcPr>
          <w:p>
            <w:pPr>
              <w:ind w:left="120"/>
              <w:spacing w:after="0" w:line="223" w:lineRule="exact"/>
              <w:rPr>
                <w:sz w:val="20"/>
                <w:szCs w:val="20"/>
                <w:color w:val="auto"/>
              </w:rPr>
            </w:pPr>
            <w:r>
              <w:rPr>
                <w:rFonts w:ascii="Times New Roman" w:cs="Times New Roman" w:eastAsia="Times New Roman" w:hAnsi="Times New Roman"/>
                <w:sz w:val="22"/>
                <w:szCs w:val="22"/>
                <w:color w:val="0000EE"/>
              </w:rPr>
              <w:t>Etc</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19.5.</w:t>
            </w:r>
          </w:p>
        </w:tc>
        <w:tc>
          <w:tcPr>
            <w:tcW w:w="320" w:type="dxa"/>
            <w:vAlign w:val="bottom"/>
          </w:tcPr>
          <w:p>
            <w:pPr>
              <w:spacing w:after="0"/>
              <w:rPr>
                <w:sz w:val="19"/>
                <w:szCs w:val="19"/>
                <w:color w:val="auto"/>
              </w:rPr>
            </w:pPr>
          </w:p>
        </w:tc>
        <w:tc>
          <w:tcPr>
            <w:tcW w:w="152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color w:val="0000EE"/>
              </w:rPr>
              <w:t>Counterparts</w:t>
            </w:r>
          </w:p>
        </w:tc>
        <w:tc>
          <w:tcPr>
            <w:tcW w:w="1780" w:type="dxa"/>
            <w:vAlign w:val="bottom"/>
            <w:gridSpan w:val="9"/>
          </w:tcPr>
          <w:p>
            <w:pPr>
              <w:spacing w:after="0"/>
              <w:rPr>
                <w:sz w:val="19"/>
                <w:szCs w:val="19"/>
                <w:color w:val="auto"/>
              </w:rPr>
            </w:pPr>
          </w:p>
        </w:tc>
        <w:tc>
          <w:tcPr>
            <w:tcW w:w="660" w:type="dxa"/>
            <w:vAlign w:val="bottom"/>
          </w:tcPr>
          <w:p>
            <w:pPr>
              <w:spacing w:after="0"/>
              <w:rPr>
                <w:sz w:val="19"/>
                <w:szCs w:val="19"/>
                <w:color w:val="auto"/>
              </w:rPr>
            </w:pPr>
          </w:p>
        </w:tc>
        <w:tc>
          <w:tcPr>
            <w:tcW w:w="222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0"/>
        </w:trPr>
        <w:tc>
          <w:tcPr>
            <w:tcW w:w="16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Section 19.6.</w:t>
            </w:r>
          </w:p>
        </w:tc>
        <w:tc>
          <w:tcPr>
            <w:tcW w:w="32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4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line="20" w:lineRule="exact"/>
              <w:rPr>
                <w:sz w:val="1"/>
                <w:szCs w:val="1"/>
                <w:color w:val="auto"/>
              </w:rPr>
            </w:pPr>
          </w:p>
        </w:tc>
      </w:tr>
      <w:tr>
        <w:trPr>
          <w:trHeight w:val="223"/>
        </w:trPr>
        <w:tc>
          <w:tcPr>
            <w:tcW w:w="1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180" w:type="dxa"/>
            <w:vAlign w:val="bottom"/>
            <w:gridSpan w:val="20"/>
          </w:tcPr>
          <w:p>
            <w:pPr>
              <w:spacing w:after="0" w:line="223" w:lineRule="exact"/>
              <w:rPr>
                <w:sz w:val="20"/>
                <w:szCs w:val="20"/>
                <w:color w:val="auto"/>
              </w:rPr>
            </w:pPr>
            <w:r>
              <w:rPr>
                <w:rFonts w:ascii="Times New Roman" w:cs="Times New Roman" w:eastAsia="Times New Roman" w:hAnsi="Times New Roman"/>
                <w:sz w:val="22"/>
                <w:szCs w:val="22"/>
                <w:color w:val="0000EE"/>
              </w:rPr>
              <w:t>Governing Law</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19.7.</w:t>
            </w:r>
          </w:p>
        </w:tc>
        <w:tc>
          <w:tcPr>
            <w:tcW w:w="320" w:type="dxa"/>
            <w:vAlign w:val="bottom"/>
          </w:tcPr>
          <w:p>
            <w:pPr>
              <w:spacing w:after="0"/>
              <w:rPr>
                <w:sz w:val="19"/>
                <w:szCs w:val="19"/>
                <w:color w:val="auto"/>
              </w:rPr>
            </w:pPr>
          </w:p>
        </w:tc>
        <w:tc>
          <w:tcPr>
            <w:tcW w:w="1360" w:type="dxa"/>
            <w:vAlign w:val="bottom"/>
            <w:tcBorders>
              <w:top w:val="single" w:sz="8" w:color="0000EE"/>
            </w:tcBorders>
            <w:gridSpan w:val="6"/>
          </w:tcPr>
          <w:p>
            <w:pPr>
              <w:spacing w:after="0" w:line="223" w:lineRule="exact"/>
              <w:rPr>
                <w:sz w:val="20"/>
                <w:szCs w:val="20"/>
                <w:color w:val="auto"/>
              </w:rPr>
            </w:pPr>
            <w:r>
              <w:rPr>
                <w:rFonts w:ascii="Times New Roman" w:cs="Times New Roman" w:eastAsia="Times New Roman" w:hAnsi="Times New Roman"/>
                <w:sz w:val="22"/>
                <w:szCs w:val="22"/>
                <w:color w:val="0000EE"/>
                <w:w w:val="95"/>
              </w:rPr>
              <w:t>Jurisdiction and</w:t>
            </w:r>
          </w:p>
        </w:tc>
        <w:tc>
          <w:tcPr>
            <w:tcW w:w="4820" w:type="dxa"/>
            <w:vAlign w:val="bottom"/>
            <w:gridSpan w:val="14"/>
          </w:tcPr>
          <w:p>
            <w:pPr>
              <w:ind w:left="80"/>
              <w:spacing w:after="0" w:line="223" w:lineRule="exact"/>
              <w:rPr>
                <w:sz w:val="20"/>
                <w:szCs w:val="20"/>
                <w:color w:val="auto"/>
              </w:rPr>
            </w:pPr>
            <w:r>
              <w:rPr>
                <w:rFonts w:ascii="Times New Roman" w:cs="Times New Roman" w:eastAsia="Times New Roman" w:hAnsi="Times New Roman"/>
                <w:sz w:val="22"/>
                <w:szCs w:val="22"/>
                <w:color w:val="0000EE"/>
              </w:rPr>
              <w:t>Process; Waiver of Jury Trial</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23"/>
        </w:trPr>
        <w:tc>
          <w:tcPr>
            <w:tcW w:w="162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rPr>
              <w:t>Section 19.8.</w:t>
            </w:r>
          </w:p>
        </w:tc>
        <w:tc>
          <w:tcPr>
            <w:tcW w:w="320" w:type="dxa"/>
            <w:vAlign w:val="bottom"/>
          </w:tcPr>
          <w:p>
            <w:pPr>
              <w:spacing w:after="0"/>
              <w:rPr>
                <w:sz w:val="19"/>
                <w:szCs w:val="19"/>
                <w:color w:val="auto"/>
              </w:rPr>
            </w:pPr>
          </w:p>
        </w:tc>
        <w:tc>
          <w:tcPr>
            <w:tcW w:w="3300" w:type="dxa"/>
            <w:vAlign w:val="bottom"/>
            <w:tcBorders>
              <w:top w:val="single" w:sz="8" w:color="0000EE"/>
              <w:bottom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color w:val="0000EE"/>
                <w:w w:val="97"/>
              </w:rPr>
              <w:t>Payments Due on Non-Business Days</w:t>
            </w:r>
          </w:p>
        </w:tc>
        <w:tc>
          <w:tcPr>
            <w:tcW w:w="660" w:type="dxa"/>
            <w:vAlign w:val="bottom"/>
            <w:tcBorders>
              <w:top w:val="single" w:sz="8" w:color="0000EE"/>
            </w:tcBorders>
          </w:tcPr>
          <w:p>
            <w:pPr>
              <w:spacing w:after="0"/>
              <w:rPr>
                <w:sz w:val="19"/>
                <w:szCs w:val="19"/>
                <w:color w:val="auto"/>
              </w:rPr>
            </w:pPr>
          </w:p>
        </w:tc>
        <w:tc>
          <w:tcPr>
            <w:tcW w:w="222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367030</wp:posOffset>
            </wp:positionV>
            <wp:extent cx="552894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53" w:name="page54"/>
    <w:bookmarkEnd w:id="53"/>
    <w:tbl>
      <w:tblPr>
        <w:tblLayout w:type="fixed"/>
        <w:tblInd w:w="180" w:type="dxa"/>
        <w:tblCellMar>
          <w:top w:w="0" w:type="dxa"/>
          <w:left w:w="0" w:type="dxa"/>
          <w:bottom w:w="0" w:type="dxa"/>
          <w:right w:w="0" w:type="dxa"/>
        </w:tblCellMar>
      </w:tblP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700" w:type="dxa"/>
            <w:vAlign w:val="bottom"/>
          </w:tcPr>
          <w:p>
            <w:pPr>
              <w:spacing w:after="0"/>
              <w:rPr>
                <w:sz w:val="24"/>
                <w:szCs w:val="24"/>
                <w:color w:val="auto"/>
              </w:rPr>
            </w:pPr>
          </w:p>
        </w:tc>
        <w:tc>
          <w:tcPr>
            <w:tcW w:w="588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  Information Relating to Purchasers</w:t>
            </w: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Schedule B</w:t>
            </w:r>
          </w:p>
        </w:tc>
        <w:tc>
          <w:tcPr>
            <w:tcW w:w="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t>
            </w:r>
          </w:p>
        </w:tc>
        <w:tc>
          <w:tcPr>
            <w:tcW w:w="5880" w:type="dxa"/>
            <w:vAlign w:val="bottom"/>
          </w:tcPr>
          <w:p>
            <w:pPr>
              <w:jc w:val="right"/>
              <w:ind w:right="4452"/>
              <w:spacing w:after="0"/>
              <w:rPr>
                <w:sz w:val="20"/>
                <w:szCs w:val="20"/>
                <w:color w:val="auto"/>
              </w:rPr>
            </w:pPr>
            <w:r>
              <w:rPr>
                <w:rFonts w:ascii="Times New Roman" w:cs="Times New Roman" w:eastAsia="Times New Roman" w:hAnsi="Times New Roman"/>
                <w:sz w:val="22"/>
                <w:szCs w:val="22"/>
                <w:color w:val="auto"/>
                <w:w w:val="98"/>
              </w:rPr>
              <w:t>Defined Terms</w:t>
            </w: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Schedule 5.4</w:t>
            </w:r>
          </w:p>
        </w:tc>
        <w:tc>
          <w:tcPr>
            <w:tcW w:w="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5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Subsidiaries of the Company and Ownership of Subsidiary Stock</w:t>
            </w:r>
          </w:p>
        </w:tc>
      </w:tr>
      <w:tr>
        <w:trPr>
          <w:trHeight w:val="297"/>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Schedule 5.5</w:t>
            </w:r>
          </w:p>
        </w:tc>
        <w:tc>
          <w:tcPr>
            <w:tcW w:w="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5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Financial Statements</w:t>
            </w: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Schedule 5.15(a)</w:t>
            </w:r>
          </w:p>
        </w:tc>
        <w:tc>
          <w:tcPr>
            <w:tcW w:w="7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w:t>
            </w:r>
          </w:p>
        </w:tc>
        <w:tc>
          <w:tcPr>
            <w:tcW w:w="5880" w:type="dxa"/>
            <w:vAlign w:val="bottom"/>
          </w:tcPr>
          <w:p>
            <w:pPr>
              <w:jc w:val="right"/>
              <w:ind w:right="4452"/>
              <w:spacing w:after="0"/>
              <w:rPr>
                <w:sz w:val="20"/>
                <w:szCs w:val="20"/>
                <w:color w:val="auto"/>
              </w:rPr>
            </w:pPr>
            <w:r>
              <w:rPr>
                <w:rFonts w:ascii="Times New Roman" w:cs="Times New Roman" w:eastAsia="Times New Roman" w:hAnsi="Times New Roman"/>
                <w:sz w:val="22"/>
                <w:szCs w:val="22"/>
                <w:color w:val="auto"/>
              </w:rPr>
              <w:t>Existing Debt</w:t>
            </w:r>
          </w:p>
        </w:tc>
      </w:tr>
      <w:tr>
        <w:trPr>
          <w:trHeight w:val="284"/>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Schedule 5.15(b)</w:t>
            </w:r>
          </w:p>
        </w:tc>
        <w:tc>
          <w:tcPr>
            <w:tcW w:w="7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9"/>
              </w:rPr>
              <w:t>—</w:t>
            </w:r>
          </w:p>
        </w:tc>
        <w:tc>
          <w:tcPr>
            <w:tcW w:w="5880" w:type="dxa"/>
            <w:vAlign w:val="bottom"/>
          </w:tcPr>
          <w:p>
            <w:pPr>
              <w:jc w:val="right"/>
              <w:ind w:right="4132"/>
              <w:spacing w:after="0"/>
              <w:rPr>
                <w:sz w:val="20"/>
                <w:szCs w:val="20"/>
                <w:color w:val="auto"/>
              </w:rPr>
            </w:pPr>
            <w:r>
              <w:rPr>
                <w:rFonts w:ascii="Times New Roman" w:cs="Times New Roman" w:eastAsia="Times New Roman" w:hAnsi="Times New Roman"/>
                <w:sz w:val="22"/>
                <w:szCs w:val="22"/>
                <w:color w:val="auto"/>
              </w:rPr>
              <w:t>Debt Instruments</w:t>
            </w:r>
          </w:p>
        </w:tc>
      </w:tr>
      <w:tr>
        <w:trPr>
          <w:trHeight w:val="297"/>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658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  Form of Sixtieth Supplemental Indenture</w:t>
            </w: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Exhibit 4.4(a)</w:t>
            </w: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  Form of Opinion of Counsel for the Company</w:t>
            </w: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Exhibit 4.4(b)</w:t>
            </w: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  Form of Opinion of Special Counsel for the Company</w:t>
            </w: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Exhibit 4.4(c)</w:t>
            </w:r>
          </w:p>
        </w:tc>
        <w:tc>
          <w:tcPr>
            <w:tcW w:w="658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  Form of Opinion of Special Counsel for the Purchasers</w:t>
            </w: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Exhibit 12.4</w:t>
            </w:r>
          </w:p>
        </w:tc>
        <w:tc>
          <w:tcPr>
            <w:tcW w:w="7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w:t>
            </w:r>
          </w:p>
        </w:tc>
        <w:tc>
          <w:tcPr>
            <w:tcW w:w="5880" w:type="dxa"/>
            <w:vAlign w:val="bottom"/>
          </w:tcPr>
          <w:p>
            <w:pPr>
              <w:jc w:val="right"/>
              <w:ind w:right="1972"/>
              <w:spacing w:after="0"/>
              <w:rPr>
                <w:sz w:val="20"/>
                <w:szCs w:val="20"/>
                <w:color w:val="auto"/>
              </w:rPr>
            </w:pPr>
            <w:r>
              <w:rPr>
                <w:rFonts w:ascii="Times New Roman" w:cs="Times New Roman" w:eastAsia="Times New Roman" w:hAnsi="Times New Roman"/>
                <w:sz w:val="22"/>
                <w:szCs w:val="22"/>
                <w:color w:val="auto"/>
              </w:rPr>
              <w:t>Form of 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692785</wp:posOffset>
            </wp:positionV>
            <wp:extent cx="552894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54" w:name="page55"/>
    <w:bookmarkEnd w:id="54"/>
    <w:p>
      <w:pPr>
        <w:ind w:left="3380"/>
        <w:spacing w:after="0"/>
        <w:rPr>
          <w:sz w:val="20"/>
          <w:szCs w:val="20"/>
          <w:color w:val="auto"/>
        </w:rPr>
      </w:pPr>
      <w:r>
        <w:rPr>
          <w:rFonts w:ascii="Times New Roman" w:cs="Times New Roman" w:eastAsia="Times New Roman" w:hAnsi="Times New Roman"/>
          <w:sz w:val="22"/>
          <w:szCs w:val="22"/>
          <w:b w:val="1"/>
          <w:bCs w:val="1"/>
          <w:color w:val="auto"/>
        </w:rPr>
        <w:t>Aqua Pennsylvania, Inc.</w:t>
      </w:r>
    </w:p>
    <w:p>
      <w:pPr>
        <w:spacing w:after="0" w:line="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762 West Lancaster Avenue</w:t>
      </w:r>
    </w:p>
    <w:p>
      <w:pPr>
        <w:jc w:val="center"/>
        <w:ind w:right="19"/>
        <w:spacing w:after="0"/>
        <w:rPr>
          <w:sz w:val="20"/>
          <w:szCs w:val="20"/>
          <w:color w:val="auto"/>
        </w:rPr>
      </w:pPr>
      <w:r>
        <w:rPr>
          <w:rFonts w:ascii="Times New Roman" w:cs="Times New Roman" w:eastAsia="Times New Roman" w:hAnsi="Times New Roman"/>
          <w:sz w:val="22"/>
          <w:szCs w:val="22"/>
          <w:color w:val="auto"/>
        </w:rPr>
        <w:t>Bryn Mawr, Pennsylvania 19010-3489</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$125,000,000</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$125,000,000 First Mortgage Bonds, 4.50% Series due December 1, 2052</w:t>
      </w:r>
    </w:p>
    <w:p>
      <w:pPr>
        <w:spacing w:after="0" w:line="247"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As of September 19, 2022</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To Each of the Purchasers Listed in</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Schedule A Hereto:</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0"/>
          <w:szCs w:val="20"/>
          <w:color w:val="auto"/>
        </w:rPr>
      </w:pPr>
    </w:p>
    <w:p>
      <w:pPr>
        <w:jc w:val="both"/>
        <w:ind w:left="180" w:right="199" w:firstLine="648"/>
        <w:spacing w:after="0" w:line="250" w:lineRule="auto"/>
        <w:rPr>
          <w:sz w:val="20"/>
          <w:szCs w:val="20"/>
          <w:color w:val="auto"/>
        </w:rPr>
      </w:pPr>
      <w:r>
        <w:rPr>
          <w:rFonts w:ascii="Times New Roman" w:cs="Times New Roman" w:eastAsia="Times New Roman" w:hAnsi="Times New Roman"/>
          <w:sz w:val="22"/>
          <w:szCs w:val="22"/>
          <w:color w:val="auto"/>
        </w:rPr>
        <w:t xml:space="preserve">Aqua Pennsylvania, Inc., a corporation organized under the laws of the Commonwealth of Pennsylvania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xml:space="preserve">), agrees with each of the purchasers whose names appear at the end hereof (each, a </w:t>
      </w:r>
      <w:r>
        <w:rPr>
          <w:rFonts w:ascii="Times New Roman" w:cs="Times New Roman" w:eastAsia="Times New Roman" w:hAnsi="Times New Roman"/>
          <w:sz w:val="22"/>
          <w:szCs w:val="22"/>
          <w:i w:val="1"/>
          <w:iCs w:val="1"/>
          <w:color w:val="auto"/>
        </w:rPr>
        <w:t>“Purchaser”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“Purchasers”</w:t>
      </w:r>
      <w:r>
        <w:rPr>
          <w:rFonts w:ascii="Times New Roman" w:cs="Times New Roman" w:eastAsia="Times New Roman" w:hAnsi="Times New Roman"/>
          <w:sz w:val="22"/>
          <w:szCs w:val="22"/>
          <w:color w:val="auto"/>
        </w:rPr>
        <w:t>) as follows:</w:t>
      </w:r>
    </w:p>
    <w:p>
      <w:pPr>
        <w:spacing w:after="0" w:line="249"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Authorization of Bonds.</w:t>
      </w:r>
    </w:p>
    <w:p>
      <w:pPr>
        <w:spacing w:after="0" w:line="247" w:lineRule="exact"/>
        <w:rPr>
          <w:sz w:val="20"/>
          <w:szCs w:val="20"/>
          <w:color w:val="auto"/>
        </w:rPr>
      </w:pPr>
    </w:p>
    <w:p>
      <w:pPr>
        <w:jc w:val="both"/>
        <w:ind w:left="180" w:right="199" w:firstLine="648"/>
        <w:spacing w:after="0"/>
        <w:rPr>
          <w:sz w:val="20"/>
          <w:szCs w:val="20"/>
          <w:color w:val="auto"/>
        </w:rPr>
      </w:pPr>
      <w:r>
        <w:rPr>
          <w:rFonts w:ascii="Times New Roman" w:cs="Times New Roman" w:eastAsia="Times New Roman" w:hAnsi="Times New Roman"/>
          <w:sz w:val="22"/>
          <w:szCs w:val="22"/>
          <w:color w:val="auto"/>
        </w:rPr>
        <w:t xml:space="preserve">The Company will authorize the issue and sale of First Mortgage Bonds, 4.50% Series due December 1, 2052 (herein referred to as the </w:t>
      </w:r>
      <w:r>
        <w:rPr>
          <w:rFonts w:ascii="Times New Roman" w:cs="Times New Roman" w:eastAsia="Times New Roman" w:hAnsi="Times New Roman"/>
          <w:sz w:val="22"/>
          <w:szCs w:val="22"/>
          <w:i w:val="1"/>
          <w:iCs w:val="1"/>
          <w:color w:val="auto"/>
        </w:rPr>
        <w:t>“4.50% Series due December 1, 2052 Bonds”</w:t>
      </w:r>
      <w:r>
        <w:rPr>
          <w:rFonts w:ascii="Times New Roman" w:cs="Times New Roman" w:eastAsia="Times New Roman" w:hAnsi="Times New Roman"/>
          <w:sz w:val="22"/>
          <w:szCs w:val="22"/>
          <w:color w:val="auto"/>
        </w:rPr>
        <w:t xml:space="preserve">) in an aggregate principal amount of $125,000,000, to bear interest at the rate of 4.50% per annum, and to mature on December 1, 2052 (the 4.50% Series due December 1, 2052 Bonds are collectively referred to as the </w:t>
      </w:r>
      <w:r>
        <w:rPr>
          <w:rFonts w:ascii="Times New Roman" w:cs="Times New Roman" w:eastAsia="Times New Roman" w:hAnsi="Times New Roman"/>
          <w:sz w:val="22"/>
          <w:szCs w:val="22"/>
          <w:i w:val="1"/>
          <w:iCs w:val="1"/>
          <w:color w:val="auto"/>
        </w:rPr>
        <w:t>“Bonds”</w:t>
      </w:r>
      <w:r>
        <w:rPr>
          <w:rFonts w:ascii="Times New Roman" w:cs="Times New Roman" w:eastAsia="Times New Roman" w:hAnsi="Times New Roman"/>
          <w:sz w:val="22"/>
          <w:szCs w:val="22"/>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“Original Indenture”</w:t>
      </w:r>
      <w:r>
        <w:rPr>
          <w:rFonts w:ascii="Times New Roman" w:cs="Times New Roman" w:eastAsia="Times New Roman" w:hAnsi="Times New Roman"/>
          <w:sz w:val="22"/>
          <w:szCs w:val="22"/>
          <w:color w:val="auto"/>
        </w:rPr>
        <w:t xml:space="preserve">), as previously amended and supplemented by fifty-nine supplemental indentures and as further supplemented by the Sixtieth Supplemental Indenture dated as of September 1, 2022 (such Sixtieth Supplemental Indenture being referred to herein as the </w:t>
      </w:r>
      <w:r>
        <w:rPr>
          <w:rFonts w:ascii="Times New Roman" w:cs="Times New Roman" w:eastAsia="Times New Roman" w:hAnsi="Times New Roman"/>
          <w:sz w:val="22"/>
          <w:szCs w:val="22"/>
          <w:i w:val="1"/>
          <w:iCs w:val="1"/>
          <w:color w:val="auto"/>
        </w:rPr>
        <w:t>“Supplement”</w:t>
      </w:r>
      <w:r>
        <w:rPr>
          <w:rFonts w:ascii="Times New Roman" w:cs="Times New Roman" w:eastAsia="Times New Roman" w:hAnsi="Times New Roman"/>
          <w:sz w:val="22"/>
          <w:szCs w:val="22"/>
          <w:color w:val="auto"/>
        </w:rPr>
        <w:t xml:space="preserve">) which will be substantially in the form attached hereto as </w:t>
      </w:r>
      <w:r>
        <w:rPr>
          <w:rFonts w:ascii="Times New Roman" w:cs="Times New Roman" w:eastAsia="Times New Roman" w:hAnsi="Times New Roman"/>
          <w:sz w:val="22"/>
          <w:szCs w:val="22"/>
          <w:i w:val="1"/>
          <w:iCs w:val="1"/>
          <w:color w:val="auto"/>
        </w:rPr>
        <w:t>Exhibit A</w:t>
      </w:r>
      <w:r>
        <w:rPr>
          <w:rFonts w:ascii="Times New Roman" w:cs="Times New Roman" w:eastAsia="Times New Roman" w:hAnsi="Times New Roman"/>
          <w:sz w:val="22"/>
          <w:szCs w:val="22"/>
          <w:color w:val="auto"/>
        </w:rPr>
        <w:t xml:space="preserve">, with such changes therein, if any, as shall be approved by the Purchasers and the Company. The Original Indenture, as supplemented and amended by the aforementioned fifty-nine supplemental indentures and the Supplement, and as further supplemented or amended according to its terms, is hereinafter referred to as the </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xml:space="preserve"> Certain capitalized and other terms used in this Agreement are defined in </w:t>
      </w:r>
      <w:r>
        <w:rPr>
          <w:rFonts w:ascii="Times New Roman" w:cs="Times New Roman" w:eastAsia="Times New Roman" w:hAnsi="Times New Roman"/>
          <w:sz w:val="22"/>
          <w:szCs w:val="22"/>
          <w:i w:val="1"/>
          <w:iCs w:val="1"/>
          <w:color w:val="auto"/>
        </w:rPr>
        <w:t>Schedule B</w:t>
      </w:r>
      <w:r>
        <w:rPr>
          <w:rFonts w:ascii="Times New Roman" w:cs="Times New Roman" w:eastAsia="Times New Roman" w:hAnsi="Times New Roman"/>
          <w:sz w:val="22"/>
          <w:szCs w:val="22"/>
          <w:color w:val="auto"/>
        </w:rPr>
        <w:t xml:space="preserve">; and references to a </w:t>
      </w:r>
      <w:r>
        <w:rPr>
          <w:rFonts w:ascii="Times New Roman" w:cs="Times New Roman" w:eastAsia="Times New Roman" w:hAnsi="Times New Roman"/>
          <w:sz w:val="22"/>
          <w:szCs w:val="22"/>
          <w:i w:val="1"/>
          <w:iCs w:val="1"/>
          <w:color w:val="auto"/>
        </w:rPr>
        <w:t>“Schedule”</w:t>
      </w:r>
      <w:r>
        <w:rPr>
          <w:rFonts w:ascii="Times New Roman" w:cs="Times New Roman" w:eastAsia="Times New Roman" w:hAnsi="Times New Roman"/>
          <w:sz w:val="22"/>
          <w:szCs w:val="22"/>
          <w:color w:val="auto"/>
        </w:rPr>
        <w:t xml:space="preserve"> or an </w:t>
      </w:r>
      <w:r>
        <w:rPr>
          <w:rFonts w:ascii="Times New Roman" w:cs="Times New Roman" w:eastAsia="Times New Roman" w:hAnsi="Times New Roman"/>
          <w:sz w:val="22"/>
          <w:szCs w:val="22"/>
          <w:i w:val="1"/>
          <w:iCs w:val="1"/>
          <w:color w:val="auto"/>
        </w:rPr>
        <w:t>“Exhibit”</w:t>
      </w:r>
      <w:r>
        <w:rPr>
          <w:rFonts w:ascii="Times New Roman" w:cs="Times New Roman" w:eastAsia="Times New Roman" w:hAnsi="Times New Roman"/>
          <w:sz w:val="22"/>
          <w:szCs w:val="22"/>
          <w:color w:val="auto"/>
        </w:rPr>
        <w:t xml:space="preserve"> are, unless otherwise specified, to a Schedule or an Exhibit attached to this Agreement. Terms used herein but not defined herein shall have the meanings set forth in the Indenture.</w:t>
      </w:r>
    </w:p>
    <w:p>
      <w:pPr>
        <w:spacing w:after="0" w:line="269"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Sale and Purchase of Bonds.</w:t>
      </w:r>
    </w:p>
    <w:p>
      <w:pPr>
        <w:spacing w:after="0" w:line="260"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Subject to the terms and conditions of this Agreement, the Company will issue and sell to each Purchaser and each Purchaser will purchase from the Company, at the Closing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345440</wp:posOffset>
            </wp:positionV>
            <wp:extent cx="552894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55" w:name="page56"/>
    <w:bookmarkEnd w:id="55"/>
    <w:p>
      <w:pPr>
        <w:jc w:val="both"/>
        <w:ind w:left="180" w:right="199"/>
        <w:spacing w:after="0" w:line="266" w:lineRule="exact"/>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Bonds in the principal amount opposite such Purchaser’s name in </w:t>
      </w:r>
      <w:r>
        <w:rPr>
          <w:rFonts w:ascii="Times New Roman" w:cs="Times New Roman" w:eastAsia="Times New Roman" w:hAnsi="Times New Roman"/>
          <w:sz w:val="22"/>
          <w:szCs w:val="22"/>
          <w:i w:val="1"/>
          <w:iCs w:val="1"/>
          <w:color w:val="auto"/>
        </w:rPr>
        <w:t>Schedule A</w:t>
      </w:r>
      <w:r>
        <w:rPr>
          <w:rFonts w:ascii="Times New Roman" w:cs="Times New Roman" w:eastAsia="Times New Roman" w:hAnsi="Times New Roman"/>
          <w:sz w:val="22"/>
          <w:szCs w:val="22"/>
          <w:color w:val="auto"/>
        </w:rPr>
        <w:t xml:space="preserv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performance of any obligation by any other Purchaser hereunder.</w:t>
      </w:r>
    </w:p>
    <w:p>
      <w:pPr>
        <w:spacing w:after="0" w:line="237"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Execution Date and Closing.</w:t>
      </w:r>
    </w:p>
    <w:p>
      <w:pPr>
        <w:spacing w:after="0" w:line="200" w:lineRule="exact"/>
        <w:rPr>
          <w:sz w:val="20"/>
          <w:szCs w:val="20"/>
          <w:color w:val="auto"/>
        </w:rPr>
      </w:pPr>
    </w:p>
    <w:p>
      <w:pPr>
        <w:spacing w:after="0" w:line="290" w:lineRule="exact"/>
        <w:rPr>
          <w:sz w:val="20"/>
          <w:szCs w:val="20"/>
          <w:color w:val="auto"/>
        </w:rPr>
      </w:pPr>
    </w:p>
    <w:p>
      <w:pPr>
        <w:jc w:val="both"/>
        <w:ind w:left="180" w:right="199" w:firstLine="648"/>
        <w:spacing w:after="0" w:line="253" w:lineRule="exact"/>
        <w:rPr>
          <w:sz w:val="20"/>
          <w:szCs w:val="20"/>
          <w:color w:val="auto"/>
        </w:rPr>
      </w:pPr>
      <w:r>
        <w:rPr>
          <w:rFonts w:ascii="Times New Roman" w:cs="Times New Roman" w:eastAsia="Times New Roman" w:hAnsi="Times New Roman"/>
          <w:sz w:val="22"/>
          <w:szCs w:val="22"/>
          <w:color w:val="auto"/>
        </w:rPr>
        <w:t xml:space="preserve">The execution and delivery of this Agreement will be made at the offices of Chapman and Cutler LLP, 320 South Canal Street, Chicago, Illinois 60606 on September 19, 2022 (the </w:t>
      </w:r>
      <w:r>
        <w:rPr>
          <w:rFonts w:ascii="Times New Roman" w:cs="Times New Roman" w:eastAsia="Times New Roman" w:hAnsi="Times New Roman"/>
          <w:sz w:val="22"/>
          <w:szCs w:val="22"/>
          <w:i w:val="1"/>
          <w:iCs w:val="1"/>
          <w:color w:val="auto"/>
        </w:rPr>
        <w:t>“Execution Date”</w:t>
      </w:r>
      <w:r>
        <w:rPr>
          <w:rFonts w:ascii="Times New Roman" w:cs="Times New Roman" w:eastAsia="Times New Roman" w:hAnsi="Times New Roman"/>
          <w:sz w:val="22"/>
          <w:szCs w:val="22"/>
          <w:color w:val="auto"/>
        </w:rPr>
        <w:t>). The sale and purchase of the Bonds to be purchased by each Purchaser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occur at 10:00 A.M., Chicago time, at a closing on October 20, 2022 or on such other Business Day thereafter on or prior to October 30, 2022 as may be agreed upon by the Company and the Purchasers (the </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000053. If at the Closing the Company shall fail to tender such Bonds to any Purchaser as provided above in this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or any of the conditions specified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not having been fulfilled to such Purchaser’s satisfaction.</w:t>
      </w:r>
    </w:p>
    <w:p>
      <w:pPr>
        <w:spacing w:after="0" w:line="269"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color w:val="auto"/>
        </w:rPr>
        <w:t>Conditions to Closing.</w:t>
      </w:r>
    </w:p>
    <w:p>
      <w:pPr>
        <w:spacing w:after="0" w:line="247" w:lineRule="exact"/>
        <w:rPr>
          <w:sz w:val="20"/>
          <w:szCs w:val="20"/>
          <w:color w:val="auto"/>
        </w:rPr>
      </w:pPr>
    </w:p>
    <w:p>
      <w:pPr>
        <w:jc w:val="both"/>
        <w:ind w:left="180" w:right="199" w:firstLine="648"/>
        <w:spacing w:after="0" w:line="250" w:lineRule="auto"/>
        <w:rPr>
          <w:sz w:val="20"/>
          <w:szCs w:val="20"/>
          <w:color w:val="auto"/>
        </w:rPr>
      </w:pPr>
      <w:r>
        <w:rPr>
          <w:rFonts w:ascii="Times New Roman" w:cs="Times New Roman" w:eastAsia="Times New Roman" w:hAnsi="Times New Roman"/>
          <w:sz w:val="22"/>
          <w:szCs w:val="22"/>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218"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Section 4.1. Representations and Warranties</w:t>
      </w:r>
      <w:r>
        <w:rPr>
          <w:rFonts w:ascii="Times New Roman" w:cs="Times New Roman" w:eastAsia="Times New Roman" w:hAnsi="Times New Roman"/>
          <w:sz w:val="22"/>
          <w:szCs w:val="22"/>
          <w:color w:val="auto"/>
        </w:rPr>
        <w:t>. The representations and warranties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in this Agreement shall be correct when made and at the time of the Closing.</w:t>
      </w:r>
    </w:p>
    <w:p>
      <w:pPr>
        <w:spacing w:after="0" w:line="204"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4.2. Performance; No Default</w:t>
      </w:r>
      <w:r>
        <w:rPr>
          <w:rFonts w:ascii="Times New Roman" w:cs="Times New Roman" w:eastAsia="Times New Roman" w:hAnsi="Times New Roman"/>
          <w:sz w:val="22"/>
          <w:szCs w:val="22"/>
          <w:color w:val="auto"/>
        </w:rPr>
        <w:t>. The Company shall have performed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complied with all agreements and conditions contained in each Financing Agreement required to be performed or complied with by the Company prior to or at the Closing, and after giving effect to the issue and sale of the Bonds (and the application of the proceeds thereof as contemplated by </w:t>
      </w:r>
      <w:r>
        <w:rPr>
          <w:rFonts w:ascii="Times New Roman" w:cs="Times New Roman" w:eastAsia="Times New Roman" w:hAnsi="Times New Roman"/>
          <w:sz w:val="22"/>
          <w:szCs w:val="22"/>
          <w:b w:val="1"/>
          <w:bCs w:val="1"/>
          <w:color w:val="auto"/>
        </w:rPr>
        <w:t>Section 5.14</w:t>
      </w:r>
      <w:r>
        <w:rPr>
          <w:rFonts w:ascii="Times New Roman" w:cs="Times New Roman" w:eastAsia="Times New Roman" w:hAnsi="Times New Roman"/>
          <w:sz w:val="22"/>
          <w:szCs w:val="22"/>
          <w:color w:val="auto"/>
        </w:rPr>
        <w:t>), no Default or Event of Default shall have occurred and be continuing.</w:t>
      </w:r>
    </w:p>
    <w:p>
      <w:pPr>
        <w:spacing w:after="0" w:line="226" w:lineRule="exact"/>
        <w:rPr>
          <w:sz w:val="20"/>
          <w:szCs w:val="20"/>
          <w:color w:val="auto"/>
        </w:rPr>
      </w:pPr>
    </w:p>
    <w:p>
      <w:pPr>
        <w:jc w:val="both"/>
        <w:ind w:left="180" w:right="199" w:firstLine="648"/>
        <w:spacing w:after="0" w:line="257" w:lineRule="auto"/>
        <w:rPr>
          <w:sz w:val="20"/>
          <w:szCs w:val="20"/>
          <w:color w:val="auto"/>
        </w:rPr>
      </w:pPr>
      <w:r>
        <w:rPr>
          <w:rFonts w:ascii="Times New Roman" w:cs="Times New Roman" w:eastAsia="Times New Roman" w:hAnsi="Times New Roman"/>
          <w:sz w:val="22"/>
          <w:szCs w:val="22"/>
          <w:i w:val="1"/>
          <w:iCs w:val="1"/>
          <w:color w:val="auto"/>
        </w:rPr>
        <w:t>Section 4.3. Compliance Certificates</w:t>
      </w:r>
      <w:r>
        <w:rPr>
          <w:rFonts w:ascii="Times New Roman" w:cs="Times New Roman" w:eastAsia="Times New Roman" w:hAnsi="Times New Roman"/>
          <w:sz w:val="22"/>
          <w:szCs w:val="22"/>
          <w:color w:val="auto"/>
        </w:rPr>
        <w:t>. The Company shall have performed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complied with all agreements and conditions contained in the Indenture which are required to be performed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56" w:name="page57"/>
    <w:bookmarkEnd w:id="56"/>
    <w:p>
      <w:pPr>
        <w:ind w:left="180"/>
        <w:spacing w:after="0"/>
        <w:rPr>
          <w:sz w:val="20"/>
          <w:szCs w:val="20"/>
          <w:color w:val="auto"/>
        </w:rPr>
      </w:pPr>
      <w:r>
        <w:rPr>
          <w:rFonts w:ascii="Times New Roman" w:cs="Times New Roman" w:eastAsia="Times New Roman" w:hAnsi="Times New Roman"/>
          <w:sz w:val="22"/>
          <w:szCs w:val="22"/>
          <w:color w:val="auto"/>
        </w:rPr>
        <w:t>or complied with by the Company for the issuance of the Bonds at the Closing.  In addition, the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Company shall have delivered the following certificates:</w:t>
      </w:r>
    </w:p>
    <w:p>
      <w:pPr>
        <w:spacing w:after="0" w:line="232" w:lineRule="exact"/>
        <w:rPr>
          <w:sz w:val="20"/>
          <w:szCs w:val="20"/>
          <w:color w:val="auto"/>
        </w:rPr>
      </w:pPr>
    </w:p>
    <w:p>
      <w:pPr>
        <w:ind w:left="1980" w:hanging="306"/>
        <w:spacing w:after="0"/>
        <w:tabs>
          <w:tab w:leader="none" w:pos="19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The Company shall have delivered to such Purchaser</w:t>
      </w:r>
    </w:p>
    <w:p>
      <w:pPr>
        <w:spacing w:after="0" w:line="18" w:lineRule="exact"/>
        <w:rPr>
          <w:rFonts w:ascii="Times New Roman" w:cs="Times New Roman" w:eastAsia="Times New Roman" w:hAnsi="Times New Roman"/>
          <w:sz w:val="22"/>
          <w:szCs w:val="22"/>
          <w:color w:val="auto"/>
        </w:rPr>
      </w:pPr>
    </w:p>
    <w:p>
      <w:pPr>
        <w:ind w:left="1140" w:hanging="308"/>
        <w:spacing w:after="0"/>
        <w:tabs>
          <w:tab w:leader="none" w:pos="11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dated the date of the Closing, certifying that the conditions</w:t>
      </w:r>
    </w:p>
    <w:p>
      <w:pPr>
        <w:spacing w:after="0" w:line="4" w:lineRule="exact"/>
        <w:rPr>
          <w:sz w:val="20"/>
          <w:szCs w:val="20"/>
          <w:color w:val="auto"/>
        </w:rPr>
      </w:pPr>
    </w:p>
    <w:p>
      <w:pPr>
        <w:jc w:val="both"/>
        <w:ind w:left="840" w:right="199"/>
        <w:spacing w:after="0" w:line="239" w:lineRule="auto"/>
        <w:rPr>
          <w:sz w:val="20"/>
          <w:szCs w:val="20"/>
          <w:color w:val="auto"/>
        </w:rPr>
      </w:pPr>
      <w:r>
        <w:rPr>
          <w:rFonts w:ascii="Times New Roman" w:cs="Times New Roman" w:eastAsia="Times New Roman" w:hAnsi="Times New Roman"/>
          <w:sz w:val="22"/>
          <w:szCs w:val="22"/>
          <w:color w:val="auto"/>
        </w:rPr>
        <w:t xml:space="preserve">specified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of this Agreement have been fulfilled, and (ii) copies of all certificates and opinions required to be delivered to the Trustee under the Indenture in connection with the issuance of the Bonds, in each case, dated the date of the Closing.</w:t>
      </w:r>
    </w:p>
    <w:p>
      <w:pPr>
        <w:spacing w:after="0" w:line="229" w:lineRule="exact"/>
        <w:rPr>
          <w:sz w:val="20"/>
          <w:szCs w:val="20"/>
          <w:color w:val="auto"/>
        </w:rPr>
      </w:pPr>
    </w:p>
    <w:p>
      <w:pPr>
        <w:jc w:val="both"/>
        <w:ind w:left="840" w:right="199" w:firstLine="902"/>
        <w:spacing w:after="0" w:line="244" w:lineRule="auto"/>
        <w:tabs>
          <w:tab w:leader="none" w:pos="208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Secretary’s Certificate. </w:t>
      </w:r>
      <w:r>
        <w:rPr>
          <w:rFonts w:ascii="Times New Roman" w:cs="Times New Roman" w:eastAsia="Times New Roman" w:hAnsi="Times New Roman"/>
          <w:sz w:val="22"/>
          <w:szCs w:val="22"/>
          <w:color w:val="auto"/>
        </w:rPr>
        <w:t>The Company shall have delivered to such Purchaser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certificate of its Secretary or Assistant Secretary, dated the date of the Closing, certifying as to the resolutions attached thereto and other corporate proceedings relating to the authorization, execution and delivery of this Agreement, the Bonds, under the Indenture, and the Supplement.</w:t>
      </w:r>
    </w:p>
    <w:p>
      <w:pPr>
        <w:spacing w:after="0" w:line="226" w:lineRule="exact"/>
        <w:rPr>
          <w:rFonts w:ascii="Times New Roman" w:cs="Times New Roman" w:eastAsia="Times New Roman" w:hAnsi="Times New Roman"/>
          <w:sz w:val="22"/>
          <w:szCs w:val="22"/>
          <w:color w:val="auto"/>
        </w:rPr>
      </w:pPr>
    </w:p>
    <w:p>
      <w:pPr>
        <w:jc w:val="both"/>
        <w:ind w:left="840" w:right="199" w:firstLine="902"/>
        <w:spacing w:after="0" w:line="245" w:lineRule="auto"/>
        <w:tabs>
          <w:tab w:leader="none" w:pos="207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Certification of Indenture. </w:t>
      </w:r>
      <w:r>
        <w:rPr>
          <w:rFonts w:ascii="Times New Roman" w:cs="Times New Roman" w:eastAsia="Times New Roman" w:hAnsi="Times New Roman"/>
          <w:sz w:val="22"/>
          <w:szCs w:val="22"/>
          <w:color w:val="auto"/>
        </w:rPr>
        <w:t>Such Purchaser shall have received a composite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copy of the Indenture (together with all amendments and supplements thereto), certified by the Company as of the date of the Closing, exclusive of property exhibits, recording information and the like.</w:t>
      </w:r>
    </w:p>
    <w:p>
      <w:pPr>
        <w:spacing w:after="0" w:line="223" w:lineRule="exact"/>
        <w:rPr>
          <w:sz w:val="20"/>
          <w:szCs w:val="20"/>
          <w:color w:val="auto"/>
        </w:rPr>
      </w:pPr>
    </w:p>
    <w:p>
      <w:pPr>
        <w:jc w:val="both"/>
        <w:ind w:left="180" w:right="199" w:firstLine="648"/>
        <w:spacing w:after="0"/>
        <w:rPr>
          <w:sz w:val="20"/>
          <w:szCs w:val="20"/>
          <w:color w:val="auto"/>
        </w:rPr>
      </w:pPr>
      <w:r>
        <w:rPr>
          <w:rFonts w:ascii="Times New Roman" w:cs="Times New Roman" w:eastAsia="Times New Roman" w:hAnsi="Times New Roman"/>
          <w:sz w:val="22"/>
          <w:szCs w:val="22"/>
          <w:i w:val="1"/>
          <w:iCs w:val="1"/>
          <w:color w:val="auto"/>
        </w:rPr>
        <w:t>Section 4.4. Opinions of Counsel</w:t>
      </w:r>
      <w:r>
        <w:rPr>
          <w:rFonts w:ascii="Times New Roman" w:cs="Times New Roman" w:eastAsia="Times New Roman" w:hAnsi="Times New Roman"/>
          <w:sz w:val="22"/>
          <w:szCs w:val="22"/>
          <w:color w:val="auto"/>
        </w:rPr>
        <w:t>. Such Purchaser shall have received opinions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form and substance satisfactory to such Purchaser, dated the date of the Closing (a) from Christopher P. Luning, counsel for the Company, covering the matters set forth in </w:t>
      </w:r>
      <w:r>
        <w:rPr>
          <w:rFonts w:ascii="Times New Roman" w:cs="Times New Roman" w:eastAsia="Times New Roman" w:hAnsi="Times New Roman"/>
          <w:sz w:val="22"/>
          <w:szCs w:val="22"/>
          <w:i w:val="1"/>
          <w:iCs w:val="1"/>
          <w:color w:val="auto"/>
        </w:rPr>
        <w:t>Exhibit 4.4(a)</w:t>
      </w:r>
      <w:r>
        <w:rPr>
          <w:rFonts w:ascii="Times New Roman" w:cs="Times New Roman" w:eastAsia="Times New Roman" w:hAnsi="Times New Roman"/>
          <w:sz w:val="22"/>
          <w:szCs w:val="22"/>
          <w:color w:val="auto"/>
        </w:rPr>
        <w:t xml:space="preserve"> and covering such other matters incident to the transactions contemplated hereby as such Purchaser or its counsel may reasonably request (and the Company hereby instructs its counsel to deliver such opinion to the Purchasers) and (b) from Dilworth Paxson, LLP, special counsel to the Company, covering the matters set forth in </w:t>
      </w:r>
      <w:r>
        <w:rPr>
          <w:rFonts w:ascii="Times New Roman" w:cs="Times New Roman" w:eastAsia="Times New Roman" w:hAnsi="Times New Roman"/>
          <w:sz w:val="22"/>
          <w:szCs w:val="22"/>
          <w:i w:val="1"/>
          <w:iCs w:val="1"/>
          <w:color w:val="auto"/>
        </w:rPr>
        <w:t>Exhibit 4.4(b)</w:t>
      </w:r>
      <w:r>
        <w:rPr>
          <w:rFonts w:ascii="Times New Roman" w:cs="Times New Roman" w:eastAsia="Times New Roman" w:hAnsi="Times New Roman"/>
          <w:sz w:val="22"/>
          <w:szCs w:val="22"/>
          <w:color w:val="auto"/>
        </w:rPr>
        <w:t xml:space="preserve">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w:t>
      </w:r>
      <w:r>
        <w:rPr>
          <w:rFonts w:ascii="Times New Roman" w:cs="Times New Roman" w:eastAsia="Times New Roman" w:hAnsi="Times New Roman"/>
          <w:sz w:val="22"/>
          <w:szCs w:val="22"/>
          <w:i w:val="1"/>
          <w:iCs w:val="1"/>
          <w:color w:val="auto"/>
        </w:rPr>
        <w:t>Exhibit 4.4(c)</w:t>
      </w:r>
      <w:r>
        <w:rPr>
          <w:rFonts w:ascii="Times New Roman" w:cs="Times New Roman" w:eastAsia="Times New Roman" w:hAnsi="Times New Roman"/>
          <w:sz w:val="22"/>
          <w:szCs w:val="22"/>
          <w:color w:val="auto"/>
        </w:rPr>
        <w:t xml:space="preserve"> and covering such other matters incident to such transactions as such Purchaser may reasonably request. The Company hereby directs its counsel to deliver the opinions required by this </w:t>
      </w:r>
      <w:r>
        <w:rPr>
          <w:rFonts w:ascii="Times New Roman" w:cs="Times New Roman" w:eastAsia="Times New Roman" w:hAnsi="Times New Roman"/>
          <w:sz w:val="22"/>
          <w:szCs w:val="22"/>
          <w:b w:val="1"/>
          <w:bCs w:val="1"/>
          <w:color w:val="auto"/>
        </w:rPr>
        <w:t>Section 4.4</w:t>
      </w:r>
      <w:r>
        <w:rPr>
          <w:rFonts w:ascii="Times New Roman" w:cs="Times New Roman" w:eastAsia="Times New Roman" w:hAnsi="Times New Roman"/>
          <w:sz w:val="22"/>
          <w:szCs w:val="22"/>
          <w:color w:val="auto"/>
        </w:rPr>
        <w:t xml:space="preserve"> and understands and agrees that each Purchaser will and hereby is authorized to rely on such opinions.</w:t>
      </w:r>
    </w:p>
    <w:p>
      <w:pPr>
        <w:spacing w:after="0" w:line="238"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4.5. Purchase Permitted by Applicable Law, Etc</w:t>
      </w:r>
      <w:r>
        <w:rPr>
          <w:rFonts w:ascii="Times New Roman" w:cs="Times New Roman" w:eastAsia="Times New Roman" w:hAnsi="Times New Roman"/>
          <w:sz w:val="22"/>
          <w:szCs w:val="22"/>
          <w:color w:val="auto"/>
        </w:rPr>
        <w:t>. On the date of the Closing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Purchaser’s 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57" w:name="page58"/>
    <w:bookmarkEnd w:id="57"/>
    <w:p>
      <w:pPr>
        <w:jc w:val="both"/>
        <w:ind w:left="180" w:right="19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Section 4.6. Sale of Bonds</w:t>
      </w:r>
      <w:r>
        <w:rPr>
          <w:rFonts w:ascii="Times New Roman" w:cs="Times New Roman" w:eastAsia="Times New Roman" w:hAnsi="Times New Roman"/>
          <w:sz w:val="22"/>
          <w:szCs w:val="22"/>
          <w:color w:val="auto"/>
        </w:rPr>
        <w:t>. Contemporaneously with the Closing, the Company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sell to each Purchaser and each Purchaser shall purchase the Bonds to be purchased by it as specified in </w:t>
      </w:r>
      <w:r>
        <w:rPr>
          <w:rFonts w:ascii="Times New Roman" w:cs="Times New Roman" w:eastAsia="Times New Roman" w:hAnsi="Times New Roman"/>
          <w:sz w:val="22"/>
          <w:szCs w:val="22"/>
          <w:i w:val="1"/>
          <w:iCs w:val="1"/>
          <w:color w:val="auto"/>
        </w:rPr>
        <w:t>Schedule A</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4.7. Payment of Special Counsel Fees</w:t>
      </w:r>
      <w:r>
        <w:rPr>
          <w:rFonts w:ascii="Times New Roman" w:cs="Times New Roman" w:eastAsia="Times New Roman" w:hAnsi="Times New Roman"/>
          <w:sz w:val="22"/>
          <w:szCs w:val="22"/>
          <w:color w:val="auto"/>
        </w:rPr>
        <w:t>. Without limiting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12.2</w:t>
      </w:r>
      <w:r>
        <w:rPr>
          <w:rFonts w:ascii="Times New Roman" w:cs="Times New Roman" w:eastAsia="Times New Roman" w:hAnsi="Times New Roman"/>
          <w:sz w:val="22"/>
          <w:szCs w:val="22"/>
          <w:color w:val="auto"/>
        </w:rPr>
        <w:t>, the Company shall have paid on or before the Closing the reasonable fees,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charges and reasonable disbursements of the Purchasers’ special counsel referred to in </w:t>
      </w:r>
      <w:r>
        <w:rPr>
          <w:rFonts w:ascii="Times New Roman" w:cs="Times New Roman" w:eastAsia="Times New Roman" w:hAnsi="Times New Roman"/>
          <w:sz w:val="22"/>
          <w:szCs w:val="22"/>
          <w:b w:val="1"/>
          <w:bCs w:val="1"/>
          <w:color w:val="auto"/>
        </w:rPr>
        <w:t xml:space="preserve">Section 4.4(c) </w:t>
      </w:r>
      <w:r>
        <w:rPr>
          <w:rFonts w:ascii="Times New Roman" w:cs="Times New Roman" w:eastAsia="Times New Roman" w:hAnsi="Times New Roman"/>
          <w:sz w:val="22"/>
          <w:szCs w:val="22"/>
          <w:color w:val="auto"/>
        </w:rPr>
        <w:t>to the extent reflected in a statement of such counsel rendered to the Company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least one Business Day prior to the Closing.</w:t>
      </w:r>
    </w:p>
    <w:p>
      <w:pPr>
        <w:spacing w:after="0" w:line="205" w:lineRule="exact"/>
        <w:rPr>
          <w:sz w:val="20"/>
          <w:szCs w:val="20"/>
          <w:color w:val="auto"/>
        </w:rPr>
      </w:pPr>
    </w:p>
    <w:p>
      <w:pPr>
        <w:jc w:val="both"/>
        <w:ind w:left="180" w:right="19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4.8. Private Placement Number</w:t>
      </w:r>
      <w:r>
        <w:rPr>
          <w:rFonts w:ascii="Times New Roman" w:cs="Times New Roman" w:eastAsia="Times New Roman" w:hAnsi="Times New Roman"/>
          <w:sz w:val="22"/>
          <w:szCs w:val="22"/>
          <w:color w:val="auto"/>
        </w:rPr>
        <w:t>. A Private Placement Number issued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PPN CUSIP Unit of CUSIP Global Services (in cooperation with the SVO) shall have been obtained for the Bonds issued at the Closing.</w:t>
      </w:r>
    </w:p>
    <w:p>
      <w:pPr>
        <w:spacing w:after="0" w:line="193"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4.9. Changes in Corporate Structure</w:t>
      </w:r>
      <w:r>
        <w:rPr>
          <w:rFonts w:ascii="Times New Roman" w:cs="Times New Roman" w:eastAsia="Times New Roman" w:hAnsi="Times New Roman"/>
          <w:sz w:val="22"/>
          <w:szCs w:val="22"/>
          <w:color w:val="auto"/>
        </w:rPr>
        <w:t>. The Company shall not have changed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Times New Roman" w:cs="Times New Roman" w:eastAsia="Times New Roman" w:hAnsi="Times New Roman"/>
          <w:sz w:val="22"/>
          <w:szCs w:val="22"/>
          <w:i w:val="1"/>
          <w:iCs w:val="1"/>
          <w:color w:val="auto"/>
        </w:rPr>
        <w:t>Schedule 5.5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Section 4.10. Funding Instructions</w:t>
      </w:r>
      <w:r>
        <w:rPr>
          <w:rFonts w:ascii="Times New Roman" w:cs="Times New Roman" w:eastAsia="Times New Roman" w:hAnsi="Times New Roman"/>
          <w:sz w:val="22"/>
          <w:szCs w:val="22"/>
          <w:color w:val="auto"/>
        </w:rPr>
        <w:t>. At least five (5) Business Days prior to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Closing, each Purchaser shall have received written instructions signed by a Responsible Officer on letterhead of the Company confirming the information specified in Section 3 including</w:t>
      </w:r>
    </w:p>
    <w:p>
      <w:pPr>
        <w:spacing w:after="0" w:line="3" w:lineRule="exact"/>
        <w:rPr>
          <w:sz w:val="20"/>
          <w:szCs w:val="20"/>
          <w:color w:val="auto"/>
        </w:rPr>
      </w:pPr>
    </w:p>
    <w:p>
      <w:pPr>
        <w:jc w:val="both"/>
        <w:ind w:left="180" w:right="199" w:firstLine="4"/>
        <w:spacing w:after="0" w:line="239" w:lineRule="auto"/>
        <w:tabs>
          <w:tab w:leader="none" w:pos="50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transferee bank, (b) such transferee bank’s ABA number/Swift Code/IBAN, and (c) the account name and number into which the purchase price for the Bonds is to be deposited, which account shall be fully opened and able to receive micro deposits in accordance with this Section at least five (5) Business Days prior to the date of the Closing. Each Purchaser has the right, but not the obligation, upon written notice (which may be by email) to the Company, to elect to deliver a micro deposit (less than $51.00) to the account identified in the written instructions no later than two (2) Business Days prior to the date of the Closing. If a Purchaser delivers a micro deposit, a Responsible Officer must verbally verify the receipt and amount of the micro deposit to such Purchaser on a telephone call initiated by such Purchaser prior to the date of the Closing. The Company shall not be obligated to return the amount of the micro deposit, nor will the amount of the micro deposit be netted against the Purchaser’s purchase price of the Bonds.</w:t>
      </w:r>
    </w:p>
    <w:p>
      <w:pPr>
        <w:spacing w:after="0" w:line="229"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4.11. Proceedings and Documents</w:t>
      </w:r>
      <w:r>
        <w:rPr>
          <w:rFonts w:ascii="Times New Roman" w:cs="Times New Roman" w:eastAsia="Times New Roman" w:hAnsi="Times New Roman"/>
          <w:sz w:val="22"/>
          <w:szCs w:val="22"/>
          <w:color w:val="auto"/>
        </w:rPr>
        <w:t>. All corporate and other proceedings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12"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4.12. Execution and Delivery and Filing and Recording of the Supplement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to or at the Closing, the Supplement shall have been duly executed and delivered by the Company, and the Company shall have filed, or delivered for recordation, the Supplement in all locations in Pennsylvania (and financing statements in respect thereof shall have been filed, if necessary) 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58" w:name="page59"/>
    <w:bookmarkEnd w:id="58"/>
    <w:p>
      <w:pPr>
        <w:jc w:val="both"/>
        <w:ind w:left="180" w:right="199"/>
        <w:spacing w:after="0" w:line="243" w:lineRule="auto"/>
        <w:rPr>
          <w:sz w:val="20"/>
          <w:szCs w:val="20"/>
          <w:color w:val="auto"/>
        </w:rPr>
      </w:pPr>
      <w:r>
        <w:rPr>
          <w:rFonts w:ascii="Times New Roman" w:cs="Times New Roman" w:eastAsia="Times New Roman" w:hAnsi="Times New Roman"/>
          <w:sz w:val="22"/>
          <w:szCs w:val="22"/>
          <w:color w:val="auto"/>
        </w:rPr>
        <w:t>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227"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4.13. Regulatory Approvals. </w:t>
      </w:r>
      <w:r>
        <w:rPr>
          <w:rFonts w:ascii="Times New Roman" w:cs="Times New Roman" w:eastAsia="Times New Roman" w:hAnsi="Times New Roman"/>
          <w:sz w:val="22"/>
          <w:szCs w:val="22"/>
          <w:color w:val="auto"/>
        </w:rPr>
        <w:t>The issue and sale of the Bonds shall have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duly authorized by an order of the 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58" w:lineRule="exact"/>
        <w:rPr>
          <w:sz w:val="20"/>
          <w:szCs w:val="20"/>
          <w:color w:val="auto"/>
        </w:rPr>
      </w:pPr>
    </w:p>
    <w:p>
      <w:pPr>
        <w:ind w:left="1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Representations and Warranties of the Company.</w:t>
      </w:r>
    </w:p>
    <w:p>
      <w:pPr>
        <w:spacing w:after="0" w:line="247" w:lineRule="exact"/>
        <w:rPr>
          <w:sz w:val="20"/>
          <w:szCs w:val="20"/>
          <w:color w:val="auto"/>
        </w:rPr>
      </w:pPr>
    </w:p>
    <w:p>
      <w:pPr>
        <w:jc w:val="both"/>
        <w:ind w:left="180" w:right="199" w:firstLine="648"/>
        <w:spacing w:after="0" w:line="271" w:lineRule="auto"/>
        <w:rPr>
          <w:sz w:val="20"/>
          <w:szCs w:val="20"/>
          <w:color w:val="auto"/>
        </w:rPr>
      </w:pPr>
      <w:r>
        <w:rPr>
          <w:rFonts w:ascii="Times New Roman" w:cs="Times New Roman" w:eastAsia="Times New Roman" w:hAnsi="Times New Roman"/>
          <w:sz w:val="22"/>
          <w:szCs w:val="22"/>
          <w:color w:val="auto"/>
        </w:rPr>
        <w:t>The Company represents and warrants to each Purchaser as of the date of this Agreement and at the Closing that:</w:t>
      </w:r>
    </w:p>
    <w:p>
      <w:pPr>
        <w:spacing w:after="0" w:line="181"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5.1. Organization; Power and Authority</w:t>
      </w:r>
      <w:r>
        <w:rPr>
          <w:rFonts w:ascii="Times New Roman" w:cs="Times New Roman" w:eastAsia="Times New Roman" w:hAnsi="Times New Roman"/>
          <w:sz w:val="22"/>
          <w:szCs w:val="22"/>
          <w:color w:val="auto"/>
        </w:rPr>
        <w:t>. The Company is a corporation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organized, validly 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218"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5.2. Authorization, Etc</w:t>
      </w:r>
      <w:r>
        <w:rPr>
          <w:rFonts w:ascii="Times New Roman" w:cs="Times New Roman" w:eastAsia="Times New Roman" w:hAnsi="Times New Roman"/>
          <w:sz w:val="22"/>
          <w:szCs w:val="22"/>
          <w:color w:val="auto"/>
        </w:rPr>
        <w:t>. At the Closing, each Financing Agreement has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duly authorized by all 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18" w:lineRule="exact"/>
        <w:rPr>
          <w:sz w:val="20"/>
          <w:szCs w:val="20"/>
          <w:color w:val="auto"/>
        </w:rPr>
      </w:pPr>
    </w:p>
    <w:p>
      <w:pPr>
        <w:jc w:val="both"/>
        <w:ind w:left="180" w:right="19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5.3. Disclosure</w:t>
      </w:r>
      <w:r>
        <w:rPr>
          <w:rFonts w:ascii="Times New Roman" w:cs="Times New Roman" w:eastAsia="Times New Roman" w:hAnsi="Times New Roman"/>
          <w:sz w:val="22"/>
          <w:szCs w:val="22"/>
          <w:color w:val="auto"/>
        </w:rPr>
        <w:t>. This Agreement and the documents, certificates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writings delivered to the Purchasers by or on behalf of the Company in connection with the transactions contemplated hereby, including the management/investor presentation dated July 18,</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59" w:name="page60"/>
    <w:bookmarkEnd w:id="59"/>
    <w:p>
      <w:pPr>
        <w:jc w:val="both"/>
        <w:ind w:left="180" w:right="199"/>
        <w:spacing w:after="0" w:line="241" w:lineRule="auto"/>
        <w:rPr>
          <w:sz w:val="20"/>
          <w:szCs w:val="20"/>
          <w:color w:val="auto"/>
        </w:rPr>
      </w:pPr>
      <w:r>
        <w:rPr>
          <w:rFonts w:ascii="Times New Roman" w:cs="Times New Roman" w:eastAsia="Times New Roman" w:hAnsi="Times New Roman"/>
          <w:sz w:val="22"/>
          <w:szCs w:val="22"/>
          <w:color w:val="auto"/>
        </w:rPr>
        <w:t xml:space="preserve">2022, and the financial statements listed in </w:t>
      </w:r>
      <w:r>
        <w:rPr>
          <w:rFonts w:ascii="Times New Roman" w:cs="Times New Roman" w:eastAsia="Times New Roman" w:hAnsi="Times New Roman"/>
          <w:sz w:val="22"/>
          <w:szCs w:val="22"/>
          <w:i w:val="1"/>
          <w:iCs w:val="1"/>
          <w:color w:val="auto"/>
        </w:rPr>
        <w:t>Schedule 5.5</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i w:val="1"/>
          <w:iCs w:val="1"/>
          <w:color w:val="auto"/>
        </w:rPr>
        <w:t>“Disclosure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Documents”</w:t>
      </w:r>
      <w:r>
        <w:rPr>
          <w:rFonts w:ascii="Times New Roman" w:cs="Times New Roman" w:eastAsia="Times New Roman" w:hAnsi="Times New Roman"/>
          <w:sz w:val="22"/>
          <w:szCs w:val="22"/>
          <w:color w:val="auto"/>
        </w:rPr>
        <w:t>), taken as a whole, do not contain any untrue statement of a material fact or omit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any material fact necessary to make the statements therein not misleading in light of the circumstances under which they were made. Since July 22, 2022,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230" w:lineRule="exact"/>
        <w:rPr>
          <w:sz w:val="20"/>
          <w:szCs w:val="20"/>
          <w:color w:val="auto"/>
        </w:rPr>
      </w:pPr>
    </w:p>
    <w:p>
      <w:pPr>
        <w:ind w:left="840"/>
        <w:spacing w:after="0"/>
        <w:tabs>
          <w:tab w:leader="none" w:pos="1680" w:val="left"/>
          <w:tab w:leader="none" w:pos="2640" w:val="left"/>
          <w:tab w:leader="none" w:pos="4020" w:val="left"/>
          <w:tab w:leader="none" w:pos="4580" w:val="left"/>
          <w:tab w:leader="none" w:pos="5760" w:val="left"/>
          <w:tab w:leader="none" w:pos="6160" w:val="left"/>
          <w:tab w:leader="none" w:pos="6980" w:val="left"/>
          <w:tab w:leader="none" w:pos="7380" w:val="left"/>
        </w:tabs>
        <w:rPr>
          <w:sz w:val="20"/>
          <w:szCs w:val="20"/>
          <w:color w:val="auto"/>
        </w:rPr>
      </w:pPr>
      <w:r>
        <w:rPr>
          <w:rFonts w:ascii="Times New Roman" w:cs="Times New Roman" w:eastAsia="Times New Roman" w:hAnsi="Times New Roman"/>
          <w:sz w:val="22"/>
          <w:szCs w:val="22"/>
          <w:i w:val="1"/>
          <w:iCs w:val="1"/>
          <w:color w:val="auto"/>
        </w:rPr>
        <w:t>Section</w:t>
        <w:tab/>
        <w:t>5.4.</w:t>
      </w:r>
      <w:r>
        <w:rPr>
          <w:sz w:val="20"/>
          <w:szCs w:val="20"/>
          <w:color w:val="auto"/>
        </w:rPr>
        <w:tab/>
      </w:r>
      <w:r>
        <w:rPr>
          <w:rFonts w:ascii="Times New Roman" w:cs="Times New Roman" w:eastAsia="Times New Roman" w:hAnsi="Times New Roman"/>
          <w:sz w:val="22"/>
          <w:szCs w:val="22"/>
          <w:i w:val="1"/>
          <w:iCs w:val="1"/>
          <w:color w:val="auto"/>
        </w:rPr>
        <w:t>Organization</w:t>
        <w:tab/>
        <w:t>and</w:t>
        <w:tab/>
        <w:t>Ownership</w:t>
        <w:tab/>
        <w:t>of</w:t>
        <w:tab/>
        <w:t>Shares</w:t>
        <w:tab/>
        <w:t>of</w:t>
      </w:r>
      <w:r>
        <w:rPr>
          <w:sz w:val="20"/>
          <w:szCs w:val="20"/>
          <w:color w:val="auto"/>
        </w:rPr>
        <w:tab/>
      </w:r>
      <w:r>
        <w:rPr>
          <w:rFonts w:ascii="Times New Roman" w:cs="Times New Roman" w:eastAsia="Times New Roman" w:hAnsi="Times New Roman"/>
          <w:sz w:val="21"/>
          <w:szCs w:val="21"/>
          <w:i w:val="1"/>
          <w:iCs w:val="1"/>
          <w:color w:val="auto"/>
        </w:rPr>
        <w:t>Subsidiaries</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jc w:val="both"/>
        <w:ind w:left="180" w:right="199" w:firstLine="58"/>
        <w:spacing w:after="0"/>
        <w:tabs>
          <w:tab w:leader="none" w:pos="5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Schedule 5.4 </w:t>
      </w:r>
      <w:r>
        <w:rPr>
          <w:rFonts w:ascii="Times New Roman" w:cs="Times New Roman" w:eastAsia="Times New Roman" w:hAnsi="Times New Roman"/>
          <w:sz w:val="22"/>
          <w:szCs w:val="22"/>
          <w:color w:val="auto"/>
        </w:rPr>
        <w:t>contains a complete and correct list of the Company’s Subsidiaries, showing, as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Subsidiary, the correct name thereof, the jurisdiction of its organization, and the percentage of shares of each class of its capital stock or similar equity interests outstanding owned by the Company and each other Subsidiary.</w:t>
      </w:r>
    </w:p>
    <w:p>
      <w:pPr>
        <w:spacing w:after="0" w:line="219" w:lineRule="exact"/>
        <w:rPr>
          <w:rFonts w:ascii="Times New Roman" w:cs="Times New Roman" w:eastAsia="Times New Roman" w:hAnsi="Times New Roman"/>
          <w:sz w:val="22"/>
          <w:szCs w:val="22"/>
          <w:color w:val="auto"/>
        </w:rPr>
      </w:pPr>
    </w:p>
    <w:p>
      <w:pPr>
        <w:jc w:val="both"/>
        <w:ind w:left="180" w:right="199" w:firstLine="846"/>
        <w:spacing w:after="0" w:line="248" w:lineRule="auto"/>
        <w:tabs>
          <w:tab w:leader="none" w:pos="134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outstanding shares of capital stock or similar equity interests of each Subsidiary shown in </w:t>
      </w:r>
      <w:r>
        <w:rPr>
          <w:rFonts w:ascii="Times New Roman" w:cs="Times New Roman" w:eastAsia="Times New Roman" w:hAnsi="Times New Roman"/>
          <w:sz w:val="22"/>
          <w:szCs w:val="22"/>
          <w:i w:val="1"/>
          <w:iCs w:val="1"/>
          <w:color w:val="auto"/>
        </w:rPr>
        <w:t>Schedule 5.4</w:t>
      </w:r>
      <w:r>
        <w:rPr>
          <w:rFonts w:ascii="Times New Roman" w:cs="Times New Roman" w:eastAsia="Times New Roman" w:hAnsi="Times New Roman"/>
          <w:sz w:val="22"/>
          <w:szCs w:val="22"/>
          <w:color w:val="auto"/>
        </w:rPr>
        <w:t xml:space="preserve"> as being owned by the Company and its Subsidiaries have been validly issued, are fully paid and nonassessable and are owned by the Company or another Subsidiary free and clear of any Lien.</w:t>
      </w:r>
    </w:p>
    <w:p>
      <w:pPr>
        <w:spacing w:after="0" w:line="219" w:lineRule="exact"/>
        <w:rPr>
          <w:rFonts w:ascii="Times New Roman" w:cs="Times New Roman" w:eastAsia="Times New Roman" w:hAnsi="Times New Roman"/>
          <w:sz w:val="22"/>
          <w:szCs w:val="22"/>
          <w:color w:val="auto"/>
        </w:rPr>
      </w:pPr>
    </w:p>
    <w:p>
      <w:pPr>
        <w:jc w:val="both"/>
        <w:ind w:left="180" w:right="199" w:firstLine="846"/>
        <w:spacing w:after="0" w:line="242" w:lineRule="auto"/>
        <w:tabs>
          <w:tab w:leader="none" w:pos="132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Subsidiary identified in </w:t>
      </w:r>
      <w:r>
        <w:rPr>
          <w:rFonts w:ascii="Times New Roman" w:cs="Times New Roman" w:eastAsia="Times New Roman" w:hAnsi="Times New Roman"/>
          <w:sz w:val="22"/>
          <w:szCs w:val="22"/>
          <w:i w:val="1"/>
          <w:iCs w:val="1"/>
          <w:color w:val="auto"/>
        </w:rPr>
        <w:t>Schedule 5.4</w:t>
      </w:r>
      <w:r>
        <w:rPr>
          <w:rFonts w:ascii="Times New Roman" w:cs="Times New Roman" w:eastAsia="Times New Roman" w:hAnsi="Times New Roman"/>
          <w:sz w:val="22"/>
          <w:szCs w:val="22"/>
          <w:color w:val="auto"/>
        </w:rPr>
        <w:t xml:space="preserve">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227" w:lineRule="exact"/>
        <w:rPr>
          <w:sz w:val="20"/>
          <w:szCs w:val="20"/>
          <w:color w:val="auto"/>
        </w:rPr>
      </w:pPr>
    </w:p>
    <w:p>
      <w:pPr>
        <w:jc w:val="both"/>
        <w:ind w:left="180" w:right="199" w:firstLine="648"/>
        <w:spacing w:after="0" w:line="255" w:lineRule="exact"/>
        <w:rPr>
          <w:sz w:val="20"/>
          <w:szCs w:val="20"/>
          <w:color w:val="auto"/>
        </w:rPr>
      </w:pPr>
      <w:r>
        <w:rPr>
          <w:rFonts w:ascii="Times New Roman" w:cs="Times New Roman" w:eastAsia="Times New Roman" w:hAnsi="Times New Roman"/>
          <w:sz w:val="21"/>
          <w:szCs w:val="21"/>
          <w:i w:val="1"/>
          <w:iCs w:val="1"/>
          <w:color w:val="auto"/>
        </w:rPr>
        <w:t>Section 5.5. Financial Statements; Material Liabilities</w:t>
      </w:r>
      <w:r>
        <w:rPr>
          <w:rFonts w:ascii="Times New Roman" w:cs="Times New Roman" w:eastAsia="Times New Roman" w:hAnsi="Times New Roman"/>
          <w:sz w:val="21"/>
          <w:szCs w:val="21"/>
          <w:color w:val="auto"/>
        </w:rPr>
        <w:t>. The Company has delivered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each Purchaser copies of the financial statements of the Company and its Subsidiaries listed on </w:t>
      </w:r>
      <w:r>
        <w:rPr>
          <w:rFonts w:ascii="Times New Roman" w:cs="Times New Roman" w:eastAsia="Times New Roman" w:hAnsi="Times New Roman"/>
          <w:sz w:val="21"/>
          <w:szCs w:val="21"/>
          <w:i w:val="1"/>
          <w:iCs w:val="1"/>
          <w:color w:val="auto"/>
        </w:rPr>
        <w:t>Schedule 5.5</w:t>
      </w:r>
      <w:r>
        <w:rPr>
          <w:rFonts w:ascii="Times New Roman" w:cs="Times New Roman" w:eastAsia="Times New Roman" w:hAnsi="Times New Roman"/>
          <w:sz w:val="21"/>
          <w:szCs w:val="21"/>
          <w:color w:val="auto"/>
        </w:rPr>
        <w:t>. All of said financial statements (including in each case the related schedules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end adjustments). The Company does not have any Material liabilities that are not disclosed on such financial statements or otherwise disclosed in the Disclosure Documents.</w:t>
      </w:r>
    </w:p>
    <w:p>
      <w:pPr>
        <w:spacing w:after="0" w:line="222"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5.6. Compliance with Laws, Other Instruments, Etc</w:t>
      </w:r>
      <w:r>
        <w:rPr>
          <w:rFonts w:ascii="Times New Roman" w:cs="Times New Roman" w:eastAsia="Times New Roman" w:hAnsi="Times New Roman"/>
          <w:sz w:val="22"/>
          <w:szCs w:val="22"/>
          <w:color w:val="auto"/>
        </w:rPr>
        <w:t>. The execution, delivery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performance by the Company of each Financing Agreement (including the prior execution and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60" w:name="page61"/>
    <w:bookmarkEnd w:id="60"/>
    <w:p>
      <w:pPr>
        <w:jc w:val="both"/>
        <w:ind w:left="180" w:right="199"/>
        <w:spacing w:after="0" w:line="241" w:lineRule="auto"/>
        <w:rPr>
          <w:sz w:val="20"/>
          <w:szCs w:val="20"/>
          <w:color w:val="auto"/>
        </w:rPr>
      </w:pPr>
      <w:r>
        <w:rPr>
          <w:rFonts w:ascii="Times New Roman" w:cs="Times New Roman" w:eastAsia="Times New Roman" w:hAnsi="Times New Roman"/>
          <w:sz w:val="22"/>
          <w:szCs w:val="22"/>
          <w:color w:val="auto"/>
        </w:rPr>
        <w:t>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 (b) 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215"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5.7. Governmental Authorizations, Etc</w:t>
      </w:r>
      <w:r>
        <w:rPr>
          <w:rFonts w:ascii="Times New Roman" w:cs="Times New Roman" w:eastAsia="Times New Roman" w:hAnsi="Times New Roman"/>
          <w:sz w:val="22"/>
          <w:szCs w:val="22"/>
          <w:color w:val="auto"/>
        </w:rPr>
        <w:t>. No consent, approval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authorization of, or registration, 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205"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5.8. Litigation; Observance of Statutes and Orders</w:t>
      </w:r>
      <w:r>
        <w:rPr>
          <w:rFonts w:ascii="Times New Roman" w:cs="Times New Roman" w:eastAsia="Times New Roman" w:hAnsi="Times New Roman"/>
          <w:sz w:val="22"/>
          <w:szCs w:val="22"/>
          <w:color w:val="auto"/>
        </w:rPr>
        <w:t>. (a) There are no 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200" w:lineRule="exact"/>
        <w:rPr>
          <w:sz w:val="20"/>
          <w:szCs w:val="20"/>
          <w:color w:val="auto"/>
        </w:rPr>
      </w:pPr>
    </w:p>
    <w:p>
      <w:pPr>
        <w:spacing w:after="0" w:line="287" w:lineRule="exact"/>
        <w:rPr>
          <w:sz w:val="20"/>
          <w:szCs w:val="20"/>
          <w:color w:val="auto"/>
        </w:rPr>
      </w:pPr>
    </w:p>
    <w:p>
      <w:pPr>
        <w:jc w:val="both"/>
        <w:ind w:left="180" w:right="199" w:firstLine="846"/>
        <w:spacing w:after="0" w:line="254" w:lineRule="auto"/>
        <w:tabs>
          <w:tab w:leader="none" w:pos="134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w:t>
      </w:r>
      <w:r>
        <w:rPr>
          <w:rFonts w:ascii="Times New Roman" w:cs="Times New Roman" w:eastAsia="Times New Roman" w:hAnsi="Times New Roman"/>
          <w:sz w:val="21"/>
          <w:szCs w:val="21"/>
          <w:b w:val="1"/>
          <w:bCs w:val="1"/>
          <w:color w:val="auto"/>
        </w:rPr>
        <w:t>Section 5.16</w:t>
      </w:r>
      <w:r>
        <w:rPr>
          <w:rFonts w:ascii="Times New Roman" w:cs="Times New Roman" w:eastAsia="Times New Roman" w:hAnsi="Times New Roman"/>
          <w:sz w:val="21"/>
          <w:szCs w:val="21"/>
          <w:color w:val="auto"/>
        </w:rPr>
        <w:t>), which default or violation, individually or in the aggregate, could reasonably be expected to have a Material Adverse Effect.</w:t>
      </w:r>
    </w:p>
    <w:p>
      <w:pPr>
        <w:spacing w:after="0" w:line="219" w:lineRule="exact"/>
        <w:rPr>
          <w:sz w:val="20"/>
          <w:szCs w:val="20"/>
          <w:color w:val="auto"/>
        </w:rPr>
      </w:pPr>
    </w:p>
    <w:p>
      <w:pPr>
        <w:jc w:val="both"/>
        <w:ind w:left="180" w:right="199" w:firstLine="648"/>
        <w:spacing w:after="0" w:line="254" w:lineRule="auto"/>
        <w:rPr>
          <w:sz w:val="20"/>
          <w:szCs w:val="20"/>
          <w:color w:val="auto"/>
        </w:rPr>
      </w:pPr>
      <w:r>
        <w:rPr>
          <w:rFonts w:ascii="Times New Roman" w:cs="Times New Roman" w:eastAsia="Times New Roman" w:hAnsi="Times New Roman"/>
          <w:sz w:val="21"/>
          <w:szCs w:val="21"/>
          <w:i w:val="1"/>
          <w:iCs w:val="1"/>
          <w:color w:val="auto"/>
        </w:rPr>
        <w:t>Section 5.9. Taxes</w:t>
      </w:r>
      <w:r>
        <w:rPr>
          <w:rFonts w:ascii="Times New Roman" w:cs="Times New Roman" w:eastAsia="Times New Roman" w:hAnsi="Times New Roman"/>
          <w:sz w:val="21"/>
          <w:szCs w:val="21"/>
          <w:color w:val="auto"/>
        </w:rPr>
        <w:t>. The Company and its Subsidiaries have filed all income tax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returns 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61" w:name="page62"/>
    <w:bookmarkEnd w:id="61"/>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limitations having run) for all fiscal years up to and including the fiscal year ended December 31, 2017 and all amounts owing in respect of such audit have been paid.</w:t>
      </w:r>
    </w:p>
    <w:p>
      <w:pPr>
        <w:spacing w:after="0" w:line="208"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5.10. Title to Property; Leases</w:t>
      </w:r>
      <w:r>
        <w:rPr>
          <w:rFonts w:ascii="Times New Roman" w:cs="Times New Roman" w:eastAsia="Times New Roman" w:hAnsi="Times New Roman"/>
          <w:sz w:val="22"/>
          <w:szCs w:val="22"/>
          <w:color w:val="auto"/>
        </w:rPr>
        <w:t>. The Company and its Subsidiaries have good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sufficient title to their respective Material properties, including all such properties reflected in the most recent audited balance sheet referred to in </w:t>
      </w:r>
      <w:r>
        <w:rPr>
          <w:rFonts w:ascii="Times New Roman" w:cs="Times New Roman" w:eastAsia="Times New Roman" w:hAnsi="Times New Roman"/>
          <w:sz w:val="22"/>
          <w:szCs w:val="22"/>
          <w:b w:val="1"/>
          <w:bCs w:val="1"/>
          <w:color w:val="auto"/>
        </w:rPr>
        <w:t>Section 5.5</w:t>
      </w:r>
      <w:r>
        <w:rPr>
          <w:rFonts w:ascii="Times New Roman" w:cs="Times New Roman" w:eastAsia="Times New Roman" w:hAnsi="Times New Roman"/>
          <w:sz w:val="22"/>
          <w:szCs w:val="22"/>
          <w:color w:val="auto"/>
        </w:rPr>
        <w:t xml:space="preserve">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227"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5.11. Licenses, Permits, Etc</w:t>
      </w:r>
      <w:r>
        <w:rPr>
          <w:rFonts w:ascii="Times New Roman" w:cs="Times New Roman" w:eastAsia="Times New Roman" w:hAnsi="Times New Roman"/>
          <w:sz w:val="22"/>
          <w:szCs w:val="22"/>
          <w:color w:val="auto"/>
        </w:rPr>
        <w:t>. The Company and its Subsidiaries own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possess all licenses, 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213"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5.12. Compliance with Employee Benefit Plans</w:t>
      </w:r>
      <w:r>
        <w:rPr>
          <w:rFonts w:ascii="Times New Roman" w:cs="Times New Roman" w:eastAsia="Times New Roman" w:hAnsi="Times New Roman"/>
          <w:sz w:val="22"/>
          <w:szCs w:val="22"/>
          <w:color w:val="auto"/>
        </w:rPr>
        <w:t>. (a) The Company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223" w:lineRule="exact"/>
        <w:rPr>
          <w:sz w:val="20"/>
          <w:szCs w:val="20"/>
          <w:color w:val="auto"/>
        </w:rPr>
      </w:pPr>
    </w:p>
    <w:p>
      <w:pPr>
        <w:jc w:val="both"/>
        <w:ind w:left="180" w:right="199" w:firstLine="846"/>
        <w:spacing w:after="0" w:line="243" w:lineRule="auto"/>
        <w:tabs>
          <w:tab w:leader="none" w:pos="134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of the aggregate benefit liabilities under each of the Plans subject to section 412 of the Code (other than Multiemployer Plans), determined as of January 1, 2021 based on such Plan’s actuarial assumptions as of that date for funding purposes as documented in such Plan’s actuarial valuation reports dated September 2021 did not exceed the aggregate current value of the assets of such Plan allocable to such benefit liabilities by more than $5,000,000 in the case of any single Plan and by more than $5,000,000 in the aggregate for all Plans. The term “</w:t>
      </w:r>
      <w:r>
        <w:rPr>
          <w:rFonts w:ascii="Times New Roman" w:cs="Times New Roman" w:eastAsia="Times New Roman" w:hAnsi="Times New Roman"/>
          <w:sz w:val="22"/>
          <w:szCs w:val="22"/>
          <w:i w:val="1"/>
          <w:iCs w:val="1"/>
          <w:color w:val="auto"/>
        </w:rPr>
        <w:t>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liabilities</w:t>
      </w:r>
      <w:r>
        <w:rPr>
          <w:rFonts w:ascii="Times New Roman" w:cs="Times New Roman" w:eastAsia="Times New Roman" w:hAnsi="Times New Roman"/>
          <w:sz w:val="22"/>
          <w:szCs w:val="22"/>
          <w:color w:val="auto"/>
        </w:rPr>
        <w:t>” has the meaning specified in section 4001 of ERISA and the terms “</w:t>
      </w:r>
      <w:r>
        <w:rPr>
          <w:rFonts w:ascii="Times New Roman" w:cs="Times New Roman" w:eastAsia="Times New Roman" w:hAnsi="Times New Roman"/>
          <w:sz w:val="22"/>
          <w:szCs w:val="22"/>
          <w:i w:val="1"/>
          <w:iCs w:val="1"/>
          <w:color w:val="auto"/>
        </w:rPr>
        <w:t>current value</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present value</w:t>
      </w:r>
      <w:r>
        <w:rPr>
          <w:rFonts w:ascii="Times New Roman" w:cs="Times New Roman" w:eastAsia="Times New Roman" w:hAnsi="Times New Roman"/>
          <w:sz w:val="22"/>
          <w:szCs w:val="22"/>
          <w:color w:val="auto"/>
        </w:rPr>
        <w:t>” have the meaning specified in section 3 of ERISA.</w:t>
      </w:r>
    </w:p>
    <w:p>
      <w:pPr>
        <w:spacing w:after="0" w:line="218" w:lineRule="exact"/>
        <w:rPr>
          <w:rFonts w:ascii="Times New Roman" w:cs="Times New Roman" w:eastAsia="Times New Roman" w:hAnsi="Times New Roman"/>
          <w:sz w:val="22"/>
          <w:szCs w:val="22"/>
          <w:color w:val="auto"/>
        </w:rPr>
      </w:pPr>
    </w:p>
    <w:p>
      <w:pPr>
        <w:jc w:val="both"/>
        <w:ind w:left="180" w:right="199" w:firstLine="846"/>
        <w:spacing w:after="0" w:line="250" w:lineRule="auto"/>
        <w:tabs>
          <w:tab w:leader="none" w:pos="132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21" w:lineRule="exact"/>
        <w:rPr>
          <w:rFonts w:ascii="Times New Roman" w:cs="Times New Roman" w:eastAsia="Times New Roman" w:hAnsi="Times New Roman"/>
          <w:sz w:val="22"/>
          <w:szCs w:val="22"/>
          <w:color w:val="auto"/>
        </w:rPr>
      </w:pPr>
    </w:p>
    <w:p>
      <w:pPr>
        <w:ind w:left="180" w:right="199" w:firstLine="846"/>
        <w:spacing w:after="0" w:line="258" w:lineRule="auto"/>
        <w:tabs>
          <w:tab w:leader="none" w:pos="134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expected postretirement benefit obligation (determined as of the last day of the Company’s most recently ended fiscal year in accordance with Financial Accounting Standards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62" w:name="page63"/>
    <w:bookmarkEnd w:id="62"/>
    <w:p>
      <w:pPr>
        <w:jc w:val="both"/>
        <w:ind w:left="180" w:right="199"/>
        <w:spacing w:after="0" w:line="272" w:lineRule="exact"/>
        <w:rPr>
          <w:sz w:val="20"/>
          <w:szCs w:val="20"/>
          <w:color w:val="auto"/>
        </w:rPr>
      </w:pPr>
      <w:r>
        <w:rPr>
          <w:rFonts w:ascii="Times New Roman" w:cs="Times New Roman" w:eastAsia="Times New Roman" w:hAnsi="Times New Roman"/>
          <w:sz w:val="22"/>
          <w:szCs w:val="22"/>
          <w:color w:val="auto"/>
        </w:rPr>
        <w:t>Board Accounting Standards Codification Topic 715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without regard to liabilities attributable to continuation coverage mandated by section 4980B of the Code) of the Company and its Subsidiaries is not Material.</w:t>
      </w:r>
    </w:p>
    <w:p>
      <w:pPr>
        <w:spacing w:after="0" w:line="217" w:lineRule="exact"/>
        <w:rPr>
          <w:sz w:val="20"/>
          <w:szCs w:val="20"/>
          <w:color w:val="auto"/>
        </w:rPr>
      </w:pPr>
    </w:p>
    <w:p>
      <w:pPr>
        <w:jc w:val="both"/>
        <w:ind w:left="180" w:right="199" w:firstLine="846"/>
        <w:spacing w:after="0" w:line="257" w:lineRule="exact"/>
        <w:tabs>
          <w:tab w:leader="none" w:pos="132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 of the Code. The representation by the Company to each Purchaser in the first sentence of this </w:t>
      </w:r>
      <w:r>
        <w:rPr>
          <w:rFonts w:ascii="Times New Roman" w:cs="Times New Roman" w:eastAsia="Times New Roman" w:hAnsi="Times New Roman"/>
          <w:sz w:val="22"/>
          <w:szCs w:val="22"/>
          <w:b w:val="1"/>
          <w:bCs w:val="1"/>
          <w:color w:val="auto"/>
        </w:rPr>
        <w:t xml:space="preserve">Section 5.12(e) </w:t>
      </w:r>
      <w:r>
        <w:rPr>
          <w:rFonts w:ascii="Times New Roman" w:cs="Times New Roman" w:eastAsia="Times New Roman" w:hAnsi="Times New Roman"/>
          <w:sz w:val="22"/>
          <w:szCs w:val="22"/>
          <w:color w:val="auto"/>
        </w:rPr>
        <w:t>is made in reliance upon and subject to the accuracy of such Purchaser’s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representation in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as to the sources of the funds used to pay the purchase price of the Bonds to be purchased by such Purchaser.</w:t>
      </w:r>
    </w:p>
    <w:p>
      <w:pPr>
        <w:spacing w:after="0" w:line="198" w:lineRule="exact"/>
        <w:rPr>
          <w:rFonts w:ascii="Times New Roman" w:cs="Times New Roman" w:eastAsia="Times New Roman" w:hAnsi="Times New Roman"/>
          <w:sz w:val="22"/>
          <w:szCs w:val="22"/>
          <w:color w:val="auto"/>
        </w:rPr>
      </w:pPr>
    </w:p>
    <w:p>
      <w:pPr>
        <w:ind w:left="1300" w:hanging="274"/>
        <w:spacing w:after="0" w:line="253" w:lineRule="exact"/>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do not have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w:t>
      </w:r>
    </w:p>
    <w:p>
      <w:pPr>
        <w:spacing w:after="0" w:line="277"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5.13. Private Offering by the Company</w:t>
      </w:r>
      <w:r>
        <w:rPr>
          <w:rFonts w:ascii="Times New Roman" w:cs="Times New Roman" w:eastAsia="Times New Roman" w:hAnsi="Times New Roman"/>
          <w:sz w:val="22"/>
          <w:szCs w:val="22"/>
          <w:color w:val="auto"/>
        </w:rPr>
        <w:t>. Neither the Company nor anyone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acting on the Company’s behalf has offered the Bonds or any similar securities for sale to, or solicited any offer to buy any of the same from, or otherwise approached or negotiated in respect thereof with, any Person other than the Purchasers and not more than eighteen (18)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w:t>
      </w: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color w:val="auto"/>
        </w:rPr>
        <w:t>of the Securities Act.</w:t>
      </w:r>
    </w:p>
    <w:p>
      <w:pPr>
        <w:spacing w:after="0" w:line="227"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5.14. Use of Proceeds; Margin Regulations</w:t>
      </w:r>
      <w:r>
        <w:rPr>
          <w:rFonts w:ascii="Times New Roman" w:cs="Times New Roman" w:eastAsia="Times New Roman" w:hAnsi="Times New Roman"/>
          <w:sz w:val="22"/>
          <w:szCs w:val="22"/>
          <w:color w:val="auto"/>
        </w:rPr>
        <w:t>. The Company will apply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proceeds of the sale of the Bonds to repay existing indebtedness and for general corporate purposes and in compliance with all laws referenced in </w:t>
      </w:r>
      <w:r>
        <w:rPr>
          <w:rFonts w:ascii="Times New Roman" w:cs="Times New Roman" w:eastAsia="Times New Roman" w:hAnsi="Times New Roman"/>
          <w:sz w:val="22"/>
          <w:szCs w:val="22"/>
          <w:b w:val="1"/>
          <w:bCs w:val="1"/>
          <w:color w:val="auto"/>
        </w:rPr>
        <w:t>Section 5.16</w:t>
      </w:r>
      <w:r>
        <w:rPr>
          <w:rFonts w:ascii="Times New Roman" w:cs="Times New Roman" w:eastAsia="Times New Roman" w:hAnsi="Times New Roman"/>
          <w:sz w:val="22"/>
          <w:szCs w:val="22"/>
          <w:color w:val="auto"/>
        </w:rPr>
        <w:t xml:space="preserve">.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the terms “</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purpose of buying or carrying</w:t>
      </w:r>
      <w:r>
        <w:rPr>
          <w:rFonts w:ascii="Times New Roman" w:cs="Times New Roman" w:eastAsia="Times New Roman" w:hAnsi="Times New Roman"/>
          <w:sz w:val="22"/>
          <w:szCs w:val="22"/>
          <w:color w:val="auto"/>
        </w:rPr>
        <w:t>” shall have the meanings assigned to them in said Regulation U.</w:t>
      </w:r>
    </w:p>
    <w:p>
      <w:pPr>
        <w:spacing w:after="0" w:line="221"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5.15. Existing Debt</w:t>
      </w:r>
      <w:r>
        <w:rPr>
          <w:rFonts w:ascii="Times New Roman" w:cs="Times New Roman" w:eastAsia="Times New Roman" w:hAnsi="Times New Roman"/>
          <w:sz w:val="22"/>
          <w:szCs w:val="22"/>
          <w:color w:val="auto"/>
        </w:rPr>
        <w:t>. Except as described therein,</w:t>
      </w:r>
      <w:r>
        <w:rPr>
          <w:rFonts w:ascii="Times New Roman" w:cs="Times New Roman" w:eastAsia="Times New Roman" w:hAnsi="Times New Roman"/>
          <w:sz w:val="22"/>
          <w:szCs w:val="22"/>
          <w:i w:val="1"/>
          <w:iCs w:val="1"/>
          <w:color w:val="auto"/>
        </w:rPr>
        <w:t xml:space="preserve"> Schedule 5.15(a) </w:t>
      </w:r>
      <w:r>
        <w:rPr>
          <w:rFonts w:ascii="Times New Roman" w:cs="Times New Roman" w:eastAsia="Times New Roman" w:hAnsi="Times New Roman"/>
          <w:sz w:val="22"/>
          <w:szCs w:val="22"/>
          <w:color w:val="auto"/>
        </w:rPr>
        <w:t>sets forth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complete and correct list of all outstanding Debt of the Company and its Subsidiaries as of June 30, 2022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63" w:name="page64"/>
    <w:bookmarkEnd w:id="63"/>
    <w:p>
      <w:pPr>
        <w:ind w:left="180" w:right="199"/>
        <w:spacing w:after="0" w:line="258" w:lineRule="auto"/>
        <w:rPr>
          <w:sz w:val="20"/>
          <w:szCs w:val="20"/>
          <w:color w:val="auto"/>
        </w:rPr>
      </w:pPr>
      <w:r>
        <w:rPr>
          <w:rFonts w:ascii="Times New Roman" w:cs="Times New Roman" w:eastAsia="Times New Roman" w:hAnsi="Times New Roman"/>
          <w:sz w:val="22"/>
          <w:szCs w:val="22"/>
          <w:color w:val="auto"/>
        </w:rPr>
        <w:t>to cause such Debt to become due and payable before its stated maturity or before its regularly scheduled dates of payment.</w:t>
      </w:r>
    </w:p>
    <w:p>
      <w:pPr>
        <w:spacing w:after="0" w:line="208" w:lineRule="exact"/>
        <w:rPr>
          <w:sz w:val="20"/>
          <w:szCs w:val="20"/>
          <w:color w:val="auto"/>
        </w:rPr>
      </w:pPr>
    </w:p>
    <w:p>
      <w:pPr>
        <w:jc w:val="both"/>
        <w:ind w:left="180" w:right="199" w:firstLine="846"/>
        <w:spacing w:after="0" w:line="244" w:lineRule="auto"/>
        <w:tabs>
          <w:tab w:leader="none" w:pos="134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representation in </w:t>
      </w:r>
      <w:r>
        <w:rPr>
          <w:rFonts w:ascii="Times New Roman" w:cs="Times New Roman" w:eastAsia="Times New Roman" w:hAnsi="Times New Roman"/>
          <w:sz w:val="22"/>
          <w:szCs w:val="22"/>
          <w:b w:val="1"/>
          <w:bCs w:val="1"/>
          <w:color w:val="auto"/>
        </w:rPr>
        <w:t>Section 5.6</w:t>
      </w:r>
      <w:r>
        <w:rPr>
          <w:rFonts w:ascii="Times New Roman" w:cs="Times New Roman" w:eastAsia="Times New Roman" w:hAnsi="Times New Roman"/>
          <w:sz w:val="22"/>
          <w:szCs w:val="22"/>
          <w:color w:val="auto"/>
        </w:rPr>
        <w:t xml:space="preserve">,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w:t>
      </w:r>
      <w:r>
        <w:rPr>
          <w:rFonts w:ascii="Times New Roman" w:cs="Times New Roman" w:eastAsia="Times New Roman" w:hAnsi="Times New Roman"/>
          <w:sz w:val="22"/>
          <w:szCs w:val="22"/>
          <w:i w:val="1"/>
          <w:iCs w:val="1"/>
          <w:color w:val="auto"/>
        </w:rPr>
        <w:t>Schedule 5.15(b)</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5.16. Foreign Assets Control Regulations, Etc</w:t>
      </w:r>
      <w:r>
        <w:rPr>
          <w:rFonts w:ascii="Times New Roman" w:cs="Times New Roman" w:eastAsia="Times New Roman" w:hAnsi="Times New Roman"/>
          <w:sz w:val="22"/>
          <w:szCs w:val="22"/>
          <w:color w:val="auto"/>
        </w:rPr>
        <w:t>. (a) Neither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nor any Controlled Entity (i) is a Blocked Person, (ii) has been notified that its name appears or may in the future appear on a State Sanctions List or (iii) is a target of sanctions that have been imposed by the United Nations or the European Union.</w:t>
      </w:r>
    </w:p>
    <w:p>
      <w:pPr>
        <w:spacing w:after="0" w:line="223" w:lineRule="exact"/>
        <w:rPr>
          <w:sz w:val="20"/>
          <w:szCs w:val="20"/>
          <w:color w:val="auto"/>
        </w:rPr>
      </w:pPr>
    </w:p>
    <w:p>
      <w:pPr>
        <w:jc w:val="both"/>
        <w:ind w:left="180" w:right="199" w:firstLine="846"/>
        <w:spacing w:after="0" w:line="261" w:lineRule="exact"/>
        <w:tabs>
          <w:tab w:leader="none" w:pos="134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96" w:lineRule="exact"/>
        <w:rPr>
          <w:rFonts w:ascii="Times New Roman" w:cs="Times New Roman" w:eastAsia="Times New Roman" w:hAnsi="Times New Roman"/>
          <w:sz w:val="22"/>
          <w:szCs w:val="22"/>
          <w:color w:val="auto"/>
        </w:rPr>
      </w:pPr>
    </w:p>
    <w:p>
      <w:pPr>
        <w:ind w:left="1340" w:hanging="314"/>
        <w:spacing w:after="0"/>
        <w:tabs>
          <w:tab w:leader="none" w:pos="13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from the sale of the Bonds hereunder:</w:t>
      </w:r>
    </w:p>
    <w:p>
      <w:pPr>
        <w:spacing w:after="0" w:line="260" w:lineRule="exact"/>
        <w:rPr>
          <w:rFonts w:ascii="Times New Roman" w:cs="Times New Roman" w:eastAsia="Times New Roman" w:hAnsi="Times New Roman"/>
          <w:sz w:val="22"/>
          <w:szCs w:val="22"/>
          <w:color w:val="auto"/>
        </w:rPr>
      </w:pPr>
    </w:p>
    <w:p>
      <w:pPr>
        <w:jc w:val="both"/>
        <w:ind w:left="840" w:right="199" w:firstLine="478"/>
        <w:spacing w:after="0" w:line="241" w:lineRule="auto"/>
        <w:tabs>
          <w:tab w:leader="none" w:pos="1597"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or will constitute funds obtained on behalf of any Blocked Person or will otherwise be used by the Company or any Controlled Entity, directly or indirectly,</w:t>
      </w:r>
    </w:p>
    <w:p>
      <w:pPr>
        <w:spacing w:after="0" w:line="1" w:lineRule="exact"/>
        <w:rPr>
          <w:rFonts w:ascii="Times New Roman" w:cs="Times New Roman" w:eastAsia="Times New Roman" w:hAnsi="Times New Roman"/>
          <w:sz w:val="22"/>
          <w:szCs w:val="22"/>
          <w:color w:val="auto"/>
        </w:rPr>
      </w:pPr>
    </w:p>
    <w:p>
      <w:pPr>
        <w:jc w:val="both"/>
        <w:ind w:left="840" w:right="199" w:hanging="8"/>
        <w:spacing w:after="0" w:line="234" w:lineRule="auto"/>
        <w:tabs>
          <w:tab w:leader="none" w:pos="119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investment in, or any transactions or dealings with, any Blocked Person, (B) for any purpose that would cause any Purchaser to be in violation of any U.S. Economic Sanctions Laws, or (C) otherwise in violation of any U.S. Economic Sanctions Laws;</w:t>
      </w:r>
    </w:p>
    <w:p>
      <w:pPr>
        <w:spacing w:after="0" w:line="204" w:lineRule="exact"/>
        <w:rPr>
          <w:rFonts w:ascii="Times New Roman" w:cs="Times New Roman" w:eastAsia="Times New Roman" w:hAnsi="Times New Roman"/>
          <w:sz w:val="22"/>
          <w:szCs w:val="22"/>
          <w:color w:val="auto"/>
        </w:rPr>
      </w:pPr>
    </w:p>
    <w:p>
      <w:pPr>
        <w:ind w:left="840" w:right="199" w:firstLine="478"/>
        <w:spacing w:after="0" w:line="281" w:lineRule="exact"/>
        <w:tabs>
          <w:tab w:leader="none" w:pos="1657"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w:t>
      </w:r>
    </w:p>
    <w:p>
      <w:pPr>
        <w:spacing w:after="0" w:line="195" w:lineRule="exact"/>
        <w:rPr>
          <w:rFonts w:ascii="Times New Roman" w:cs="Times New Roman" w:eastAsia="Times New Roman" w:hAnsi="Times New Roman"/>
          <w:sz w:val="22"/>
          <w:szCs w:val="22"/>
          <w:color w:val="auto"/>
        </w:rPr>
      </w:pPr>
    </w:p>
    <w:p>
      <w:pPr>
        <w:jc w:val="both"/>
        <w:ind w:left="840" w:right="199" w:firstLine="478"/>
        <w:spacing w:after="0" w:line="258" w:lineRule="exact"/>
        <w:tabs>
          <w:tab w:leader="none" w:pos="1717"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99" w:lineRule="exact"/>
        <w:rPr>
          <w:rFonts w:ascii="Times New Roman" w:cs="Times New Roman" w:eastAsia="Times New Roman" w:hAnsi="Times New Roman"/>
          <w:sz w:val="22"/>
          <w:szCs w:val="22"/>
          <w:color w:val="auto"/>
        </w:rPr>
      </w:pPr>
    </w:p>
    <w:p>
      <w:pPr>
        <w:jc w:val="both"/>
        <w:ind w:left="180" w:right="199" w:firstLine="846"/>
        <w:spacing w:after="0" w:line="265" w:lineRule="exact"/>
        <w:tabs>
          <w:tab w:leader="none" w:pos="134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93" w:lineRule="exact"/>
        <w:rPr>
          <w:sz w:val="20"/>
          <w:szCs w:val="20"/>
          <w:color w:val="auto"/>
        </w:rPr>
      </w:pPr>
    </w:p>
    <w:p>
      <w:pPr>
        <w:jc w:val="both"/>
        <w:ind w:left="180" w:right="199" w:firstLine="648"/>
        <w:spacing w:after="0" w:line="257" w:lineRule="auto"/>
        <w:rPr>
          <w:sz w:val="20"/>
          <w:szCs w:val="20"/>
          <w:color w:val="auto"/>
        </w:rPr>
      </w:pPr>
      <w:r>
        <w:rPr>
          <w:rFonts w:ascii="Times New Roman" w:cs="Times New Roman" w:eastAsia="Times New Roman" w:hAnsi="Times New Roman"/>
          <w:sz w:val="22"/>
          <w:szCs w:val="22"/>
          <w:i w:val="1"/>
          <w:iCs w:val="1"/>
          <w:color w:val="auto"/>
        </w:rPr>
        <w:t>Section 5.17. Status under Certain Statutes</w:t>
      </w:r>
      <w:r>
        <w:rPr>
          <w:rFonts w:ascii="Times New Roman" w:cs="Times New Roman" w:eastAsia="Times New Roman" w:hAnsi="Times New Roman"/>
          <w:sz w:val="22"/>
          <w:szCs w:val="22"/>
          <w:color w:val="auto"/>
        </w:rPr>
        <w:t>. Neither the Company nor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is subject to regulation under the Investment Company Act of 1940, as amended, the Public Utility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64" w:name="page65"/>
    <w:bookmarkEnd w:id="64"/>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Holding Company Act of 2005, as amended, the ICC Termination Act of 1995, as amended, or subject to rate regulation under the Federal Power Act, as amended.</w:t>
      </w:r>
    </w:p>
    <w:p>
      <w:pPr>
        <w:spacing w:after="0" w:line="208"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5.18. Environmental Matters</w:t>
      </w:r>
      <w:r>
        <w:rPr>
          <w:rFonts w:ascii="Times New Roman" w:cs="Times New Roman" w:eastAsia="Times New Roman" w:hAnsi="Times New Roman"/>
          <w:sz w:val="22"/>
          <w:szCs w:val="22"/>
          <w:color w:val="auto"/>
        </w:rPr>
        <w:t>. Neither the Company nor any Subsidiary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knowledge of any 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215" w:lineRule="exact"/>
        <w:rPr>
          <w:sz w:val="20"/>
          <w:szCs w:val="20"/>
          <w:color w:val="auto"/>
        </w:rPr>
      </w:pPr>
    </w:p>
    <w:p>
      <w:pPr>
        <w:jc w:val="both"/>
        <w:ind w:left="840" w:right="199" w:firstLine="902"/>
        <w:spacing w:after="0" w:line="243" w:lineRule="auto"/>
        <w:tabs>
          <w:tab w:leader="none" w:pos="207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218" w:lineRule="exact"/>
        <w:rPr>
          <w:rFonts w:ascii="Times New Roman" w:cs="Times New Roman" w:eastAsia="Times New Roman" w:hAnsi="Times New Roman"/>
          <w:sz w:val="22"/>
          <w:szCs w:val="22"/>
          <w:color w:val="auto"/>
        </w:rPr>
      </w:pPr>
    </w:p>
    <w:p>
      <w:pPr>
        <w:jc w:val="both"/>
        <w:ind w:left="840" w:right="199" w:firstLine="902"/>
        <w:spacing w:after="0" w:line="247" w:lineRule="auto"/>
        <w:tabs>
          <w:tab w:leader="none" w:pos="208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210" w:lineRule="exact"/>
        <w:rPr>
          <w:rFonts w:ascii="Times New Roman" w:cs="Times New Roman" w:eastAsia="Times New Roman" w:hAnsi="Times New Roman"/>
          <w:sz w:val="22"/>
          <w:szCs w:val="22"/>
          <w:color w:val="auto"/>
        </w:rPr>
      </w:pPr>
    </w:p>
    <w:p>
      <w:pPr>
        <w:jc w:val="both"/>
        <w:ind w:left="840" w:right="199" w:firstLine="902"/>
        <w:spacing w:after="0" w:line="248" w:lineRule="auto"/>
        <w:tabs>
          <w:tab w:leader="none" w:pos="207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219"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5.19. Lien of Indenture</w:t>
      </w:r>
      <w:r>
        <w:rPr>
          <w:rFonts w:ascii="Times New Roman" w:cs="Times New Roman" w:eastAsia="Times New Roman" w:hAnsi="Times New Roman"/>
          <w:sz w:val="22"/>
          <w:szCs w:val="22"/>
          <w:color w:val="auto"/>
        </w:rPr>
        <w:t>. The Indenture (and for avoidance of doubt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Supplement) 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65" w:name="page66"/>
    <w:bookmarkEnd w:id="65"/>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5.20. Filings</w:t>
      </w:r>
      <w:r>
        <w:rPr>
          <w:rFonts w:ascii="Times New Roman" w:cs="Times New Roman" w:eastAsia="Times New Roman" w:hAnsi="Times New Roman"/>
          <w:sz w:val="22"/>
          <w:szCs w:val="22"/>
          <w:color w:val="auto"/>
        </w:rPr>
        <w:t>. No action, including any filings, registration or notice,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necessary or advisable in 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60" w:lineRule="exact"/>
        <w:rPr>
          <w:sz w:val="20"/>
          <w:szCs w:val="20"/>
          <w:color w:val="auto"/>
        </w:rPr>
      </w:pPr>
    </w:p>
    <w:p>
      <w:pPr>
        <w:ind w:left="1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Representations of the Purchasers.</w:t>
      </w:r>
    </w:p>
    <w:p>
      <w:pPr>
        <w:spacing w:after="0" w:line="243"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6.1. Purchase for Investment</w:t>
      </w:r>
      <w:r>
        <w:rPr>
          <w:rFonts w:ascii="Times New Roman" w:cs="Times New Roman" w:eastAsia="Times New Roman" w:hAnsi="Times New Roman"/>
          <w:sz w:val="22"/>
          <w:szCs w:val="22"/>
          <w:color w:val="auto"/>
        </w:rPr>
        <w:t>. Each Purchaser severally represents that it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purchasing the Bonds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229"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6.2. Source of Funds</w:t>
      </w:r>
      <w:r>
        <w:rPr>
          <w:rFonts w:ascii="Times New Roman" w:cs="Times New Roman" w:eastAsia="Times New Roman" w:hAnsi="Times New Roman"/>
          <w:sz w:val="22"/>
          <w:szCs w:val="22"/>
          <w:color w:val="auto"/>
        </w:rPr>
        <w:t>. Each Purchaser severally represents that at least one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following statements is an accurate representation as to each source of funds (a </w:t>
      </w:r>
      <w:r>
        <w:rPr>
          <w:rFonts w:ascii="Times New Roman" w:cs="Times New Roman" w:eastAsia="Times New Roman" w:hAnsi="Times New Roman"/>
          <w:sz w:val="22"/>
          <w:szCs w:val="22"/>
          <w:i w:val="1"/>
          <w:iCs w:val="1"/>
          <w:color w:val="auto"/>
        </w:rPr>
        <w:t>“Source”</w:t>
      </w:r>
      <w:r>
        <w:rPr>
          <w:rFonts w:ascii="Times New Roman" w:cs="Times New Roman" w:eastAsia="Times New Roman" w:hAnsi="Times New Roman"/>
          <w:sz w:val="22"/>
          <w:szCs w:val="22"/>
          <w:color w:val="auto"/>
        </w:rPr>
        <w:t>) to be used by such Purchaser to pay the purchase price of the Bonds to be purchased by such Purchaser hereunder:</w:t>
      </w:r>
    </w:p>
    <w:p>
      <w:pPr>
        <w:spacing w:after="0" w:line="210" w:lineRule="exact"/>
        <w:rPr>
          <w:sz w:val="20"/>
          <w:szCs w:val="20"/>
          <w:color w:val="auto"/>
        </w:rPr>
      </w:pPr>
    </w:p>
    <w:p>
      <w:pPr>
        <w:jc w:val="both"/>
        <w:ind w:left="840" w:right="199" w:firstLine="902"/>
        <w:spacing w:after="0" w:line="256" w:lineRule="exact"/>
        <w:tabs>
          <w:tab w:leader="none" w:pos="207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22"/>
          <w:szCs w:val="22"/>
          <w:i w:val="1"/>
          <w:iCs w:val="1"/>
          <w:color w:val="auto"/>
        </w:rPr>
        <w:t>“PTE”</w:t>
      </w:r>
      <w:r>
        <w:rPr>
          <w:rFonts w:ascii="Times New Roman" w:cs="Times New Roman" w:eastAsia="Times New Roman" w:hAnsi="Times New Roman"/>
          <w:sz w:val="22"/>
          <w:szCs w:val="22"/>
          <w:color w:val="auto"/>
        </w:rPr>
        <w:t>) 95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60) in respect of which the reserves and liabilities (as defined by the annual statement for life insurance companies approved by the NAIC (the </w:t>
      </w:r>
      <w:r>
        <w:rPr>
          <w:rFonts w:ascii="Times New Roman" w:cs="Times New Roman" w:eastAsia="Times New Roman" w:hAnsi="Times New Roman"/>
          <w:sz w:val="22"/>
          <w:szCs w:val="22"/>
          <w:i w:val="1"/>
          <w:iCs w:val="1"/>
          <w:color w:val="auto"/>
        </w:rPr>
        <w:t>“NAIC Annual Statement”</w:t>
      </w:r>
      <w:r>
        <w:rPr>
          <w:rFonts w:ascii="Times New Roman" w:cs="Times New Roman" w:eastAsia="Times New Roman" w:hAnsi="Times New Roman"/>
          <w:sz w:val="22"/>
          <w:szCs w:val="22"/>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18" w:lineRule="exact"/>
        <w:rPr>
          <w:rFonts w:ascii="Times New Roman" w:cs="Times New Roman" w:eastAsia="Times New Roman" w:hAnsi="Times New Roman"/>
          <w:sz w:val="22"/>
          <w:szCs w:val="22"/>
          <w:color w:val="auto"/>
        </w:rPr>
      </w:pPr>
    </w:p>
    <w:p>
      <w:pPr>
        <w:jc w:val="both"/>
        <w:ind w:left="840" w:right="199" w:firstLine="902"/>
        <w:spacing w:after="0" w:line="261" w:lineRule="auto"/>
        <w:tabs>
          <w:tab w:leader="none" w:pos="208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66" w:name="page67"/>
    <w:bookmarkEnd w:id="66"/>
    <w:p>
      <w:pPr>
        <w:jc w:val="both"/>
        <w:ind w:left="840" w:right="199" w:firstLine="902"/>
        <w:spacing w:after="0" w:line="257" w:lineRule="exact"/>
        <w:tabs>
          <w:tab w:leader="none" w:pos="207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either (i) an insurance company pooled separate account, within the meaning of PTE 90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or (ii) a bank collective investment fund, within the meaning of the PTE 91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18" w:lineRule="exact"/>
        <w:rPr>
          <w:rFonts w:ascii="Times New Roman" w:cs="Times New Roman" w:eastAsia="Times New Roman" w:hAnsi="Times New Roman"/>
          <w:sz w:val="22"/>
          <w:szCs w:val="22"/>
          <w:color w:val="auto"/>
        </w:rPr>
      </w:pPr>
    </w:p>
    <w:p>
      <w:pPr>
        <w:jc w:val="both"/>
        <w:ind w:left="840" w:right="199" w:firstLine="902"/>
        <w:spacing w:after="0" w:line="253" w:lineRule="exact"/>
        <w:tabs>
          <w:tab w:leader="none" w:pos="208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constitutes assets of an “investment fund” (within the meaning of Part VI of PTE 84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14 (the </w:t>
      </w:r>
      <w:r>
        <w:rPr>
          <w:rFonts w:ascii="Times New Roman" w:cs="Times New Roman" w:eastAsia="Times New Roman" w:hAnsi="Times New Roman"/>
          <w:sz w:val="22"/>
          <w:szCs w:val="22"/>
          <w:i w:val="1"/>
          <w:iCs w:val="1"/>
          <w:color w:val="auto"/>
        </w:rPr>
        <w:t>“QPAM Exemption”</w:t>
      </w:r>
      <w:r>
        <w:rPr>
          <w:rFonts w:ascii="Times New Roman" w:cs="Times New Roman" w:eastAsia="Times New Roman" w:hAnsi="Times New Roman"/>
          <w:sz w:val="22"/>
          <w:szCs w:val="22"/>
          <w:color w:val="auto"/>
        </w:rPr>
        <w:t>)) managed by a “</w:t>
      </w:r>
      <w:r>
        <w:rPr>
          <w:rFonts w:ascii="Times New Roman" w:cs="Times New Roman" w:eastAsia="Times New Roman" w:hAnsi="Times New Roman"/>
          <w:sz w:val="22"/>
          <w:szCs w:val="22"/>
          <w:i w:val="1"/>
          <w:iCs w:val="1"/>
          <w:color w:val="auto"/>
        </w:rPr>
        <w:t>qualified professional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asset manager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QPAM</w:t>
      </w:r>
      <w:r>
        <w:rPr>
          <w:rFonts w:ascii="Times New Roman" w:cs="Times New Roman" w:eastAsia="Times New Roman" w:hAnsi="Times New Roman"/>
          <w:sz w:val="22"/>
          <w:szCs w:val="22"/>
          <w:color w:val="auto"/>
        </w:rPr>
        <w:t>” (within the meaning of Part VI of the QPAM Exemption),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Times New Roman" w:cs="Times New Roman" w:eastAsia="Times New Roman" w:hAnsi="Times New Roman"/>
          <w:sz w:val="22"/>
          <w:szCs w:val="22"/>
          <w:i w:val="1"/>
          <w:iCs w:val="1"/>
          <w:color w:val="auto"/>
        </w:rPr>
        <w:t>related</w:t>
      </w:r>
      <w:r>
        <w:rPr>
          <w:rFonts w:ascii="Times New Roman" w:cs="Times New Roman" w:eastAsia="Times New Roman" w:hAnsi="Times New Roman"/>
          <w:sz w:val="22"/>
          <w:szCs w:val="22"/>
          <w:color w:val="auto"/>
        </w:rPr>
        <w:t>”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34" w:lineRule="exact"/>
        <w:rPr>
          <w:rFonts w:ascii="Times New Roman" w:cs="Times New Roman" w:eastAsia="Times New Roman" w:hAnsi="Times New Roman"/>
          <w:sz w:val="22"/>
          <w:szCs w:val="22"/>
          <w:color w:val="auto"/>
        </w:rPr>
      </w:pPr>
    </w:p>
    <w:p>
      <w:pPr>
        <w:jc w:val="both"/>
        <w:ind w:left="840" w:right="199" w:firstLine="902"/>
        <w:spacing w:after="0" w:line="257" w:lineRule="exact"/>
        <w:tabs>
          <w:tab w:leader="none" w:pos="207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Source constitutes assets of a “</w:t>
      </w:r>
      <w:r>
        <w:rPr>
          <w:rFonts w:ascii="Times New Roman" w:cs="Times New Roman" w:eastAsia="Times New Roman" w:hAnsi="Times New Roman"/>
          <w:sz w:val="21"/>
          <w:szCs w:val="21"/>
          <w:i w:val="1"/>
          <w:iCs w:val="1"/>
          <w:color w:val="auto"/>
        </w:rPr>
        <w:t>plan(s)</w:t>
      </w:r>
      <w:r>
        <w:rPr>
          <w:rFonts w:ascii="Times New Roman" w:cs="Times New Roman" w:eastAsia="Times New Roman" w:hAnsi="Times New Roman"/>
          <w:sz w:val="21"/>
          <w:szCs w:val="21"/>
          <w:color w:val="auto"/>
        </w:rPr>
        <w:t>” (within the meaning of Part IV(h) of PTE 96</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23 (the </w:t>
      </w:r>
      <w:r>
        <w:rPr>
          <w:rFonts w:ascii="Times New Roman" w:cs="Times New Roman" w:eastAsia="Times New Roman" w:hAnsi="Times New Roman"/>
          <w:sz w:val="21"/>
          <w:szCs w:val="21"/>
          <w:i w:val="1"/>
          <w:iCs w:val="1"/>
          <w:color w:val="auto"/>
        </w:rPr>
        <w:t>“INHAM Exemption”</w:t>
      </w:r>
      <w:r>
        <w:rPr>
          <w:rFonts w:ascii="Times New Roman" w:cs="Times New Roman" w:eastAsia="Times New Roman" w:hAnsi="Times New Roman"/>
          <w:sz w:val="21"/>
          <w:szCs w:val="21"/>
          <w:color w:val="auto"/>
        </w:rPr>
        <w:t>)) managed by an “in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house asset manager” or “</w:t>
      </w:r>
      <w:r>
        <w:rPr>
          <w:rFonts w:ascii="Times New Roman" w:cs="Times New Roman" w:eastAsia="Times New Roman" w:hAnsi="Times New Roman"/>
          <w:sz w:val="21"/>
          <w:szCs w:val="21"/>
          <w:i w:val="1"/>
          <w:iCs w:val="1"/>
          <w:color w:val="auto"/>
        </w:rPr>
        <w:t>INHAM</w:t>
      </w:r>
      <w:r>
        <w:rPr>
          <w:rFonts w:ascii="Times New Roman" w:cs="Times New Roman" w:eastAsia="Times New Roman" w:hAnsi="Times New Roman"/>
          <w:sz w:val="21"/>
          <w:szCs w:val="21"/>
          <w:color w:val="auto"/>
        </w:rPr>
        <w:t>” (within the meaning of Part IV(a) of the INHAM Exemption), the conditions of Part I(a), (g) and (h) of the INHAM Exemption are satisfied, neither the INHAM nor a person controlling or controlled by the INHAM (applying the definition of “</w:t>
      </w:r>
      <w:r>
        <w:rPr>
          <w:rFonts w:ascii="Times New Roman" w:cs="Times New Roman" w:eastAsia="Times New Roman" w:hAnsi="Times New Roman"/>
          <w:sz w:val="21"/>
          <w:szCs w:val="21"/>
          <w:i w:val="1"/>
          <w:iCs w:val="1"/>
          <w:color w:val="auto"/>
        </w:rPr>
        <w:t>control</w:t>
      </w:r>
      <w:r>
        <w:rPr>
          <w:rFonts w:ascii="Times New Roman" w:cs="Times New Roman" w:eastAsia="Times New Roman" w:hAnsi="Times New Roman"/>
          <w:sz w:val="21"/>
          <w:szCs w:val="21"/>
          <w:color w:val="auto"/>
        </w:rPr>
        <w:t>” in Part IV(d)(3) of the INHAM Exemption) owns a 10% or more interest in the Company and</w:t>
      </w:r>
    </w:p>
    <w:p>
      <w:pPr>
        <w:jc w:val="both"/>
        <w:ind w:left="840" w:right="199" w:hanging="8"/>
        <w:spacing w:after="0" w:line="239" w:lineRule="auto"/>
        <w:tabs>
          <w:tab w:leader="none" w:pos="109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such INHAM and (ii) the name(s) of the employee benefit plan(s) whose assets constitute the Source have been disclosed to the Company in writing pursuant to this clause (e); or</w:t>
      </w:r>
    </w:p>
    <w:p>
      <w:pPr>
        <w:spacing w:after="0" w:line="219" w:lineRule="exact"/>
        <w:rPr>
          <w:rFonts w:ascii="Times New Roman" w:cs="Times New Roman" w:eastAsia="Times New Roman" w:hAnsi="Times New Roman"/>
          <w:sz w:val="22"/>
          <w:szCs w:val="22"/>
          <w:color w:val="auto"/>
        </w:rPr>
      </w:pPr>
    </w:p>
    <w:p>
      <w:pPr>
        <w:ind w:left="2080" w:hanging="338"/>
        <w:spacing w:after="0"/>
        <w:tabs>
          <w:tab w:leader="none" w:pos="208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governmental plan; or</w:t>
      </w:r>
    </w:p>
    <w:p>
      <w:pPr>
        <w:spacing w:after="0" w:line="260" w:lineRule="exact"/>
        <w:rPr>
          <w:rFonts w:ascii="Times New Roman" w:cs="Times New Roman" w:eastAsia="Times New Roman" w:hAnsi="Times New Roman"/>
          <w:sz w:val="22"/>
          <w:szCs w:val="22"/>
          <w:color w:val="auto"/>
        </w:rPr>
      </w:pPr>
    </w:p>
    <w:p>
      <w:pPr>
        <w:jc w:val="both"/>
        <w:ind w:left="840" w:right="199" w:firstLine="902"/>
        <w:spacing w:after="0" w:line="250" w:lineRule="auto"/>
        <w:tabs>
          <w:tab w:leader="none" w:pos="208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08" w:lineRule="exact"/>
        <w:rPr>
          <w:rFonts w:ascii="Times New Roman" w:cs="Times New Roman" w:eastAsia="Times New Roman" w:hAnsi="Times New Roman"/>
          <w:sz w:val="22"/>
          <w:szCs w:val="22"/>
          <w:color w:val="auto"/>
        </w:rPr>
      </w:pPr>
    </w:p>
    <w:p>
      <w:pPr>
        <w:ind w:left="840" w:right="199" w:firstLine="902"/>
        <w:spacing w:after="0" w:line="271" w:lineRule="auto"/>
        <w:tabs>
          <w:tab w:leader="none" w:pos="208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does not include assets of any employee benefit plan, other than a plan exempt from the coverage of ERISA.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67" w:name="page68"/>
    <w:bookmarkEnd w:id="67"/>
    <w:p>
      <w:pPr>
        <w:ind w:left="180" w:right="199"/>
        <w:spacing w:after="0" w:line="250" w:lineRule="auto"/>
        <w:rPr>
          <w:sz w:val="20"/>
          <w:szCs w:val="20"/>
          <w:color w:val="auto"/>
        </w:rPr>
      </w:pPr>
      <w:r>
        <w:rPr>
          <w:rFonts w:ascii="Times New Roman" w:cs="Times New Roman" w:eastAsia="Times New Roman" w:hAnsi="Times New Roman"/>
          <w:sz w:val="22"/>
          <w:szCs w:val="22"/>
          <w:color w:val="auto"/>
        </w:rPr>
        <w:t xml:space="preserve">As used in this Section 6.2, the terms </w:t>
      </w:r>
      <w:r>
        <w:rPr>
          <w:rFonts w:ascii="Times New Roman" w:cs="Times New Roman" w:eastAsia="Times New Roman" w:hAnsi="Times New Roman"/>
          <w:sz w:val="22"/>
          <w:szCs w:val="22"/>
          <w:i w:val="1"/>
          <w:iCs w:val="1"/>
          <w:color w:val="auto"/>
        </w:rPr>
        <w:t>“employee benefit plan,” “governmental plan,”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 xml:space="preserve">“separate account” </w:t>
      </w:r>
      <w:r>
        <w:rPr>
          <w:rFonts w:ascii="Times New Roman" w:cs="Times New Roman" w:eastAsia="Times New Roman" w:hAnsi="Times New Roman"/>
          <w:sz w:val="22"/>
          <w:szCs w:val="22"/>
          <w:color w:val="auto"/>
        </w:rPr>
        <w:t>shall have the respective meanings assigned to such terms in section 3 of</w:t>
      </w:r>
    </w:p>
    <w:p>
      <w:pPr>
        <w:ind w:left="180"/>
        <w:spacing w:after="0"/>
        <w:rPr>
          <w:sz w:val="20"/>
          <w:szCs w:val="20"/>
          <w:color w:val="auto"/>
        </w:rPr>
      </w:pPr>
      <w:r>
        <w:rPr>
          <w:rFonts w:ascii="Times New Roman" w:cs="Times New Roman" w:eastAsia="Times New Roman" w:hAnsi="Times New Roman"/>
          <w:sz w:val="22"/>
          <w:szCs w:val="22"/>
          <w:color w:val="auto"/>
        </w:rPr>
        <w:t>ERISA.</w:t>
      </w:r>
    </w:p>
    <w:p>
      <w:pPr>
        <w:spacing w:after="0" w:line="263" w:lineRule="exact"/>
        <w:rPr>
          <w:sz w:val="20"/>
          <w:szCs w:val="20"/>
          <w:color w:val="auto"/>
        </w:rPr>
      </w:pPr>
    </w:p>
    <w:p>
      <w:pPr>
        <w:ind w:left="180"/>
        <w:spacing w:after="0"/>
        <w:tabs>
          <w:tab w:leader="none" w:pos="180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Information as to Company.</w:t>
      </w:r>
    </w:p>
    <w:p>
      <w:pPr>
        <w:spacing w:after="0" w:line="243" w:lineRule="exact"/>
        <w:rPr>
          <w:sz w:val="20"/>
          <w:szCs w:val="20"/>
          <w:color w:val="auto"/>
        </w:rPr>
      </w:pPr>
    </w:p>
    <w:p>
      <w:pPr>
        <w:ind w:left="840"/>
        <w:spacing w:after="0"/>
        <w:tabs>
          <w:tab w:leader="none" w:pos="2480" w:val="left"/>
        </w:tabs>
        <w:rPr>
          <w:sz w:val="20"/>
          <w:szCs w:val="20"/>
          <w:color w:val="auto"/>
        </w:rPr>
      </w:pPr>
      <w:r>
        <w:rPr>
          <w:rFonts w:ascii="Times New Roman" w:cs="Times New Roman" w:eastAsia="Times New Roman" w:hAnsi="Times New Roman"/>
          <w:sz w:val="22"/>
          <w:szCs w:val="22"/>
          <w:i w:val="1"/>
          <w:iCs w:val="1"/>
          <w:color w:val="auto"/>
        </w:rPr>
        <w:t>Section 7.1.</w:t>
      </w:r>
      <w:r>
        <w:rPr>
          <w:sz w:val="20"/>
          <w:szCs w:val="20"/>
          <w:color w:val="auto"/>
        </w:rPr>
        <w:tab/>
      </w:r>
      <w:r>
        <w:rPr>
          <w:rFonts w:ascii="Times New Roman" w:cs="Times New Roman" w:eastAsia="Times New Roman" w:hAnsi="Times New Roman"/>
          <w:sz w:val="21"/>
          <w:szCs w:val="21"/>
          <w:i w:val="1"/>
          <w:iCs w:val="1"/>
          <w:color w:val="auto"/>
        </w:rPr>
        <w:t>Financial and Business Information</w:t>
      </w:r>
      <w:r>
        <w:rPr>
          <w:rFonts w:ascii="Times New Roman" w:cs="Times New Roman" w:eastAsia="Times New Roman" w:hAnsi="Times New Roman"/>
          <w:sz w:val="21"/>
          <w:szCs w:val="21"/>
          <w:color w:val="auto"/>
        </w:rPr>
        <w:t>. The Company shall deliver to each</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Purchaser and each holder of Bonds that is an Institutional Investor:</w:t>
      </w:r>
    </w:p>
    <w:p>
      <w:pPr>
        <w:spacing w:after="0" w:line="219" w:lineRule="exact"/>
        <w:rPr>
          <w:sz w:val="20"/>
          <w:szCs w:val="20"/>
          <w:color w:val="auto"/>
        </w:rPr>
      </w:pPr>
    </w:p>
    <w:p>
      <w:pPr>
        <w:jc w:val="both"/>
        <w:ind w:left="840" w:right="199" w:firstLine="902"/>
        <w:spacing w:after="0" w:line="259" w:lineRule="auto"/>
        <w:tabs>
          <w:tab w:leader="none" w:pos="207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Quarterly Statements </w:t>
      </w:r>
      <w:r>
        <w:rPr>
          <w:rFonts w:ascii="Times New Roman" w:cs="Times New Roman" w:eastAsia="Times New Roman" w:hAnsi="Times New Roman"/>
          <w:sz w:val="22"/>
          <w:szCs w:val="22"/>
          <w:color w:val="auto"/>
        </w:rPr>
        <w:t>— within 60 days after the end of each quarterly fiscal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 in each fiscal year of the Company (other than the last quarterly fiscal period of each such fiscal year), duplicate copies of:</w:t>
      </w:r>
    </w:p>
    <w:p>
      <w:pPr>
        <w:spacing w:after="0" w:line="197" w:lineRule="exact"/>
        <w:rPr>
          <w:rFonts w:ascii="Times New Roman" w:cs="Times New Roman" w:eastAsia="Times New Roman" w:hAnsi="Times New Roman"/>
          <w:sz w:val="22"/>
          <w:szCs w:val="22"/>
          <w:color w:val="auto"/>
        </w:rPr>
      </w:pPr>
    </w:p>
    <w:p>
      <w:pPr>
        <w:ind w:left="1480" w:right="199" w:firstLine="783"/>
        <w:spacing w:after="0" w:line="271" w:lineRule="auto"/>
        <w:tabs>
          <w:tab w:leader="none" w:pos="260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the Company and its Subsidiaries as at the end of such quarter, and</w:t>
      </w:r>
    </w:p>
    <w:p>
      <w:pPr>
        <w:spacing w:after="0" w:line="185" w:lineRule="exact"/>
        <w:rPr>
          <w:sz w:val="20"/>
          <w:szCs w:val="20"/>
          <w:color w:val="auto"/>
        </w:rPr>
      </w:pPr>
    </w:p>
    <w:p>
      <w:pPr>
        <w:jc w:val="both"/>
        <w:ind w:left="1480" w:right="199" w:firstLine="756"/>
        <w:spacing w:after="0" w:line="248" w:lineRule="auto"/>
        <w:tabs>
          <w:tab w:leader="none" w:pos="260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10" w:lineRule="exact"/>
        <w:rPr>
          <w:sz w:val="20"/>
          <w:szCs w:val="20"/>
          <w:color w:val="auto"/>
        </w:rPr>
      </w:pPr>
    </w:p>
    <w:p>
      <w:pPr>
        <w:jc w:val="both"/>
        <w:ind w:left="1480" w:right="199"/>
        <w:spacing w:after="0" w:line="256" w:lineRule="exact"/>
        <w:rPr>
          <w:sz w:val="20"/>
          <w:szCs w:val="20"/>
          <w:color w:val="auto"/>
        </w:rPr>
      </w:pPr>
      <w:r>
        <w:rPr>
          <w:rFonts w:ascii="Times New Roman" w:cs="Times New Roman" w:eastAsia="Times New Roman" w:hAnsi="Times New Roman"/>
          <w:sz w:val="22"/>
          <w:szCs w:val="22"/>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end adjustments,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delivery within the time period specified above of the Company’s said financial statements, prepared in accordance with the requirements therefor and filed with the Municipal Securities Rulemaking Board on the Electronic Municipal Market Access (“</w:t>
      </w:r>
      <w:r>
        <w:rPr>
          <w:rFonts w:ascii="Times New Roman" w:cs="Times New Roman" w:eastAsia="Times New Roman" w:hAnsi="Times New Roman"/>
          <w:sz w:val="22"/>
          <w:szCs w:val="22"/>
          <w:i w:val="1"/>
          <w:iCs w:val="1"/>
          <w:color w:val="auto"/>
        </w:rPr>
        <w:t>EMMA</w:t>
      </w:r>
      <w:r>
        <w:rPr>
          <w:rFonts w:ascii="Times New Roman" w:cs="Times New Roman" w:eastAsia="Times New Roman" w:hAnsi="Times New Roman"/>
          <w:sz w:val="22"/>
          <w:szCs w:val="22"/>
          <w:color w:val="auto"/>
        </w:rPr>
        <w:t xml:space="preserve">”) database shall be deemed to satisfy the requirements of this </w:t>
      </w:r>
      <w:r>
        <w:rPr>
          <w:rFonts w:ascii="Times New Roman" w:cs="Times New Roman" w:eastAsia="Times New Roman" w:hAnsi="Times New Roman"/>
          <w:sz w:val="22"/>
          <w:szCs w:val="22"/>
          <w:b w:val="1"/>
          <w:bCs w:val="1"/>
          <w:color w:val="auto"/>
        </w:rPr>
        <w:t>Section 7.1(a)</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left="840" w:right="199" w:firstLine="915"/>
        <w:spacing w:after="0" w:line="275" w:lineRule="auto"/>
        <w:tabs>
          <w:tab w:leader="none" w:pos="229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Annual Statements </w:t>
      </w:r>
      <w:r>
        <w:rPr>
          <w:rFonts w:ascii="Times New Roman" w:cs="Times New Roman" w:eastAsia="Times New Roman" w:hAnsi="Times New Roman"/>
          <w:sz w:val="22"/>
          <w:szCs w:val="22"/>
          <w:color w:val="auto"/>
        </w:rPr>
        <w:t>— within 120 days after the end of each fiscal year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duplicate copies of:</w:t>
      </w:r>
    </w:p>
    <w:p>
      <w:pPr>
        <w:spacing w:after="0" w:line="180" w:lineRule="exact"/>
        <w:rPr>
          <w:rFonts w:ascii="Times New Roman" w:cs="Times New Roman" w:eastAsia="Times New Roman" w:hAnsi="Times New Roman"/>
          <w:sz w:val="22"/>
          <w:szCs w:val="22"/>
          <w:color w:val="auto"/>
        </w:rPr>
      </w:pPr>
    </w:p>
    <w:p>
      <w:pPr>
        <w:ind w:left="1480" w:right="199" w:firstLine="783"/>
        <w:spacing w:after="0" w:line="271" w:lineRule="auto"/>
        <w:tabs>
          <w:tab w:leader="none" w:pos="260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the Company and its Subsidiaries, as at the end of such year, and</w:t>
      </w:r>
    </w:p>
    <w:p>
      <w:pPr>
        <w:spacing w:after="0" w:line="185" w:lineRule="exact"/>
        <w:rPr>
          <w:sz w:val="20"/>
          <w:szCs w:val="20"/>
          <w:color w:val="auto"/>
        </w:rPr>
      </w:pPr>
    </w:p>
    <w:p>
      <w:pPr>
        <w:ind w:left="1480" w:right="199" w:firstLine="756"/>
        <w:spacing w:after="0" w:line="271" w:lineRule="auto"/>
        <w:tabs>
          <w:tab w:leader="none" w:pos="260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the Company and its Subsidiaries for such year,</w:t>
      </w:r>
    </w:p>
    <w:p>
      <w:pPr>
        <w:spacing w:after="0" w:line="185" w:lineRule="exact"/>
        <w:rPr>
          <w:sz w:val="20"/>
          <w:szCs w:val="20"/>
          <w:color w:val="auto"/>
        </w:rPr>
      </w:pPr>
    </w:p>
    <w:p>
      <w:pPr>
        <w:jc w:val="both"/>
        <w:ind w:left="1480" w:right="199"/>
        <w:spacing w:after="0" w:line="264" w:lineRule="auto"/>
        <w:rPr>
          <w:sz w:val="20"/>
          <w:szCs w:val="20"/>
          <w:color w:val="auto"/>
        </w:rPr>
      </w:pPr>
      <w:r>
        <w:rPr>
          <w:rFonts w:ascii="Times New Roman" w:cs="Times New Roman" w:eastAsia="Times New Roman" w:hAnsi="Times New Roman"/>
          <w:sz w:val="21"/>
          <w:szCs w:val="21"/>
          <w:color w:val="auto"/>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68" w:name="page69"/>
    <w:bookmarkEnd w:id="68"/>
    <w:p>
      <w:pPr>
        <w:jc w:val="both"/>
        <w:ind w:left="1480" w:right="199"/>
        <w:spacing w:after="0" w:line="253" w:lineRule="auto"/>
        <w:rPr>
          <w:sz w:val="20"/>
          <w:szCs w:val="20"/>
          <w:color w:val="auto"/>
        </w:rPr>
      </w:pPr>
      <w:r>
        <w:rPr>
          <w:rFonts w:ascii="Times New Roman" w:cs="Times New Roman" w:eastAsia="Times New Roman" w:hAnsi="Times New Roman"/>
          <w:sz w:val="21"/>
          <w:szCs w:val="21"/>
          <w:color w:val="auto"/>
        </w:rPr>
        <w:t xml:space="preserve">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w:t>
      </w:r>
      <w:r>
        <w:rPr>
          <w:rFonts w:ascii="Times New Roman" w:cs="Times New Roman" w:eastAsia="Times New Roman" w:hAnsi="Times New Roman"/>
          <w:sz w:val="21"/>
          <w:szCs w:val="21"/>
          <w:b w:val="1"/>
          <w:bCs w:val="1"/>
          <w:color w:val="auto"/>
        </w:rPr>
        <w:t>Section 7.1(b)</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left="840" w:right="199" w:firstLine="902"/>
        <w:spacing w:after="0" w:line="242" w:lineRule="auto"/>
        <w:tabs>
          <w:tab w:leader="none" w:pos="207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 and Other Reports </w:t>
      </w:r>
      <w:r>
        <w:rPr>
          <w:rFonts w:ascii="Times New Roman" w:cs="Times New Roman" w:eastAsia="Times New Roman" w:hAnsi="Times New Roman"/>
          <w:sz w:val="22"/>
          <w:szCs w:val="22"/>
          <w:color w:val="auto"/>
        </w:rPr>
        <w:t>— promptly upon their becoming available, one copy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(i) each 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w:t>
      </w:r>
      <w:r>
        <w:rPr>
          <w:rFonts w:ascii="Times New Roman" w:cs="Times New Roman" w:eastAsia="Times New Roman" w:hAnsi="Times New Roman"/>
          <w:sz w:val="22"/>
          <w:szCs w:val="22"/>
          <w:b w:val="1"/>
          <w:bCs w:val="1"/>
          <w:color w:val="auto"/>
        </w:rPr>
        <w:t>Section 7.1(c)</w:t>
      </w:r>
      <w:r>
        <w:rPr>
          <w:rFonts w:ascii="Times New Roman" w:cs="Times New Roman" w:eastAsia="Times New Roman" w:hAnsi="Times New Roman"/>
          <w:sz w:val="22"/>
          <w:szCs w:val="22"/>
          <w:color w:val="auto"/>
        </w:rPr>
        <w:t>;</w:t>
      </w:r>
    </w:p>
    <w:p>
      <w:pPr>
        <w:spacing w:after="0" w:line="216" w:lineRule="exact"/>
        <w:rPr>
          <w:rFonts w:ascii="Times New Roman" w:cs="Times New Roman" w:eastAsia="Times New Roman" w:hAnsi="Times New Roman"/>
          <w:sz w:val="22"/>
          <w:szCs w:val="22"/>
          <w:color w:val="auto"/>
        </w:rPr>
      </w:pPr>
    </w:p>
    <w:p>
      <w:pPr>
        <w:jc w:val="both"/>
        <w:ind w:left="840" w:right="199" w:firstLine="902"/>
        <w:spacing w:after="0" w:line="249" w:lineRule="auto"/>
        <w:tabs>
          <w:tab w:leader="none" w:pos="208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Default or Event of Default </w:t>
      </w:r>
      <w:r>
        <w:rPr>
          <w:rFonts w:ascii="Times New Roman" w:cs="Times New Roman" w:eastAsia="Times New Roman" w:hAnsi="Times New Roman"/>
          <w:sz w:val="22"/>
          <w:szCs w:val="22"/>
          <w:color w:val="auto"/>
        </w:rPr>
        <w:t>— promptly, and in any event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five days after a Responsible Officer becomes aware of the existence of any Default or Event of Default, a written notice specifying the nature and period of existence thereof and what action the Company is taking or proposes to take with respect thereto;</w:t>
      </w:r>
    </w:p>
    <w:p>
      <w:pPr>
        <w:spacing w:after="0" w:line="219" w:lineRule="exact"/>
        <w:rPr>
          <w:rFonts w:ascii="Times New Roman" w:cs="Times New Roman" w:eastAsia="Times New Roman" w:hAnsi="Times New Roman"/>
          <w:sz w:val="22"/>
          <w:szCs w:val="22"/>
          <w:color w:val="auto"/>
        </w:rPr>
      </w:pPr>
    </w:p>
    <w:p>
      <w:pPr>
        <w:jc w:val="both"/>
        <w:ind w:left="840" w:right="199" w:firstLine="902"/>
        <w:spacing w:after="0" w:line="249" w:lineRule="auto"/>
        <w:tabs>
          <w:tab w:leader="none" w:pos="207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Benefits Matters </w:t>
      </w:r>
      <w:r>
        <w:rPr>
          <w:rFonts w:ascii="Times New Roman" w:cs="Times New Roman" w:eastAsia="Times New Roman" w:hAnsi="Times New Roman"/>
          <w:sz w:val="22"/>
          <w:szCs w:val="22"/>
          <w:color w:val="auto"/>
        </w:rPr>
        <w:t>— promptly, and in any event within five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a Responsible Officer becomes aware of any of the following, a written notice setting forth the nature thereof and the action, if any, that the Company or an ERISA Affiliate proposes to take with respect thereto:</w:t>
      </w:r>
    </w:p>
    <w:p>
      <w:pPr>
        <w:spacing w:after="0" w:line="209" w:lineRule="exact"/>
        <w:rPr>
          <w:rFonts w:ascii="Times New Roman" w:cs="Times New Roman" w:eastAsia="Times New Roman" w:hAnsi="Times New Roman"/>
          <w:sz w:val="22"/>
          <w:szCs w:val="22"/>
          <w:color w:val="auto"/>
        </w:rPr>
      </w:pPr>
    </w:p>
    <w:p>
      <w:pPr>
        <w:jc w:val="both"/>
        <w:ind w:left="1480" w:right="199" w:firstLine="783"/>
        <w:spacing w:after="0" w:line="248" w:lineRule="auto"/>
        <w:tabs>
          <w:tab w:leader="none" w:pos="260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210" w:lineRule="exact"/>
        <w:rPr>
          <w:sz w:val="20"/>
          <w:szCs w:val="20"/>
          <w:color w:val="auto"/>
        </w:rPr>
      </w:pPr>
    </w:p>
    <w:p>
      <w:pPr>
        <w:jc w:val="both"/>
        <w:ind w:left="1480" w:right="199" w:firstLine="756"/>
        <w:spacing w:after="0" w:line="246" w:lineRule="auto"/>
        <w:tabs>
          <w:tab w:leader="none" w:pos="260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69" w:name="page70"/>
    <w:bookmarkEnd w:id="69"/>
    <w:p>
      <w:pPr>
        <w:jc w:val="both"/>
        <w:ind w:left="1480" w:right="199" w:firstLine="715"/>
        <w:spacing w:after="0" w:line="241" w:lineRule="auto"/>
        <w:tabs>
          <w:tab w:leader="none" w:pos="258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31" w:lineRule="exact"/>
        <w:rPr>
          <w:rFonts w:ascii="Times New Roman" w:cs="Times New Roman" w:eastAsia="Times New Roman" w:hAnsi="Times New Roman"/>
          <w:sz w:val="22"/>
          <w:szCs w:val="22"/>
          <w:color w:val="auto"/>
        </w:rPr>
      </w:pPr>
    </w:p>
    <w:p>
      <w:pPr>
        <w:jc w:val="both"/>
        <w:ind w:left="840" w:right="199" w:firstLine="902"/>
        <w:spacing w:after="0" w:line="249" w:lineRule="auto"/>
        <w:tabs>
          <w:tab w:leader="none" w:pos="208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from Governmental Authority </w:t>
      </w:r>
      <w:r>
        <w:rPr>
          <w:rFonts w:ascii="Times New Roman" w:cs="Times New Roman" w:eastAsia="Times New Roman" w:hAnsi="Times New Roman"/>
          <w:sz w:val="22"/>
          <w:szCs w:val="22"/>
          <w:color w:val="auto"/>
        </w:rPr>
        <w:t>— promptly, and in any event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30 days of 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205" w:lineRule="exact"/>
        <w:rPr>
          <w:rFonts w:ascii="Times New Roman" w:cs="Times New Roman" w:eastAsia="Times New Roman" w:hAnsi="Times New Roman"/>
          <w:sz w:val="22"/>
          <w:szCs w:val="22"/>
          <w:color w:val="auto"/>
        </w:rPr>
      </w:pPr>
    </w:p>
    <w:p>
      <w:pPr>
        <w:jc w:val="both"/>
        <w:ind w:left="840" w:right="199" w:firstLine="902"/>
        <w:spacing w:after="0" w:line="241" w:lineRule="auto"/>
        <w:tabs>
          <w:tab w:leader="none" w:pos="208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Requested Information </w:t>
      </w:r>
      <w:r>
        <w:rPr>
          <w:rFonts w:ascii="Times New Roman" w:cs="Times New Roman" w:eastAsia="Times New Roman" w:hAnsi="Times New Roman"/>
          <w:sz w:val="22"/>
          <w:szCs w:val="22"/>
          <w:color w:val="auto"/>
        </w:rPr>
        <w:t>— with reasonable promptness, following the receipt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Company of 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229" w:lineRule="exact"/>
        <w:rPr>
          <w:rFonts w:ascii="Times New Roman" w:cs="Times New Roman" w:eastAsia="Times New Roman" w:hAnsi="Times New Roman"/>
          <w:sz w:val="22"/>
          <w:szCs w:val="22"/>
          <w:color w:val="auto"/>
        </w:rPr>
      </w:pPr>
    </w:p>
    <w:p>
      <w:pPr>
        <w:jc w:val="both"/>
        <w:ind w:left="840" w:right="199" w:firstLine="902"/>
        <w:spacing w:after="0" w:line="249" w:lineRule="auto"/>
        <w:tabs>
          <w:tab w:leader="none" w:pos="208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Deliveries to Trustee </w:t>
      </w:r>
      <w:r>
        <w:rPr>
          <w:rFonts w:ascii="Times New Roman" w:cs="Times New Roman" w:eastAsia="Times New Roman" w:hAnsi="Times New Roman"/>
          <w:sz w:val="22"/>
          <w:szCs w:val="22"/>
          <w:color w:val="auto"/>
        </w:rPr>
        <w:t>— promptly, and in any event within five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delivery to the Trustee, a copy of any deliveries made by the Company to the Trustee, including without limitation the annual report delivered to the Trustee pursuant to Article VIII, Section 12 of the Indenture.</w:t>
      </w:r>
    </w:p>
    <w:p>
      <w:pPr>
        <w:spacing w:after="0" w:line="206" w:lineRule="exact"/>
        <w:rPr>
          <w:sz w:val="20"/>
          <w:szCs w:val="20"/>
          <w:color w:val="auto"/>
        </w:rPr>
      </w:pPr>
    </w:p>
    <w:p>
      <w:pPr>
        <w:jc w:val="both"/>
        <w:ind w:left="180" w:right="199" w:firstLine="648"/>
        <w:spacing w:after="0" w:line="254" w:lineRule="auto"/>
        <w:rPr>
          <w:sz w:val="20"/>
          <w:szCs w:val="20"/>
          <w:color w:val="auto"/>
        </w:rPr>
      </w:pPr>
      <w:r>
        <w:rPr>
          <w:rFonts w:ascii="Times New Roman" w:cs="Times New Roman" w:eastAsia="Times New Roman" w:hAnsi="Times New Roman"/>
          <w:sz w:val="21"/>
          <w:szCs w:val="21"/>
          <w:i w:val="1"/>
          <w:iCs w:val="1"/>
          <w:color w:val="auto"/>
        </w:rPr>
        <w:t>Section 7.2 Officer’s Certificate</w:t>
      </w:r>
      <w:r>
        <w:rPr>
          <w:rFonts w:ascii="Times New Roman" w:cs="Times New Roman" w:eastAsia="Times New Roman" w:hAnsi="Times New Roman"/>
          <w:sz w:val="21"/>
          <w:szCs w:val="21"/>
          <w:color w:val="auto"/>
        </w:rPr>
        <w:t>. Each set of financial statements delivered to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holder of Bonds pursuant to </w:t>
      </w:r>
      <w:r>
        <w:rPr>
          <w:rFonts w:ascii="Times New Roman" w:cs="Times New Roman" w:eastAsia="Times New Roman" w:hAnsi="Times New Roman"/>
          <w:sz w:val="21"/>
          <w:szCs w:val="21"/>
          <w:b w:val="1"/>
          <w:bCs w:val="1"/>
          <w:color w:val="auto"/>
        </w:rPr>
        <w:t>Section 7.1(a)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Section 7.1(b)</w:t>
      </w:r>
      <w:r>
        <w:rPr>
          <w:rFonts w:ascii="Times New Roman" w:cs="Times New Roman" w:eastAsia="Times New Roman" w:hAnsi="Times New Roman"/>
          <w:sz w:val="21"/>
          <w:szCs w:val="21"/>
          <w:color w:val="auto"/>
        </w:rPr>
        <w:t xml:space="preserve">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70" w:name="page71"/>
    <w:bookmarkEnd w:id="70"/>
    <w:p>
      <w:pPr>
        <w:ind w:left="840"/>
        <w:spacing w:after="0"/>
        <w:tabs>
          <w:tab w:leader="none" w:pos="2540" w:val="left"/>
          <w:tab w:leader="none" w:pos="3660" w:val="left"/>
        </w:tabs>
        <w:rPr>
          <w:sz w:val="20"/>
          <w:szCs w:val="20"/>
          <w:color w:val="auto"/>
        </w:rPr>
      </w:pPr>
      <w:r>
        <w:rPr>
          <w:rFonts w:ascii="Times New Roman" w:cs="Times New Roman" w:eastAsia="Times New Roman" w:hAnsi="Times New Roman"/>
          <w:sz w:val="22"/>
          <w:szCs w:val="22"/>
          <w:i w:val="1"/>
          <w:iCs w:val="1"/>
          <w:color w:val="auto"/>
        </w:rPr>
        <w:t>Section 7.3.</w:t>
      </w:r>
      <w:r>
        <w:rPr>
          <w:sz w:val="20"/>
          <w:szCs w:val="20"/>
          <w:color w:val="auto"/>
        </w:rPr>
        <w:tab/>
      </w:r>
      <w:r>
        <w:rPr>
          <w:rFonts w:ascii="Times New Roman" w:cs="Times New Roman" w:eastAsia="Times New Roman" w:hAnsi="Times New Roman"/>
          <w:sz w:val="22"/>
          <w:szCs w:val="22"/>
          <w:i w:val="1"/>
          <w:iCs w:val="1"/>
          <w:color w:val="auto"/>
        </w:rPr>
        <w:t>Visitation</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Company shall permit the representatives of each</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Purchaser and each holder of Bonds that is an Institutional Investor:</w:t>
      </w:r>
    </w:p>
    <w:p>
      <w:pPr>
        <w:spacing w:after="0" w:line="232" w:lineRule="exact"/>
        <w:rPr>
          <w:sz w:val="20"/>
          <w:szCs w:val="20"/>
          <w:color w:val="auto"/>
        </w:rPr>
      </w:pPr>
    </w:p>
    <w:p>
      <w:pPr>
        <w:jc w:val="both"/>
        <w:ind w:left="840" w:right="199" w:firstLine="902"/>
        <w:spacing w:after="0" w:line="244" w:lineRule="auto"/>
        <w:tabs>
          <w:tab w:leader="none" w:pos="207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Default </w:t>
      </w:r>
      <w:r>
        <w:rPr>
          <w:rFonts w:ascii="Times New Roman" w:cs="Times New Roman" w:eastAsia="Times New Roman" w:hAnsi="Times New Roman"/>
          <w:sz w:val="22"/>
          <w:szCs w:val="22"/>
          <w:color w:val="auto"/>
        </w:rPr>
        <w:t>— if no Default or Event of Default then exists, at the expense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211" w:lineRule="exact"/>
        <w:rPr>
          <w:rFonts w:ascii="Times New Roman" w:cs="Times New Roman" w:eastAsia="Times New Roman" w:hAnsi="Times New Roman"/>
          <w:sz w:val="22"/>
          <w:szCs w:val="22"/>
          <w:color w:val="auto"/>
        </w:rPr>
      </w:pPr>
    </w:p>
    <w:p>
      <w:pPr>
        <w:jc w:val="both"/>
        <w:ind w:left="840" w:right="199" w:firstLine="902"/>
        <w:spacing w:after="0" w:line="242" w:lineRule="auto"/>
        <w:tabs>
          <w:tab w:leader="none" w:pos="208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 if a Default or Event of Default then exists, at the expense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58"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color w:val="auto"/>
        </w:rPr>
        <w:t>Purchase of Bonds</w:t>
      </w:r>
    </w:p>
    <w:p>
      <w:pPr>
        <w:spacing w:after="0" w:line="260"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1"/>
          <w:szCs w:val="21"/>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w:t>
      </w:r>
    </w:p>
    <w:p>
      <w:pPr>
        <w:spacing w:after="0" w:line="1" w:lineRule="exact"/>
        <w:rPr>
          <w:sz w:val="20"/>
          <w:szCs w:val="20"/>
          <w:color w:val="auto"/>
        </w:rPr>
      </w:pPr>
    </w:p>
    <w:p>
      <w:pPr>
        <w:jc w:val="both"/>
        <w:ind w:left="180" w:right="199" w:firstLine="4"/>
        <w:spacing w:after="0" w:line="238" w:lineRule="auto"/>
        <w:tabs>
          <w:tab w:leader="none" w:pos="51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67"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color w:val="auto"/>
        </w:rPr>
        <w:t>Affirmative Covenants.</w:t>
      </w:r>
    </w:p>
    <w:p>
      <w:pPr>
        <w:spacing w:after="0" w:line="260"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The Company covenants that from the date of this Agreement and thereafter, so long as any of the Bonds are outstanding:</w:t>
      </w:r>
    </w:p>
    <w:p>
      <w:pPr>
        <w:spacing w:after="0" w:line="208"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9.1. Compliance with Law</w:t>
      </w:r>
      <w:r>
        <w:rPr>
          <w:rFonts w:ascii="Times New Roman" w:cs="Times New Roman" w:eastAsia="Times New Roman" w:hAnsi="Times New Roman"/>
          <w:sz w:val="22"/>
          <w:szCs w:val="22"/>
          <w:color w:val="auto"/>
        </w:rPr>
        <w:t>. Without limiting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10.4</w:t>
      </w:r>
      <w:r>
        <w:rPr>
          <w:rFonts w:ascii="Times New Roman" w:cs="Times New Roman" w:eastAsia="Times New Roman" w:hAnsi="Times New Roman"/>
          <w:sz w:val="22"/>
          <w:szCs w:val="22"/>
          <w:color w:val="auto"/>
        </w:rPr>
        <w:t>,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and will cause each of its Subsidiaries to, comply with all laws, ordinances or governmental rules or regulations to which each of them is subject, including, without limitation, ERISA, Environmental Laws, the USA Patriot Act and the other laws and regulations that are referred to</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71" w:name="page72"/>
    <w:bookmarkEnd w:id="71"/>
    <w:p>
      <w:pPr>
        <w:jc w:val="both"/>
        <w:ind w:left="180" w:right="199"/>
        <w:spacing w:after="0" w:line="257" w:lineRule="exact"/>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Section 5.16</w:t>
      </w:r>
      <w:r>
        <w:rPr>
          <w:rFonts w:ascii="Times New Roman" w:cs="Times New Roman" w:eastAsia="Times New Roman" w:hAnsi="Times New Roman"/>
          <w:sz w:val="22"/>
          <w:szCs w:val="22"/>
          <w:color w:val="auto"/>
        </w:rPr>
        <w:t>,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19"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9.2. Insurance</w:t>
      </w:r>
      <w:r>
        <w:rPr>
          <w:rFonts w:ascii="Times New Roman" w:cs="Times New Roman" w:eastAsia="Times New Roman" w:hAnsi="Times New Roman"/>
          <w:sz w:val="22"/>
          <w:szCs w:val="22"/>
          <w:color w:val="auto"/>
        </w:rPr>
        <w:t>. The Company will cause each of its Subsidiaries to maintain,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25"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9.3. Maintenance of Properties</w:t>
      </w:r>
      <w:r>
        <w:rPr>
          <w:rFonts w:ascii="Times New Roman" w:cs="Times New Roman" w:eastAsia="Times New Roman" w:hAnsi="Times New Roman"/>
          <w:sz w:val="22"/>
          <w:szCs w:val="22"/>
          <w:color w:val="auto"/>
        </w:rPr>
        <w:t>. The Company will cause each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b w:val="1"/>
          <w:bCs w:val="1"/>
          <w:color w:val="auto"/>
        </w:rPr>
        <w:t xml:space="preserve">Section 9.3 </w:t>
      </w:r>
      <w:r>
        <w:rPr>
          <w:rFonts w:ascii="Times New Roman" w:cs="Times New Roman" w:eastAsia="Times New Roman" w:hAnsi="Times New Roman"/>
          <w:sz w:val="22"/>
          <w:szCs w:val="22"/>
          <w:color w:val="auto"/>
        </w:rPr>
        <w:t>shall not prevent any Subsidiary from discontinuing the operation and the maintenance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214"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9.4. Payment of Taxes</w:t>
      </w:r>
      <w:r>
        <w:rPr>
          <w:rFonts w:ascii="Times New Roman" w:cs="Times New Roman" w:eastAsia="Times New Roman" w:hAnsi="Times New Roman"/>
          <w:sz w:val="22"/>
          <w:szCs w:val="22"/>
          <w:color w:val="auto"/>
        </w:rPr>
        <w:t>. The Company will cause each of its Subsidiaries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file all 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218" w:lineRule="exact"/>
        <w:rPr>
          <w:sz w:val="20"/>
          <w:szCs w:val="20"/>
          <w:color w:val="auto"/>
        </w:rPr>
      </w:pPr>
    </w:p>
    <w:p>
      <w:pPr>
        <w:jc w:val="both"/>
        <w:ind w:left="180" w:right="199" w:firstLine="648"/>
        <w:spacing w:after="0" w:line="259" w:lineRule="exact"/>
        <w:rPr>
          <w:sz w:val="20"/>
          <w:szCs w:val="20"/>
          <w:color w:val="auto"/>
        </w:rPr>
      </w:pPr>
      <w:r>
        <w:rPr>
          <w:rFonts w:ascii="Times New Roman" w:cs="Times New Roman" w:eastAsia="Times New Roman" w:hAnsi="Times New Roman"/>
          <w:sz w:val="22"/>
          <w:szCs w:val="22"/>
          <w:i w:val="1"/>
          <w:iCs w:val="1"/>
          <w:color w:val="auto"/>
        </w:rPr>
        <w:t>Section 9.5. Corporate Existence, Etc</w:t>
      </w:r>
      <w:r>
        <w:rPr>
          <w:rFonts w:ascii="Times New Roman" w:cs="Times New Roman" w:eastAsia="Times New Roman" w:hAnsi="Times New Roman"/>
          <w:sz w:val="22"/>
          <w:szCs w:val="22"/>
          <w:color w:val="auto"/>
        </w:rPr>
        <w:t>. The Company will at all times preserve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keep in full force and effect the corporate existence of each of its Subsidiaries (unless merged into the Company or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219"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Section 9.6. Books and Records</w:t>
      </w:r>
      <w:r>
        <w:rPr>
          <w:rFonts w:ascii="Times New Roman" w:cs="Times New Roman" w:eastAsia="Times New Roman" w:hAnsi="Times New Roman"/>
          <w:sz w:val="22"/>
          <w:szCs w:val="22"/>
          <w:color w:val="auto"/>
        </w:rPr>
        <w:t>. The Company will, and will cause each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to, maintain proper books of record and account in conformity with GAAP and all</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72" w:name="page73"/>
    <w:bookmarkEnd w:id="72"/>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applicable requirements of any Governmental Authority having legal or regulatory jurisdiction over the Company or such Subsidiary.</w:t>
      </w:r>
    </w:p>
    <w:p>
      <w:pPr>
        <w:spacing w:after="0" w:line="239" w:lineRule="exact"/>
        <w:rPr>
          <w:sz w:val="20"/>
          <w:szCs w:val="20"/>
          <w:color w:val="auto"/>
        </w:rPr>
      </w:pPr>
    </w:p>
    <w:p>
      <w:pPr>
        <w:ind w:left="1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color w:val="auto"/>
        </w:rPr>
        <w:t>Negative Covenants.</w:t>
      </w:r>
    </w:p>
    <w:p>
      <w:pPr>
        <w:spacing w:after="0" w:line="260"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The Company covenants that from the date of this Agreement and thereafter, so long as any of the Bonds are outstanding:</w:t>
      </w:r>
    </w:p>
    <w:p>
      <w:pPr>
        <w:spacing w:after="0" w:line="208"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10.1. Transactions with Affiliates</w:t>
      </w:r>
      <w:r>
        <w:rPr>
          <w:rFonts w:ascii="Times New Roman" w:cs="Times New Roman" w:eastAsia="Times New Roman" w:hAnsi="Times New Roman"/>
          <w:sz w:val="22"/>
          <w:szCs w:val="22"/>
          <w:color w:val="auto"/>
        </w:rPr>
        <w:t>. The Company will not and will not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212" w:lineRule="exact"/>
        <w:rPr>
          <w:sz w:val="20"/>
          <w:szCs w:val="20"/>
          <w:color w:val="auto"/>
        </w:rPr>
      </w:pPr>
    </w:p>
    <w:p>
      <w:pPr>
        <w:jc w:val="both"/>
        <w:ind w:left="180" w:right="19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Section 10.2. Merger, Consolidation, Etc</w:t>
      </w:r>
      <w:r>
        <w:rPr>
          <w:rFonts w:ascii="Times New Roman" w:cs="Times New Roman" w:eastAsia="Times New Roman" w:hAnsi="Times New Roman"/>
          <w:sz w:val="22"/>
          <w:szCs w:val="22"/>
          <w:color w:val="auto"/>
        </w:rPr>
        <w:t>. The Company will not consolidate with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merge with any other Person or convey, transfer or lease all or substantially all of its assets in a single transaction or series of transactions to any Person unless:</w:t>
      </w:r>
    </w:p>
    <w:p>
      <w:pPr>
        <w:spacing w:after="0" w:line="220" w:lineRule="exact"/>
        <w:rPr>
          <w:sz w:val="20"/>
          <w:szCs w:val="20"/>
          <w:color w:val="auto"/>
        </w:rPr>
      </w:pPr>
    </w:p>
    <w:p>
      <w:pPr>
        <w:jc w:val="both"/>
        <w:ind w:left="840" w:right="199" w:firstLine="902"/>
        <w:spacing w:after="0" w:line="241" w:lineRule="auto"/>
        <w:tabs>
          <w:tab w:leader="none" w:pos="207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221" w:lineRule="exact"/>
        <w:rPr>
          <w:rFonts w:ascii="Times New Roman" w:cs="Times New Roman" w:eastAsia="Times New Roman" w:hAnsi="Times New Roman"/>
          <w:sz w:val="22"/>
          <w:szCs w:val="22"/>
          <w:color w:val="auto"/>
        </w:rPr>
      </w:pPr>
    </w:p>
    <w:p>
      <w:pPr>
        <w:ind w:left="840" w:right="199" w:firstLine="902"/>
        <w:spacing w:after="0" w:line="271" w:lineRule="auto"/>
        <w:tabs>
          <w:tab w:leader="none" w:pos="208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immediately after giving effect to such transaction, no Default or Event of Default shall have occurred and be continuing.</w:t>
      </w:r>
    </w:p>
    <w:p>
      <w:pPr>
        <w:spacing w:after="0" w:line="185" w:lineRule="exact"/>
        <w:rPr>
          <w:sz w:val="20"/>
          <w:szCs w:val="20"/>
          <w:color w:val="auto"/>
        </w:rPr>
      </w:pPr>
    </w:p>
    <w:p>
      <w:pPr>
        <w:jc w:val="both"/>
        <w:ind w:left="180" w:right="199"/>
        <w:spacing w:after="0" w:line="248" w:lineRule="auto"/>
        <w:rPr>
          <w:sz w:val="20"/>
          <w:szCs w:val="20"/>
          <w:color w:val="auto"/>
        </w:rPr>
      </w:pPr>
      <w:r>
        <w:rPr>
          <w:rFonts w:ascii="Times New Roman" w:cs="Times New Roman" w:eastAsia="Times New Roman" w:hAnsi="Times New Roman"/>
          <w:sz w:val="22"/>
          <w:szCs w:val="22"/>
          <w:color w:val="auto"/>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xml:space="preserve"> from its liability under the Financing Agreements.</w:t>
      </w:r>
    </w:p>
    <w:p>
      <w:pPr>
        <w:spacing w:after="0" w:line="206"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Section 10.3. Line of Business</w:t>
      </w:r>
      <w:r>
        <w:rPr>
          <w:rFonts w:ascii="Times New Roman" w:cs="Times New Roman" w:eastAsia="Times New Roman" w:hAnsi="Times New Roman"/>
          <w:sz w:val="22"/>
          <w:szCs w:val="22"/>
          <w:color w:val="auto"/>
        </w:rPr>
        <w:t>. The Company will not engage in any business if, 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result, the general 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73" w:name="page74"/>
    <w:bookmarkEnd w:id="73"/>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10.4. Economic Sanctions, Etc.. </w:t>
      </w:r>
      <w:r>
        <w:rPr>
          <w:rFonts w:ascii="Times New Roman" w:cs="Times New Roman" w:eastAsia="Times New Roman" w:hAnsi="Times New Roman"/>
          <w:sz w:val="22"/>
          <w:szCs w:val="22"/>
          <w:color w:val="auto"/>
        </w:rPr>
        <w:t>The Company will not, and will not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58" w:lineRule="exact"/>
        <w:rPr>
          <w:sz w:val="20"/>
          <w:szCs w:val="20"/>
          <w:color w:val="auto"/>
        </w:rPr>
      </w:pPr>
    </w:p>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color w:val="auto"/>
        </w:rPr>
        <w:t>Payments on Bonds.</w:t>
      </w:r>
    </w:p>
    <w:p>
      <w:pPr>
        <w:spacing w:after="0" w:line="256" w:lineRule="exact"/>
        <w:rPr>
          <w:sz w:val="20"/>
          <w:szCs w:val="20"/>
          <w:color w:val="auto"/>
        </w:rPr>
      </w:pPr>
    </w:p>
    <w:p>
      <w:pPr>
        <w:jc w:val="both"/>
        <w:ind w:left="180" w:right="199" w:firstLine="648"/>
        <w:spacing w:after="0" w:line="253" w:lineRule="exact"/>
        <w:rPr>
          <w:sz w:val="20"/>
          <w:szCs w:val="20"/>
          <w:color w:val="auto"/>
        </w:rPr>
      </w:pPr>
      <w:r>
        <w:rPr>
          <w:rFonts w:ascii="Times New Roman" w:cs="Times New Roman" w:eastAsia="Times New Roman" w:hAnsi="Times New Roman"/>
          <w:sz w:val="22"/>
          <w:szCs w:val="22"/>
          <w:i w:val="1"/>
          <w:iCs w:val="1"/>
          <w:color w:val="auto"/>
        </w:rPr>
        <w:t>Section 11.1. Payment by Wire Transfer</w:t>
      </w:r>
      <w:r>
        <w:rPr>
          <w:rFonts w:ascii="Times New Roman" w:cs="Times New Roman" w:eastAsia="Times New Roman" w:hAnsi="Times New Roman"/>
          <w:sz w:val="22"/>
          <w:szCs w:val="22"/>
          <w:color w:val="auto"/>
        </w:rPr>
        <w:t>. So long as any Purchaser or its nominee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the 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Whole Amount or premium, if any, and interest by the method and at the address specified for such purpose below such Purchaser’s name in </w:t>
      </w:r>
      <w:r>
        <w:rPr>
          <w:rFonts w:ascii="Times New Roman" w:cs="Times New Roman" w:eastAsia="Times New Roman" w:hAnsi="Times New Roman"/>
          <w:sz w:val="22"/>
          <w:szCs w:val="22"/>
          <w:i w:val="1"/>
          <w:iCs w:val="1"/>
          <w:color w:val="auto"/>
        </w:rPr>
        <w:t>Schedule A</w:t>
      </w:r>
      <w:r>
        <w:rPr>
          <w:rFonts w:ascii="Times New Roman" w:cs="Times New Roman" w:eastAsia="Times New Roman" w:hAnsi="Times New Roman"/>
          <w:sz w:val="22"/>
          <w:szCs w:val="22"/>
          <w:color w:val="auto"/>
        </w:rPr>
        <w:t xml:space="preserve">,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w:t>
      </w:r>
      <w:r>
        <w:rPr>
          <w:rFonts w:ascii="Times New Roman" w:cs="Times New Roman" w:eastAsia="Times New Roman" w:hAnsi="Times New Roman"/>
          <w:sz w:val="22"/>
          <w:szCs w:val="22"/>
          <w:b w:val="1"/>
          <w:bCs w:val="1"/>
          <w:color w:val="auto"/>
        </w:rPr>
        <w:t>Section 11.1</w:t>
      </w:r>
      <w:r>
        <w:rPr>
          <w:rFonts w:ascii="Times New Roman" w:cs="Times New Roman" w:eastAsia="Times New Roman" w:hAnsi="Times New Roman"/>
          <w:sz w:val="22"/>
          <w:szCs w:val="22"/>
          <w:color w:val="auto"/>
        </w:rPr>
        <w:t xml:space="preserve"> to any Institutional Investor that is the direct or indirect transferee of any Bond purchased by a Purchaser under this Agreement and that has made the same agreement relating to such Bond as the Purchasers have made in this </w:t>
      </w:r>
      <w:r>
        <w:rPr>
          <w:rFonts w:ascii="Times New Roman" w:cs="Times New Roman" w:eastAsia="Times New Roman" w:hAnsi="Times New Roman"/>
          <w:sz w:val="22"/>
          <w:szCs w:val="22"/>
          <w:b w:val="1"/>
          <w:bCs w:val="1"/>
          <w:color w:val="auto"/>
        </w:rPr>
        <w:t>Section 11.1</w:t>
      </w:r>
      <w:r>
        <w:rPr>
          <w:rFonts w:ascii="Times New Roman" w:cs="Times New Roman" w:eastAsia="Times New Roman" w:hAnsi="Times New Roman"/>
          <w:sz w:val="22"/>
          <w:szCs w:val="22"/>
          <w:color w:val="auto"/>
        </w:rPr>
        <w:t>.</w:t>
      </w:r>
    </w:p>
    <w:p>
      <w:pPr>
        <w:spacing w:after="0" w:line="263"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color w:val="auto"/>
        </w:rPr>
        <w:t>Registration; Exchange; Expenses, Etc.</w:t>
      </w:r>
    </w:p>
    <w:p>
      <w:pPr>
        <w:spacing w:after="0" w:line="243" w:lineRule="exact"/>
        <w:rPr>
          <w:sz w:val="20"/>
          <w:szCs w:val="20"/>
          <w:color w:val="auto"/>
        </w:rPr>
      </w:pPr>
    </w:p>
    <w:p>
      <w:pPr>
        <w:jc w:val="both"/>
        <w:ind w:left="180" w:right="19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Section 12.1. Registration of Bonds</w:t>
      </w:r>
      <w:r>
        <w:rPr>
          <w:rFonts w:ascii="Times New Roman" w:cs="Times New Roman" w:eastAsia="Times New Roman" w:hAnsi="Times New Roman"/>
          <w:sz w:val="22"/>
          <w:szCs w:val="22"/>
          <w:color w:val="auto"/>
        </w:rPr>
        <w:t>. The Company shall cause the Trustee to keep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register for the registration and registration of transfers of Bonds in accordance with Article XIII, Section 9 of the Indenture.</w:t>
      </w:r>
    </w:p>
    <w:p>
      <w:pPr>
        <w:spacing w:after="0" w:line="193" w:lineRule="exact"/>
        <w:rPr>
          <w:sz w:val="20"/>
          <w:szCs w:val="20"/>
          <w:color w:val="auto"/>
        </w:rPr>
      </w:pPr>
    </w:p>
    <w:p>
      <w:pPr>
        <w:jc w:val="both"/>
        <w:ind w:left="180" w:right="199" w:firstLine="648"/>
        <w:spacing w:after="0" w:line="257" w:lineRule="auto"/>
        <w:rPr>
          <w:sz w:val="20"/>
          <w:szCs w:val="20"/>
          <w:color w:val="auto"/>
        </w:rPr>
      </w:pPr>
      <w:r>
        <w:rPr>
          <w:rFonts w:ascii="Times New Roman" w:cs="Times New Roman" w:eastAsia="Times New Roman" w:hAnsi="Times New Roman"/>
          <w:sz w:val="21"/>
          <w:szCs w:val="21"/>
          <w:i w:val="1"/>
          <w:iCs w:val="1"/>
          <w:color w:val="auto"/>
        </w:rPr>
        <w:t>Section 12.2. Transaction Expenses</w:t>
      </w:r>
      <w:r>
        <w:rPr>
          <w:rFonts w:ascii="Times New Roman" w:cs="Times New Roman" w:eastAsia="Times New Roman" w:hAnsi="Times New Roman"/>
          <w:sz w:val="21"/>
          <w:szCs w:val="21"/>
          <w:color w:val="auto"/>
        </w:rPr>
        <w:t>. Whether or not the transactions contemplated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hereby are 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74" w:name="page75"/>
    <w:bookmarkEnd w:id="74"/>
    <w:p>
      <w:pPr>
        <w:jc w:val="both"/>
        <w:ind w:left="180" w:right="199"/>
        <w:spacing w:after="0" w:line="253" w:lineRule="exact"/>
        <w:rPr>
          <w:sz w:val="20"/>
          <w:szCs w:val="20"/>
          <w:color w:val="auto"/>
        </w:rPr>
      </w:pPr>
      <w:r>
        <w:rPr>
          <w:rFonts w:ascii="Times New Roman" w:cs="Times New Roman" w:eastAsia="Times New Roman" w:hAnsi="Times New Roman"/>
          <w:sz w:val="22"/>
          <w:szCs w:val="22"/>
          <w:color w:val="auto"/>
        </w:rPr>
        <w:t>Agreement or 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237" w:lineRule="exact"/>
        <w:rPr>
          <w:sz w:val="20"/>
          <w:szCs w:val="20"/>
          <w:color w:val="auto"/>
        </w:rPr>
      </w:pPr>
    </w:p>
    <w:p>
      <w:pPr>
        <w:jc w:val="both"/>
        <w:ind w:left="180" w:right="19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Section 12.3. Survival</w:t>
      </w:r>
      <w:r>
        <w:rPr>
          <w:rFonts w:ascii="Times New Roman" w:cs="Times New Roman" w:eastAsia="Times New Roman" w:hAnsi="Times New Roman"/>
          <w:sz w:val="22"/>
          <w:szCs w:val="22"/>
          <w:color w:val="auto"/>
        </w:rPr>
        <w:t>. The obligations of the Company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survive the payment or transfer of any Bond, the enforcement, amendment or waiver of any provision of any Financing Agreement, and the termination of any Financing Agreement.</w:t>
      </w:r>
    </w:p>
    <w:p>
      <w:pPr>
        <w:spacing w:after="0" w:line="202"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12.4. Tax Withholding</w:t>
      </w:r>
      <w:r>
        <w:rPr>
          <w:rFonts w:ascii="Times New Roman" w:cs="Times New Roman" w:eastAsia="Times New Roman" w:hAnsi="Times New Roman"/>
          <w:sz w:val="22"/>
          <w:szCs w:val="22"/>
          <w:color w:val="auto"/>
        </w:rPr>
        <w:t>. Except as otherwise required by applicable law,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agrees that it 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xml:space="preserve">” substantially in the form attached as </w:t>
      </w:r>
      <w:r>
        <w:rPr>
          <w:rFonts w:ascii="Times New Roman" w:cs="Times New Roman" w:eastAsia="Times New Roman" w:hAnsi="Times New Roman"/>
          <w:sz w:val="22"/>
          <w:szCs w:val="22"/>
          <w:i w:val="1"/>
          <w:iCs w:val="1"/>
          <w:color w:val="auto"/>
        </w:rPr>
        <w:t>Exhibit 12.4</w:t>
      </w:r>
      <w:r>
        <w:rPr>
          <w:rFonts w:ascii="Times New Roman" w:cs="Times New Roman" w:eastAsia="Times New Roman" w:hAnsi="Times New Roman"/>
          <w:sz w:val="22"/>
          <w:szCs w:val="22"/>
          <w:color w:val="auto"/>
        </w:rPr>
        <w:t>, in both cases correctly completed and executed.</w:t>
      </w:r>
    </w:p>
    <w:p>
      <w:pPr>
        <w:spacing w:after="0" w:line="255" w:lineRule="exact"/>
        <w:rPr>
          <w:sz w:val="20"/>
          <w:szCs w:val="20"/>
          <w:color w:val="auto"/>
        </w:rPr>
      </w:pPr>
    </w:p>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color w:val="auto"/>
        </w:rPr>
        <w:t>Survival of Representations and Warranties; Entire Agreement.</w:t>
      </w:r>
    </w:p>
    <w:p>
      <w:pPr>
        <w:spacing w:after="0" w:line="247"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257" w:lineRule="exact"/>
        <w:rPr>
          <w:sz w:val="20"/>
          <w:szCs w:val="20"/>
          <w:color w:val="auto"/>
        </w:rPr>
      </w:pPr>
    </w:p>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color w:val="auto"/>
        </w:rPr>
        <w:t>Amendment and Waiver.</w:t>
      </w:r>
    </w:p>
    <w:p>
      <w:pPr>
        <w:spacing w:after="0" w:line="243" w:lineRule="exact"/>
        <w:rPr>
          <w:sz w:val="20"/>
          <w:szCs w:val="20"/>
          <w:color w:val="auto"/>
        </w:rPr>
      </w:pPr>
    </w:p>
    <w:p>
      <w:pPr>
        <w:jc w:val="both"/>
        <w:ind w:left="180" w:right="199" w:firstLine="648"/>
        <w:spacing w:after="0" w:line="261" w:lineRule="auto"/>
        <w:rPr>
          <w:sz w:val="20"/>
          <w:szCs w:val="20"/>
          <w:color w:val="auto"/>
        </w:rPr>
      </w:pPr>
      <w:r>
        <w:rPr>
          <w:rFonts w:ascii="Times New Roman" w:cs="Times New Roman" w:eastAsia="Times New Roman" w:hAnsi="Times New Roman"/>
          <w:sz w:val="21"/>
          <w:szCs w:val="21"/>
          <w:i w:val="1"/>
          <w:iCs w:val="1"/>
          <w:color w:val="auto"/>
        </w:rPr>
        <w:t>Section 14.1. Requirements</w:t>
      </w:r>
      <w:r>
        <w:rPr>
          <w:rFonts w:ascii="Times New Roman" w:cs="Times New Roman" w:eastAsia="Times New Roman" w:hAnsi="Times New Roman"/>
          <w:sz w:val="21"/>
          <w:szCs w:val="21"/>
          <w:color w:val="auto"/>
        </w:rPr>
        <w:t>. This Agreement and the Bonds may be amended,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observance of any term hereof or of the Bonds may be waived (either retroactively or prospectively), with (and only with) the written consent of the Company and the Required Holders, except that (i) no amendment or waiver of any of the provisions of </w:t>
      </w:r>
      <w:r>
        <w:rPr>
          <w:rFonts w:ascii="Times New Roman" w:cs="Times New Roman" w:eastAsia="Times New Roman" w:hAnsi="Times New Roman"/>
          <w:sz w:val="21"/>
          <w:szCs w:val="21"/>
          <w:b w:val="1"/>
          <w:bCs w:val="1"/>
          <w:color w:val="auto"/>
        </w:rPr>
        <w:t>Sections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19</w:t>
      </w:r>
      <w:r>
        <w:rPr>
          <w:rFonts w:ascii="Times New Roman" w:cs="Times New Roman" w:eastAsia="Times New Roman" w:hAnsi="Times New Roman"/>
          <w:sz w:val="21"/>
          <w:szCs w:val="21"/>
          <w:color w:val="auto"/>
        </w:rPr>
        <w:t xml:space="preserve"> hereof, or any defined term, will be effective as to any holder of Bonds unless consented to by such holder of Bonds in writing, and (ii) no such amendment or waiver may, without the written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75" w:name="page76"/>
    <w:bookmarkEnd w:id="75"/>
    <w:p>
      <w:pPr>
        <w:jc w:val="both"/>
        <w:ind w:left="180" w:right="199"/>
        <w:spacing w:after="0" w:line="243" w:lineRule="auto"/>
        <w:rPr>
          <w:sz w:val="20"/>
          <w:szCs w:val="20"/>
          <w:color w:val="auto"/>
        </w:rPr>
      </w:pPr>
      <w:r>
        <w:rPr>
          <w:rFonts w:ascii="Times New Roman" w:cs="Times New Roman" w:eastAsia="Times New Roman" w:hAnsi="Times New Roman"/>
          <w:sz w:val="22"/>
          <w:szCs w:val="22"/>
          <w:color w:val="auto"/>
        </w:rPr>
        <w:t xml:space="preserve">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 (B) change the percentage of the principal amount of the Bonds the holders of which are required to consent to any such amendment or waiver, or (C) amend any of </w:t>
      </w:r>
      <w:r>
        <w:rPr>
          <w:rFonts w:ascii="Times New Roman" w:cs="Times New Roman" w:eastAsia="Times New Roman" w:hAnsi="Times New Roman"/>
          <w:sz w:val="22"/>
          <w:szCs w:val="22"/>
          <w:b w:val="1"/>
          <w:bCs w:val="1"/>
          <w:color w:val="auto"/>
        </w:rPr>
        <w:t>Sections 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14</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b w:val="1"/>
          <w:bCs w:val="1"/>
          <w:color w:val="auto"/>
        </w:rPr>
        <w:t xml:space="preserve"> 18</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left="840"/>
        <w:spacing w:after="0"/>
        <w:tabs>
          <w:tab w:leader="none" w:pos="2580" w:val="left"/>
        </w:tabs>
        <w:rPr>
          <w:sz w:val="20"/>
          <w:szCs w:val="20"/>
          <w:color w:val="auto"/>
        </w:rPr>
      </w:pPr>
      <w:r>
        <w:rPr>
          <w:rFonts w:ascii="Times New Roman" w:cs="Times New Roman" w:eastAsia="Times New Roman" w:hAnsi="Times New Roman"/>
          <w:sz w:val="22"/>
          <w:szCs w:val="22"/>
          <w:i w:val="1"/>
          <w:iCs w:val="1"/>
          <w:color w:val="auto"/>
        </w:rPr>
        <w:t>Section 14.2.</w:t>
      </w:r>
      <w:r>
        <w:rPr>
          <w:sz w:val="20"/>
          <w:szCs w:val="20"/>
          <w:color w:val="auto"/>
        </w:rPr>
        <w:tab/>
      </w:r>
      <w:r>
        <w:rPr>
          <w:rFonts w:ascii="Times New Roman" w:cs="Times New Roman" w:eastAsia="Times New Roman" w:hAnsi="Times New Roman"/>
          <w:sz w:val="21"/>
          <w:szCs w:val="21"/>
          <w:i w:val="1"/>
          <w:iCs w:val="1"/>
          <w:color w:val="auto"/>
        </w:rPr>
        <w:t>Solicitation of Holders of Bonds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180" w:right="199" w:firstLine="846"/>
        <w:spacing w:after="0" w:line="244" w:lineRule="auto"/>
        <w:tabs>
          <w:tab w:leader="none" w:pos="13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Solicitation. </w:t>
      </w:r>
      <w:r>
        <w:rPr>
          <w:rFonts w:ascii="Times New Roman" w:cs="Times New Roman" w:eastAsia="Times New Roman" w:hAnsi="Times New Roman"/>
          <w:sz w:val="22"/>
          <w:szCs w:val="22"/>
          <w:color w:val="auto"/>
        </w:rPr>
        <w:t>The Company will provide each holder of Bonds (irrespective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of Bonds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to each Purchaser and each holder of outstanding Bonds promptly following the date on which it is executed and delivered by, or receives the consent or approval of, the requisite holders of Bonds.</w:t>
      </w:r>
    </w:p>
    <w:p>
      <w:pPr>
        <w:spacing w:after="0" w:line="210" w:lineRule="exact"/>
        <w:rPr>
          <w:rFonts w:ascii="Times New Roman" w:cs="Times New Roman" w:eastAsia="Times New Roman" w:hAnsi="Times New Roman"/>
          <w:sz w:val="22"/>
          <w:szCs w:val="22"/>
          <w:color w:val="auto"/>
        </w:rPr>
      </w:pPr>
    </w:p>
    <w:p>
      <w:pPr>
        <w:jc w:val="both"/>
        <w:ind w:left="180" w:right="199" w:firstLine="846"/>
        <w:spacing w:after="0" w:line="244" w:lineRule="auto"/>
        <w:tabs>
          <w:tab w:leader="none" w:pos="134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w:t>
      </w:r>
      <w:r>
        <w:rPr>
          <w:rFonts w:ascii="Times New Roman" w:cs="Times New Roman" w:eastAsia="Times New Roman" w:hAnsi="Times New Roman"/>
          <w:sz w:val="22"/>
          <w:szCs w:val="22"/>
          <w:color w:val="auto"/>
        </w:rPr>
        <w:t>The Company will not directly or indirectly pay or cause to be paid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remuneration, whether by way of supplemental 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210" w:lineRule="exact"/>
        <w:rPr>
          <w:rFonts w:ascii="Times New Roman" w:cs="Times New Roman" w:eastAsia="Times New Roman" w:hAnsi="Times New Roman"/>
          <w:sz w:val="22"/>
          <w:szCs w:val="22"/>
          <w:color w:val="auto"/>
        </w:rPr>
      </w:pPr>
    </w:p>
    <w:p>
      <w:pPr>
        <w:ind w:left="1340" w:hanging="314"/>
        <w:spacing w:after="0"/>
        <w:tabs>
          <w:tab w:leader="none" w:pos="13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Consent in Contemplation of Transfer</w:t>
      </w:r>
      <w:r>
        <w:rPr>
          <w:rFonts w:ascii="Times New Roman" w:cs="Times New Roman" w:eastAsia="Times New Roman" w:hAnsi="Times New Roman"/>
          <w:sz w:val="21"/>
          <w:szCs w:val="21"/>
          <w:color w:val="auto"/>
        </w:rPr>
        <w:t>. Any consent made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14</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by a holder of Bonds that has transferred or has agreed to transfer its Bonds to (i) the Company,</w:t>
      </w:r>
    </w:p>
    <w:p>
      <w:pPr>
        <w:jc w:val="both"/>
        <w:ind w:left="180" w:right="199" w:firstLine="4"/>
        <w:spacing w:after="0"/>
        <w:tabs>
          <w:tab w:leader="none" w:pos="54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216"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14.3. Binding Effect, Etc</w:t>
      </w:r>
      <w:r>
        <w:rPr>
          <w:rFonts w:ascii="Times New Roman" w:cs="Times New Roman" w:eastAsia="Times New Roman" w:hAnsi="Times New Roman"/>
          <w:sz w:val="22"/>
          <w:szCs w:val="22"/>
          <w:color w:val="auto"/>
        </w:rPr>
        <w:t>. Any amendment or waiver consented 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provided in this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applies equally to all holders of Bonds and is binding upon them and upon each future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76" w:name="page77"/>
    <w:bookmarkEnd w:id="76"/>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any holder of any Bond nor any delay in exercising any rights hereunder or under any Bond shall operate as a waiver of any rights of any holder of such Bond.</w:t>
      </w:r>
    </w:p>
    <w:p>
      <w:pPr>
        <w:spacing w:after="0" w:line="208"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14.4. Bonds Held by Company, Etc</w:t>
      </w:r>
      <w:r>
        <w:rPr>
          <w:rFonts w:ascii="Times New Roman" w:cs="Times New Roman" w:eastAsia="Times New Roman" w:hAnsi="Times New Roman"/>
          <w:sz w:val="22"/>
          <w:szCs w:val="22"/>
          <w:color w:val="auto"/>
        </w:rPr>
        <w:t>. Solely for the purpose of determining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the 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56" w:lineRule="exact"/>
        <w:rPr>
          <w:sz w:val="20"/>
          <w:szCs w:val="20"/>
          <w:color w:val="auto"/>
        </w:rPr>
      </w:pPr>
    </w:p>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color w:val="auto"/>
        </w:rPr>
        <w:t>Notices.</w:t>
      </w:r>
    </w:p>
    <w:p>
      <w:pPr>
        <w:spacing w:after="0" w:line="247" w:lineRule="exact"/>
        <w:rPr>
          <w:sz w:val="20"/>
          <w:szCs w:val="20"/>
          <w:color w:val="auto"/>
        </w:rPr>
      </w:pPr>
    </w:p>
    <w:p>
      <w:pPr>
        <w:jc w:val="both"/>
        <w:ind w:left="180" w:right="199" w:firstLine="648"/>
        <w:spacing w:after="0" w:line="243" w:lineRule="auto"/>
        <w:rPr>
          <w:sz w:val="20"/>
          <w:szCs w:val="20"/>
          <w:color w:val="auto"/>
        </w:rPr>
      </w:pPr>
      <w:r>
        <w:rPr>
          <w:rFonts w:ascii="Times New Roman" w:cs="Times New Roman" w:eastAsia="Times New Roman" w:hAnsi="Times New Roman"/>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31" w:lineRule="exact"/>
        <w:rPr>
          <w:sz w:val="20"/>
          <w:szCs w:val="20"/>
          <w:color w:val="auto"/>
        </w:rPr>
      </w:pPr>
    </w:p>
    <w:p>
      <w:pPr>
        <w:jc w:val="both"/>
        <w:ind w:left="840" w:right="199" w:firstLine="775"/>
        <w:spacing w:after="0" w:line="250" w:lineRule="auto"/>
        <w:tabs>
          <w:tab w:leader="none" w:pos="196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Purchaser or its nominee, to such Purchaser or nominee at the address specified for such communications in </w:t>
      </w:r>
      <w:r>
        <w:rPr>
          <w:rFonts w:ascii="Times New Roman" w:cs="Times New Roman" w:eastAsia="Times New Roman" w:hAnsi="Times New Roman"/>
          <w:sz w:val="22"/>
          <w:szCs w:val="22"/>
          <w:i w:val="1"/>
          <w:iCs w:val="1"/>
          <w:color w:val="auto"/>
        </w:rPr>
        <w:t>Schedule A</w:t>
      </w:r>
      <w:r>
        <w:rPr>
          <w:rFonts w:ascii="Times New Roman" w:cs="Times New Roman" w:eastAsia="Times New Roman" w:hAnsi="Times New Roman"/>
          <w:sz w:val="22"/>
          <w:szCs w:val="22"/>
          <w:color w:val="auto"/>
        </w:rPr>
        <w:t>, or at such other address as such Purchaser or nominee shall have specified to the Company in writing,</w:t>
      </w:r>
    </w:p>
    <w:p>
      <w:pPr>
        <w:spacing w:after="0" w:line="208" w:lineRule="exact"/>
        <w:rPr>
          <w:sz w:val="20"/>
          <w:szCs w:val="20"/>
          <w:color w:val="auto"/>
        </w:rPr>
      </w:pPr>
    </w:p>
    <w:p>
      <w:pPr>
        <w:ind w:left="840" w:right="199" w:firstLine="748"/>
        <w:spacing w:after="0" w:line="271" w:lineRule="auto"/>
        <w:tabs>
          <w:tab w:leader="none" w:pos="196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holder of any Bond, to such holder at such address as such other holder shall have specified to the Company in writing, or</w:t>
      </w:r>
    </w:p>
    <w:p>
      <w:pPr>
        <w:spacing w:after="0" w:line="185" w:lineRule="exact"/>
        <w:rPr>
          <w:sz w:val="20"/>
          <w:szCs w:val="20"/>
          <w:color w:val="auto"/>
        </w:rPr>
      </w:pPr>
    </w:p>
    <w:p>
      <w:pPr>
        <w:jc w:val="both"/>
        <w:ind w:left="840" w:right="199" w:firstLine="707"/>
        <w:spacing w:after="0" w:line="248" w:lineRule="auto"/>
        <w:tabs>
          <w:tab w:leader="none" w:pos="194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Notices under this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will be deemed given only when actually received.</w:t>
      </w:r>
    </w:p>
    <w:p>
      <w:pPr>
        <w:spacing w:after="0" w:line="291" w:lineRule="exact"/>
        <w:rPr>
          <w:sz w:val="20"/>
          <w:szCs w:val="20"/>
          <w:color w:val="auto"/>
        </w:rPr>
      </w:pPr>
    </w:p>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color w:val="auto"/>
        </w:rPr>
        <w:t>Indemnification.</w:t>
      </w:r>
    </w:p>
    <w:p>
      <w:pPr>
        <w:spacing w:after="0" w:line="247" w:lineRule="exact"/>
        <w:rPr>
          <w:sz w:val="20"/>
          <w:szCs w:val="20"/>
          <w:color w:val="auto"/>
        </w:rPr>
      </w:pPr>
    </w:p>
    <w:p>
      <w:pPr>
        <w:jc w:val="both"/>
        <w:ind w:left="180" w:right="199" w:firstLine="648"/>
        <w:spacing w:after="0" w:line="243" w:lineRule="auto"/>
        <w:rPr>
          <w:sz w:val="20"/>
          <w:szCs w:val="20"/>
          <w:color w:val="auto"/>
        </w:rPr>
      </w:pPr>
      <w:r>
        <w:rPr>
          <w:rFonts w:ascii="Times New Roman" w:cs="Times New Roman" w:eastAsia="Times New Roman" w:hAnsi="Times New Roman"/>
          <w:sz w:val="22"/>
          <w:szCs w:val="22"/>
          <w:color w:val="auto"/>
        </w:rPr>
        <w:t xml:space="preserve">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w:t>
      </w: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color w:val="auto"/>
        </w:rPr>
        <w:t>shall survive the execution and delivery of this Agreement, the delivery of the Bonds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Purchasers and the consummation of the transactions contemplated herein.</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77" w:name="page78"/>
    <w:bookmarkEnd w:id="77"/>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color w:val="auto"/>
        </w:rPr>
        <w:t>Reproduction of Documents.</w:t>
      </w:r>
    </w:p>
    <w:p>
      <w:pPr>
        <w:spacing w:after="0" w:line="2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This  Agreement  and  all  documents  relating  thereto,  including,  without  limitation,</w:t>
      </w:r>
    </w:p>
    <w:p>
      <w:pPr>
        <w:spacing w:after="0" w:line="14" w:lineRule="exact"/>
        <w:rPr>
          <w:sz w:val="20"/>
          <w:szCs w:val="20"/>
          <w:color w:val="auto"/>
        </w:rPr>
      </w:pPr>
    </w:p>
    <w:p>
      <w:pPr>
        <w:jc w:val="both"/>
        <w:ind w:left="180" w:right="199" w:firstLine="4"/>
        <w:spacing w:after="0" w:line="239" w:lineRule="auto"/>
        <w:tabs>
          <w:tab w:leader="none" w:pos="48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color w:val="auto"/>
        </w:rPr>
        <w:t xml:space="preserve"> shall not prohibit the Company or any other holder of Bonds from contesting any such reproduction to the same extent that it could contest the original, or from introducing evidence to demonstrate the inaccuracy of any such reproduction.</w:t>
      </w:r>
    </w:p>
    <w:p>
      <w:pPr>
        <w:spacing w:after="0" w:line="265" w:lineRule="exact"/>
        <w:rPr>
          <w:sz w:val="20"/>
          <w:szCs w:val="20"/>
          <w:color w:val="auto"/>
        </w:rPr>
      </w:pPr>
    </w:p>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Times New Roman" w:cs="Times New Roman" w:eastAsia="Times New Roman" w:hAnsi="Times New Roman"/>
          <w:sz w:val="21"/>
          <w:szCs w:val="21"/>
          <w:color w:val="auto"/>
        </w:rPr>
        <w:t>Confidential Information.</w:t>
      </w:r>
    </w:p>
    <w:p>
      <w:pPr>
        <w:spacing w:after="0" w:line="243" w:lineRule="exact"/>
        <w:rPr>
          <w:sz w:val="20"/>
          <w:szCs w:val="20"/>
          <w:color w:val="auto"/>
        </w:rPr>
      </w:pPr>
    </w:p>
    <w:p>
      <w:pPr>
        <w:jc w:val="both"/>
        <w:ind w:left="180" w:right="199" w:firstLine="648"/>
        <w:spacing w:after="0" w:line="252" w:lineRule="auto"/>
        <w:rPr>
          <w:sz w:val="20"/>
          <w:szCs w:val="20"/>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“Confidential Information”</w:t>
      </w:r>
      <w:r>
        <w:rPr>
          <w:rFonts w:ascii="Times New Roman" w:cs="Times New Roman" w:eastAsia="Times New Roman" w:hAnsi="Times New Roman"/>
          <w:sz w:val="21"/>
          <w:szCs w:val="21"/>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Times New Roman" w:cs="Times New Roman" w:eastAsia="Times New Roman" w:hAnsi="Times New Roman"/>
          <w:sz w:val="21"/>
          <w:szCs w:val="21"/>
          <w:b w:val="1"/>
          <w:bCs w:val="1"/>
          <w:color w:val="auto"/>
        </w:rPr>
        <w:t>Section 7.1</w:t>
      </w:r>
      <w:r>
        <w:rPr>
          <w:rFonts w:ascii="Times New Roman" w:cs="Times New Roman" w:eastAsia="Times New Roman" w:hAnsi="Times New Roman"/>
          <w:sz w:val="21"/>
          <w:szCs w:val="21"/>
          <w:color w:val="auto"/>
        </w:rPr>
        <w:t xml:space="preserve">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w:t>
      </w: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 xml:space="preserve">,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w:t>
      </w: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 (v) any Person from which it offers to purchase any security of the Company (if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Person has agreed in writing prior to its receipt of such Confidential Information to be bound by the provisions of this </w:t>
      </w: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78" w:name="page79"/>
    <w:bookmarkEnd w:id="78"/>
    <w:p>
      <w:pPr>
        <w:jc w:val="both"/>
        <w:ind w:left="180" w:right="199"/>
        <w:spacing w:after="0" w:line="241" w:lineRule="auto"/>
        <w:rPr>
          <w:sz w:val="20"/>
          <w:szCs w:val="20"/>
          <w:color w:val="auto"/>
        </w:rPr>
      </w:pPr>
      <w:r>
        <w:rPr>
          <w:rFonts w:ascii="Times New Roman" w:cs="Times New Roman" w:eastAsia="Times New Roman" w:hAnsi="Times New Roman"/>
          <w:sz w:val="22"/>
          <w:szCs w:val="22"/>
          <w:color w:val="auto"/>
        </w:rPr>
        <w:t xml:space="preserve">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both"/>
        <w:ind w:left="180" w:right="199" w:firstLine="648"/>
        <w:spacing w:after="0" w:line="243" w:lineRule="auto"/>
        <w:rPr>
          <w:sz w:val="20"/>
          <w:szCs w:val="20"/>
          <w:color w:val="auto"/>
        </w:rPr>
      </w:pPr>
      <w:r>
        <w:rPr>
          <w:rFonts w:ascii="Times New Roman" w:cs="Times New Roman" w:eastAsia="Times New Roman" w:hAnsi="Times New Roman"/>
          <w:sz w:val="22"/>
          <w:szCs w:val="22"/>
          <w:color w:val="auto"/>
        </w:rPr>
        <w:t xml:space="preserve">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shall not be amended thereby and, as between such Purchaser or such holder and the Company,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shall supersede any such other confidentiality undertaking.</w:t>
      </w:r>
    </w:p>
    <w:p>
      <w:pPr>
        <w:spacing w:after="0" w:line="259" w:lineRule="exact"/>
        <w:rPr>
          <w:sz w:val="20"/>
          <w:szCs w:val="20"/>
          <w:color w:val="auto"/>
        </w:rPr>
      </w:pPr>
    </w:p>
    <w:p>
      <w:pPr>
        <w:ind w:left="18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19.</w:t>
      </w:r>
      <w:r>
        <w:rPr>
          <w:sz w:val="20"/>
          <w:szCs w:val="20"/>
          <w:color w:val="auto"/>
        </w:rPr>
        <w:tab/>
      </w:r>
      <w:r>
        <w:rPr>
          <w:rFonts w:ascii="Times New Roman" w:cs="Times New Roman" w:eastAsia="Times New Roman" w:hAnsi="Times New Roman"/>
          <w:sz w:val="21"/>
          <w:szCs w:val="21"/>
          <w:color w:val="auto"/>
        </w:rPr>
        <w:t>Miscellaneous.</w:t>
      </w:r>
    </w:p>
    <w:p>
      <w:pPr>
        <w:spacing w:after="0" w:line="243"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19.1. Successors and Assigns</w:t>
      </w:r>
      <w:r>
        <w:rPr>
          <w:rFonts w:ascii="Times New Roman" w:cs="Times New Roman" w:eastAsia="Times New Roman" w:hAnsi="Times New Roman"/>
          <w:sz w:val="22"/>
          <w:szCs w:val="22"/>
          <w:color w:val="auto"/>
        </w:rPr>
        <w:t>. All covenants and other agreements contained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this Agreement by or on behalf of any of the parties hereto bind and inure to the benefit of their respective successors and assigns (including, without limitation, any subsequent holder of a Bond) whether so expressed or not, except that, subject to </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10" w:lineRule="exact"/>
        <w:rPr>
          <w:sz w:val="20"/>
          <w:szCs w:val="20"/>
          <w:color w:val="auto"/>
        </w:rPr>
      </w:pPr>
    </w:p>
    <w:p>
      <w:pPr>
        <w:jc w:val="both"/>
        <w:ind w:left="180" w:right="199" w:firstLine="648"/>
        <w:spacing w:after="0" w:line="255" w:lineRule="exact"/>
        <w:rPr>
          <w:sz w:val="20"/>
          <w:szCs w:val="20"/>
          <w:color w:val="auto"/>
        </w:rPr>
      </w:pPr>
      <w:r>
        <w:rPr>
          <w:rFonts w:ascii="Times New Roman" w:cs="Times New Roman" w:eastAsia="Times New Roman" w:hAnsi="Times New Roman"/>
          <w:sz w:val="21"/>
          <w:szCs w:val="21"/>
          <w:i w:val="1"/>
          <w:iCs w:val="1"/>
          <w:color w:val="auto"/>
        </w:rPr>
        <w:t>Section 19.2. Accounting Terms</w:t>
      </w:r>
      <w:r>
        <w:rPr>
          <w:rFonts w:ascii="Times New Roman" w:cs="Times New Roman" w:eastAsia="Times New Roman" w:hAnsi="Times New Roman"/>
          <w:sz w:val="21"/>
          <w:szCs w:val="21"/>
          <w:color w:val="auto"/>
        </w:rPr>
        <w:t>. All accounting terms used herein which are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expressly 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25 – </w:t>
      </w:r>
      <w:r>
        <w:rPr>
          <w:rFonts w:ascii="Times New Roman" w:cs="Times New Roman" w:eastAsia="Times New Roman" w:hAnsi="Times New Roman"/>
          <w:sz w:val="21"/>
          <w:szCs w:val="21"/>
          <w:i w:val="1"/>
          <w:iCs w:val="1"/>
          <w:color w:val="auto"/>
        </w:rPr>
        <w:t>Fair Value Option,</w:t>
      </w:r>
      <w:r>
        <w:rPr>
          <w:rFonts w:ascii="Times New Roman" w:cs="Times New Roman" w:eastAsia="Times New Roman" w:hAnsi="Times New Roman"/>
          <w:sz w:val="21"/>
          <w:szCs w:val="21"/>
          <w:color w:val="auto"/>
        </w:rPr>
        <w:t xml:space="preserve"> International Accounting Standard 39 – </w:t>
      </w:r>
      <w:r>
        <w:rPr>
          <w:rFonts w:ascii="Times New Roman" w:cs="Times New Roman" w:eastAsia="Times New Roman" w:hAnsi="Times New Roman"/>
          <w:sz w:val="21"/>
          <w:szCs w:val="21"/>
          <w:i w:val="1"/>
          <w:iCs w:val="1"/>
          <w:color w:val="auto"/>
        </w:rPr>
        <w:t>Financial Instruments: Recognition and Measurement</w:t>
      </w:r>
      <w:r>
        <w:rPr>
          <w:rFonts w:ascii="Times New Roman" w:cs="Times New Roman" w:eastAsia="Times New Roman" w:hAnsi="Times New Roman"/>
          <w:sz w:val="21"/>
          <w:szCs w:val="21"/>
          <w:color w:val="auto"/>
        </w:rPr>
        <w:t xml:space="preserve"> or any similar accounting standard) shall be disregarded and such determination shall be made as if such election had not been made and such Debt shall be valued at not less than 100% of the principal amount thereof.</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79" w:name="page80"/>
    <w:bookmarkEnd w:id="79"/>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19.3. Severability</w:t>
      </w:r>
      <w:r>
        <w:rPr>
          <w:rFonts w:ascii="Times New Roman" w:cs="Times New Roman" w:eastAsia="Times New Roman" w:hAnsi="Times New Roman"/>
          <w:sz w:val="22"/>
          <w:szCs w:val="22"/>
          <w:color w:val="auto"/>
        </w:rPr>
        <w:t>. Any provision of this Agreement that is prohibited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26"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Section 19.4. Construction, Etc</w:t>
      </w:r>
      <w:r>
        <w:rPr>
          <w:rFonts w:ascii="Times New Roman" w:cs="Times New Roman" w:eastAsia="Times New Roman" w:hAnsi="Times New Roman"/>
          <w:sz w:val="22"/>
          <w:szCs w:val="22"/>
          <w:color w:val="auto"/>
        </w:rPr>
        <w:t>. Each covenant contained herein shall be construed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16" w:lineRule="exact"/>
        <w:rPr>
          <w:sz w:val="20"/>
          <w:szCs w:val="20"/>
          <w:color w:val="auto"/>
        </w:rPr>
      </w:pPr>
    </w:p>
    <w:p>
      <w:pPr>
        <w:jc w:val="both"/>
        <w:ind w:left="180" w:right="199" w:firstLine="648"/>
        <w:spacing w:after="0" w:line="271" w:lineRule="auto"/>
        <w:rPr>
          <w:sz w:val="20"/>
          <w:szCs w:val="20"/>
          <w:color w:val="auto"/>
        </w:rPr>
      </w:pPr>
      <w:r>
        <w:rPr>
          <w:rFonts w:ascii="Times New Roman" w:cs="Times New Roman" w:eastAsia="Times New Roman" w:hAnsi="Times New Roman"/>
          <w:sz w:val="22"/>
          <w:szCs w:val="22"/>
          <w:color w:val="auto"/>
        </w:rPr>
        <w:t>For the avoidance of doubt, all Schedules and Exhibits attached to this Agreement shall be deemed to be a part hereof.</w:t>
      </w:r>
    </w:p>
    <w:p>
      <w:pPr>
        <w:spacing w:after="0" w:line="181"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Section 19.5. Counterparts</w:t>
      </w:r>
      <w:r>
        <w:rPr>
          <w:rFonts w:ascii="Times New Roman" w:cs="Times New Roman" w:eastAsia="Times New Roman" w:hAnsi="Times New Roman"/>
          <w:sz w:val="22"/>
          <w:szCs w:val="22"/>
          <w:color w:val="auto"/>
        </w:rPr>
        <w:t>. This Agreement may be executed in any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206" w:lineRule="exact"/>
        <w:rPr>
          <w:sz w:val="20"/>
          <w:szCs w:val="20"/>
          <w:color w:val="auto"/>
        </w:rPr>
      </w:pPr>
    </w:p>
    <w:p>
      <w:pPr>
        <w:jc w:val="both"/>
        <w:ind w:left="180" w:right="199" w:firstLine="648"/>
        <w:spacing w:after="0" w:line="261" w:lineRule="exact"/>
        <w:rPr>
          <w:sz w:val="20"/>
          <w:szCs w:val="20"/>
          <w:color w:val="auto"/>
        </w:rPr>
      </w:pPr>
      <w:r>
        <w:rPr>
          <w:rFonts w:ascii="Times New Roman" w:cs="Times New Roman" w:eastAsia="Times New Roman" w:hAnsi="Times New Roman"/>
          <w:sz w:val="22"/>
          <w:szCs w:val="22"/>
          <w:i w:val="1"/>
          <w:iCs w:val="1"/>
          <w:color w:val="auto"/>
        </w:rPr>
        <w:t>Section 19.6. Governing Law</w:t>
      </w:r>
      <w:r>
        <w:rPr>
          <w:rFonts w:ascii="Times New Roman" w:cs="Times New Roman" w:eastAsia="Times New Roman" w:hAnsi="Times New Roman"/>
          <w:sz w:val="22"/>
          <w:szCs w:val="22"/>
          <w:color w:val="auto"/>
        </w:rPr>
        <w:t>. This Agreement shall be construed and enforced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and the rights of the parties shall be governed by, the law of the Commonwealth of Pennsylvania excluding choice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 principles of the law of such State that would permit the application of the laws of a jurisdiction other than such State.</w:t>
      </w:r>
    </w:p>
    <w:p>
      <w:pPr>
        <w:spacing w:after="0" w:line="228"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Section 19.7. Jurisdiction and Process; Waiver of Jury Trial</w:t>
      </w:r>
      <w:r>
        <w:rPr>
          <w:rFonts w:ascii="Times New Roman" w:cs="Times New Roman" w:eastAsia="Times New Roman" w:hAnsi="Times New Roman"/>
          <w:sz w:val="22"/>
          <w:szCs w:val="22"/>
          <w:color w:val="auto"/>
        </w:rPr>
        <w:t>. (a)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irrevocably submits to the 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19" w:lineRule="exact"/>
        <w:rPr>
          <w:sz w:val="20"/>
          <w:szCs w:val="20"/>
          <w:color w:val="auto"/>
        </w:rPr>
      </w:pPr>
    </w:p>
    <w:p>
      <w:pPr>
        <w:jc w:val="both"/>
        <w:ind w:left="180" w:right="199" w:firstLine="846"/>
        <w:spacing w:after="0" w:line="254" w:lineRule="auto"/>
        <w:tabs>
          <w:tab w:leader="none" w:pos="134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consents to process being served by or on behalf of any holder of Bonds in any suit, action or proceeding of the nature referred to in </w:t>
      </w:r>
      <w:r>
        <w:rPr>
          <w:rFonts w:ascii="Times New Roman" w:cs="Times New Roman" w:eastAsia="Times New Roman" w:hAnsi="Times New Roman"/>
          <w:sz w:val="21"/>
          <w:szCs w:val="21"/>
          <w:b w:val="1"/>
          <w:bCs w:val="1"/>
          <w:color w:val="auto"/>
        </w:rPr>
        <w:t>Section 19.7(a)</w:t>
      </w:r>
      <w:r>
        <w:rPr>
          <w:rFonts w:ascii="Times New Roman" w:cs="Times New Roman" w:eastAsia="Times New Roman" w:hAnsi="Times New Roman"/>
          <w:sz w:val="21"/>
          <w:szCs w:val="21"/>
          <w:color w:val="auto"/>
        </w:rPr>
        <w:t xml:space="preserve"> by mailing a copy thereof by registered or certified mail (or any substantially similar form of mail), postage prepaid, return receipt requested, to it at its address specified in </w:t>
      </w:r>
      <w:r>
        <w:rPr>
          <w:rFonts w:ascii="Times New Roman" w:cs="Times New Roman" w:eastAsia="Times New Roman" w:hAnsi="Times New Roman"/>
          <w:sz w:val="21"/>
          <w:szCs w:val="21"/>
          <w:b w:val="1"/>
          <w:bCs w:val="1"/>
          <w:color w:val="auto"/>
        </w:rPr>
        <w:t>Section 15</w:t>
      </w:r>
      <w:r>
        <w:rPr>
          <w:rFonts w:ascii="Times New Roman" w:cs="Times New Roman" w:eastAsia="Times New Roman" w:hAnsi="Times New Roman"/>
          <w:sz w:val="21"/>
          <w:szCs w:val="21"/>
          <w:color w:val="auto"/>
        </w:rPr>
        <w:t xml:space="preserve"> or at such other address of which such holder shall then have been notified pursuant to said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80" w:name="page81"/>
    <w:bookmarkEnd w:id="80"/>
    <w:p>
      <w:pPr>
        <w:jc w:val="both"/>
        <w:ind w:left="180" w:right="199" w:firstLine="846"/>
        <w:spacing w:after="0" w:line="265" w:lineRule="auto"/>
        <w:tabs>
          <w:tab w:leader="none" w:pos="132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b w:val="1"/>
          <w:bCs w:val="1"/>
          <w:color w:val="auto"/>
        </w:rPr>
        <w:t>Section 19.7</w:t>
      </w:r>
      <w:r>
        <w:rPr>
          <w:rFonts w:ascii="Times New Roman" w:cs="Times New Roman" w:eastAsia="Times New Roman" w:hAnsi="Times New Roman"/>
          <w:sz w:val="21"/>
          <w:szCs w:val="21"/>
          <w:color w:val="auto"/>
        </w:rPr>
        <w:t xml:space="preserve">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92" w:lineRule="exact"/>
        <w:rPr>
          <w:rFonts w:ascii="Times New Roman" w:cs="Times New Roman" w:eastAsia="Times New Roman" w:hAnsi="Times New Roman"/>
          <w:sz w:val="21"/>
          <w:szCs w:val="21"/>
          <w:color w:val="auto"/>
        </w:rPr>
      </w:pPr>
    </w:p>
    <w:p>
      <w:pPr>
        <w:jc w:val="both"/>
        <w:ind w:left="180" w:right="199" w:firstLine="846"/>
        <w:spacing w:after="0" w:line="295" w:lineRule="auto"/>
        <w:tabs>
          <w:tab w:leader="none" w:pos="134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hereby waive trial by jury in any action brought on or with respect to this Agreement, the Bonds or any other document executed in connection herewith or therewith.</w:t>
      </w:r>
    </w:p>
    <w:p>
      <w:pPr>
        <w:spacing w:after="0" w:line="158" w:lineRule="exact"/>
        <w:rPr>
          <w:sz w:val="20"/>
          <w:szCs w:val="20"/>
          <w:color w:val="auto"/>
        </w:rPr>
      </w:pPr>
    </w:p>
    <w:p>
      <w:pPr>
        <w:jc w:val="both"/>
        <w:ind w:left="180" w:right="199"/>
        <w:spacing w:after="0" w:line="244" w:lineRule="auto"/>
        <w:rPr>
          <w:sz w:val="20"/>
          <w:szCs w:val="20"/>
          <w:color w:val="auto"/>
        </w:rPr>
      </w:pPr>
      <w:r>
        <w:rPr>
          <w:rFonts w:ascii="Times New Roman" w:cs="Times New Roman" w:eastAsia="Times New Roman" w:hAnsi="Times New Roman"/>
          <w:sz w:val="22"/>
          <w:szCs w:val="22"/>
          <w:i w:val="1"/>
          <w:iCs w:val="1"/>
          <w:color w:val="auto"/>
        </w:rPr>
        <w:t>Section 19.8. Payments Due on Non-Business Days</w:t>
      </w:r>
      <w:r>
        <w:rPr>
          <w:rFonts w:ascii="Times New Roman" w:cs="Times New Roman" w:eastAsia="Times New Roman" w:hAnsi="Times New Roman"/>
          <w:sz w:val="22"/>
          <w:szCs w:val="22"/>
          <w:color w:val="auto"/>
        </w:rPr>
        <w:t>. Anything in this Agreement or the Bonds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81" w:name="page82"/>
    <w:bookmarkEnd w:id="81"/>
    <w:p>
      <w:pPr>
        <w:jc w:val="both"/>
        <w:ind w:left="180" w:right="199" w:firstLine="648"/>
        <w:spacing w:after="0" w:line="250" w:lineRule="auto"/>
        <w:rPr>
          <w:sz w:val="20"/>
          <w:szCs w:val="20"/>
          <w:color w:val="auto"/>
        </w:rPr>
      </w:pPr>
      <w:r>
        <w:rPr>
          <w:rFonts w:ascii="Times New Roman" w:cs="Times New Roman" w:eastAsia="Times New Roman" w:hAnsi="Times New Roman"/>
          <w:sz w:val="22"/>
          <w:szCs w:val="22"/>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20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Daniel J. Schuller</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 Daniel J. Schuller</w:t>
      </w:r>
    </w:p>
    <w:p>
      <w:pPr>
        <w:ind w:left="4400"/>
        <w:spacing w:after="0" w:line="230" w:lineRule="auto"/>
        <w:rPr>
          <w:sz w:val="20"/>
          <w:szCs w:val="20"/>
          <w:color w:val="auto"/>
        </w:rPr>
      </w:pPr>
      <w:r>
        <w:rPr>
          <w:rFonts w:ascii="Times New Roman" w:cs="Times New Roman" w:eastAsia="Times New Roman" w:hAnsi="Times New Roman"/>
          <w:sz w:val="22"/>
          <w:szCs w:val="22"/>
          <w:color w:val="auto"/>
        </w:rPr>
        <w:t>Title: Executive Vice President and Chief</w:t>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82" w:name="page83"/>
    <w:bookmarkEnd w:id="82"/>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AMERICAN GENERAL LIFE INSURANCE</w:t>
      </w:r>
    </w:p>
    <w:p>
      <w:pPr>
        <w:spacing w:after="0" w:line="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COMPANY</w:t>
      </w:r>
    </w:p>
    <w:p>
      <w:pPr>
        <w:ind w:left="4400"/>
        <w:spacing w:after="0"/>
        <w:rPr>
          <w:sz w:val="20"/>
          <w:szCs w:val="20"/>
          <w:color w:val="auto"/>
        </w:rPr>
      </w:pPr>
      <w:r>
        <w:rPr>
          <w:rFonts w:ascii="Times New Roman" w:cs="Times New Roman" w:eastAsia="Times New Roman" w:hAnsi="Times New Roman"/>
          <w:sz w:val="22"/>
          <w:szCs w:val="22"/>
          <w:color w:val="auto"/>
        </w:rPr>
        <w:t>THE UNITED STATES LIFE INSURANCE</w:t>
      </w:r>
    </w:p>
    <w:p>
      <w:pPr>
        <w:spacing w:after="0" w:line="4"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color w:val="auto"/>
        </w:rPr>
        <w:t>COMPANY IN THE CITY OF NEW YORK</w:t>
      </w:r>
    </w:p>
    <w:p>
      <w:pPr>
        <w:ind w:left="4400"/>
        <w:spacing w:after="0" w:line="233" w:lineRule="auto"/>
        <w:rPr>
          <w:sz w:val="20"/>
          <w:szCs w:val="20"/>
          <w:color w:val="auto"/>
        </w:rPr>
      </w:pPr>
      <w:r>
        <w:rPr>
          <w:rFonts w:ascii="Times New Roman" w:cs="Times New Roman" w:eastAsia="Times New Roman" w:hAnsi="Times New Roman"/>
          <w:sz w:val="22"/>
          <w:szCs w:val="22"/>
          <w:color w:val="auto"/>
        </w:rPr>
        <w:t>By AIG Asset Management (U.S.), llc, as</w:t>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Yvette M. Dennis</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Yvette M. Dennis</w:t>
      </w:r>
    </w:p>
    <w:p>
      <w:pPr>
        <w:ind w:left="47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jc w:val="both"/>
        <w:ind w:left="4720" w:right="199" w:hanging="472"/>
        <w:spacing w:after="0" w:line="246" w:lineRule="auto"/>
        <w:rPr>
          <w:sz w:val="20"/>
          <w:szCs w:val="20"/>
          <w:color w:val="auto"/>
        </w:rPr>
      </w:pPr>
      <w:r>
        <w:rPr>
          <w:rFonts w:ascii="Times New Roman" w:cs="Times New Roman" w:eastAsia="Times New Roman" w:hAnsi="Times New Roman"/>
          <w:sz w:val="22"/>
          <w:szCs w:val="22"/>
          <w:color w:val="auto"/>
        </w:rPr>
        <w:t>METROPOLITAN LIFE INSURANCE COMPANY by MetLife Investment Management, LLC, Its Investment Manager</w:t>
      </w:r>
    </w:p>
    <w:p>
      <w:pPr>
        <w:ind w:left="4220"/>
        <w:spacing w:after="0" w:line="232" w:lineRule="auto"/>
        <w:rPr>
          <w:sz w:val="20"/>
          <w:szCs w:val="20"/>
          <w:color w:val="auto"/>
        </w:rPr>
      </w:pPr>
      <w:r>
        <w:rPr>
          <w:rFonts w:ascii="Times New Roman" w:cs="Times New Roman" w:eastAsia="Times New Roman" w:hAnsi="Times New Roman"/>
          <w:sz w:val="22"/>
          <w:szCs w:val="22"/>
          <w:color w:val="auto"/>
        </w:rPr>
        <w:t>Met Life Insurance K.K.</w:t>
      </w:r>
    </w:p>
    <w:p>
      <w:pPr>
        <w:spacing w:after="0" w:line="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by MetLife Investment Management, LLC, Its</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Investment Manager</w:t>
      </w: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Tanyeri</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John Tanyeri</w:t>
      </w:r>
    </w:p>
    <w:p>
      <w:pPr>
        <w:ind w:left="47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EMPLOYERS MUTUAL CASUALTY COMPANY</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by MetLife Investment Management, LLC, Its</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Investment Manager</w:t>
      </w: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Tanyeri</w:t>
      </w:r>
      <w:r>
        <w:rPr>
          <w:rFonts w:ascii="Times New Roman" w:cs="Times New Roman" w:eastAsia="Times New Roman" w:hAnsi="Times New Roman"/>
          <w:sz w:val="22"/>
          <w:szCs w:val="22"/>
          <w:color w:val="auto"/>
        </w:rPr>
        <w:t>_______________</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John Tanyeri</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EMC REINSURANCE COMPANY</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by MetLife Investment Management, LLC, Its</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Investment Manager</w:t>
      </w: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Tanyeri</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John Tanyeri</w:t>
      </w:r>
    </w:p>
    <w:p>
      <w:pPr>
        <w:ind w:left="47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EMC NATIONAL LIFE COMPANY</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by MetLife Investment Management, LLC, Its</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Investment Manager</w:t>
      </w: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Tanyeri</w:t>
      </w:r>
      <w:r>
        <w:rPr>
          <w:rFonts w:ascii="Times New Roman" w:cs="Times New Roman" w:eastAsia="Times New Roman" w:hAnsi="Times New Roman"/>
          <w:sz w:val="22"/>
          <w:szCs w:val="22"/>
          <w:color w:val="auto"/>
        </w:rPr>
        <w:t>_______________</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John Tanyeri</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4" w:name="page85"/>
    <w:bookmarkEnd w:id="84"/>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980" w:right="399" w:hanging="350"/>
        <w:spacing w:after="0" w:line="248" w:lineRule="auto"/>
        <w:rPr>
          <w:sz w:val="20"/>
          <w:szCs w:val="20"/>
          <w:color w:val="auto"/>
        </w:rPr>
      </w:pPr>
      <w:r>
        <w:rPr>
          <w:rFonts w:ascii="Times New Roman" w:cs="Times New Roman" w:eastAsia="Times New Roman" w:hAnsi="Times New Roman"/>
          <w:sz w:val="22"/>
          <w:szCs w:val="22"/>
          <w:color w:val="auto"/>
        </w:rPr>
        <w:t>THE NORTHWESTERN MUTUAL LIFE INSURANCE COMPANY</w:t>
      </w:r>
    </w:p>
    <w:p>
      <w:pPr>
        <w:spacing w:after="0" w:line="1" w:lineRule="exact"/>
        <w:rPr>
          <w:sz w:val="20"/>
          <w:szCs w:val="20"/>
          <w:color w:val="auto"/>
        </w:rPr>
      </w:pPr>
    </w:p>
    <w:p>
      <w:pPr>
        <w:jc w:val="right"/>
        <w:ind w:left="3580" w:right="199"/>
        <w:spacing w:after="0" w:line="248" w:lineRule="auto"/>
        <w:rPr>
          <w:sz w:val="20"/>
          <w:szCs w:val="20"/>
          <w:color w:val="auto"/>
        </w:rPr>
      </w:pPr>
      <w:r>
        <w:rPr>
          <w:rFonts w:ascii="Times New Roman" w:cs="Times New Roman" w:eastAsia="Times New Roman" w:hAnsi="Times New Roman"/>
          <w:sz w:val="22"/>
          <w:szCs w:val="22"/>
          <w:color w:val="auto"/>
        </w:rPr>
        <w:t>By: Northwestern Mutual Investment Management, LLC, its investment adviser</w:t>
      </w:r>
    </w:p>
    <w:p>
      <w:pPr>
        <w:spacing w:after="0" w:line="200" w:lineRule="exact"/>
        <w:rPr>
          <w:sz w:val="20"/>
          <w:szCs w:val="20"/>
          <w:color w:val="auto"/>
        </w:rPr>
      </w:pPr>
    </w:p>
    <w:p>
      <w:pPr>
        <w:spacing w:after="0" w:line="2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Bradley T. Kunath</w:t>
      </w:r>
      <w:r>
        <w:rPr>
          <w:rFonts w:ascii="Times New Roman" w:cs="Times New Roman" w:eastAsia="Times New Roman" w:hAnsi="Times New Roman"/>
          <w:sz w:val="22"/>
          <w:szCs w:val="22"/>
          <w:color w:val="auto"/>
        </w:rPr>
        <w:t>_______________</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Bradley T. Kunath</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79" w:lineRule="exact"/>
        <w:rPr>
          <w:sz w:val="20"/>
          <w:szCs w:val="20"/>
          <w:color w:val="auto"/>
        </w:rPr>
      </w:pPr>
    </w:p>
    <w:p>
      <w:pPr>
        <w:ind w:left="3180" w:right="719" w:firstLine="111"/>
        <w:spacing w:after="0" w:line="260" w:lineRule="auto"/>
        <w:rPr>
          <w:sz w:val="20"/>
          <w:szCs w:val="20"/>
          <w:color w:val="auto"/>
        </w:rPr>
      </w:pPr>
      <w:r>
        <w:rPr>
          <w:rFonts w:ascii="Times New Roman" w:cs="Times New Roman" w:eastAsia="Times New Roman" w:hAnsi="Times New Roman"/>
          <w:sz w:val="21"/>
          <w:szCs w:val="21"/>
          <w:color w:val="auto"/>
        </w:rPr>
        <w:t>THE NORTHWESTERN MUTUAL LIFE INSURANCE COMPANY for its Group Annuity Separate Account</w:t>
      </w:r>
    </w:p>
    <w:p>
      <w:pPr>
        <w:jc w:val="right"/>
        <w:ind w:left="3580" w:right="199"/>
        <w:spacing w:after="0" w:line="248" w:lineRule="auto"/>
        <w:rPr>
          <w:sz w:val="20"/>
          <w:szCs w:val="20"/>
          <w:color w:val="auto"/>
        </w:rPr>
      </w:pPr>
      <w:r>
        <w:rPr>
          <w:rFonts w:ascii="Times New Roman" w:cs="Times New Roman" w:eastAsia="Times New Roman" w:hAnsi="Times New Roman"/>
          <w:sz w:val="22"/>
          <w:szCs w:val="22"/>
          <w:color w:val="auto"/>
        </w:rPr>
        <w:t>By: Northwestern Mutual Investment Management, LLC, its investment adviser</w:t>
      </w:r>
    </w:p>
    <w:p>
      <w:pPr>
        <w:spacing w:after="0" w:line="200" w:lineRule="exact"/>
        <w:rPr>
          <w:sz w:val="20"/>
          <w:szCs w:val="20"/>
          <w:color w:val="auto"/>
        </w:rPr>
      </w:pPr>
    </w:p>
    <w:p>
      <w:pPr>
        <w:spacing w:after="0" w:line="2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Bradley T. Kunath</w:t>
      </w:r>
      <w:r>
        <w:rPr>
          <w:rFonts w:ascii="Times New Roman" w:cs="Times New Roman" w:eastAsia="Times New Roman" w:hAnsi="Times New Roman"/>
          <w:sz w:val="22"/>
          <w:szCs w:val="22"/>
          <w:color w:val="auto"/>
        </w:rPr>
        <w:t>_______________</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Bradley T. Kunath</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THE LINCOLN NATIONAL LIFE INSURANCE COMPANY</w:t>
      </w:r>
    </w:p>
    <w:p>
      <w:pPr>
        <w:spacing w:after="0" w:line="247" w:lineRule="exact"/>
        <w:rPr>
          <w:sz w:val="20"/>
          <w:szCs w:val="20"/>
          <w:color w:val="auto"/>
        </w:rPr>
      </w:pPr>
    </w:p>
    <w:p>
      <w:pPr>
        <w:jc w:val="right"/>
        <w:ind w:left="3500" w:right="199"/>
        <w:spacing w:after="0" w:line="257" w:lineRule="auto"/>
        <w:rPr>
          <w:sz w:val="20"/>
          <w:szCs w:val="20"/>
          <w:color w:val="auto"/>
        </w:rPr>
      </w:pPr>
      <w:r>
        <w:rPr>
          <w:rFonts w:ascii="Times New Roman" w:cs="Times New Roman" w:eastAsia="Times New Roman" w:hAnsi="Times New Roman"/>
          <w:sz w:val="22"/>
          <w:szCs w:val="22"/>
          <w:color w:val="auto"/>
        </w:rPr>
        <w:t>By: Macquarie Investment Management Advisers, a series of Macquarie Investment Management Business Trust, Attorney in Fact</w:t>
      </w:r>
    </w:p>
    <w:p>
      <w:pPr>
        <w:spacing w:after="0" w:line="200" w:lineRule="exact"/>
        <w:rPr>
          <w:sz w:val="20"/>
          <w:szCs w:val="20"/>
          <w:color w:val="auto"/>
        </w:rPr>
      </w:pPr>
    </w:p>
    <w:p>
      <w:pPr>
        <w:spacing w:after="0" w:line="2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Karl H. Spaeth</w:t>
      </w:r>
      <w:r>
        <w:rPr>
          <w:rFonts w:ascii="Times New Roman" w:cs="Times New Roman" w:eastAsia="Times New Roman" w:hAnsi="Times New Roman"/>
          <w:sz w:val="22"/>
          <w:szCs w:val="22"/>
          <w:color w:val="auto"/>
        </w:rPr>
        <w:t>_______________</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Karl H. Spaeth</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LINCOLN LIFE &amp; ANNUITY COMPANY OF NEW YORK</w:t>
      </w:r>
    </w:p>
    <w:p>
      <w:pPr>
        <w:spacing w:after="0" w:line="247" w:lineRule="exact"/>
        <w:rPr>
          <w:sz w:val="20"/>
          <w:szCs w:val="20"/>
          <w:color w:val="auto"/>
        </w:rPr>
      </w:pPr>
    </w:p>
    <w:p>
      <w:pPr>
        <w:jc w:val="right"/>
        <w:ind w:left="3500" w:right="199"/>
        <w:spacing w:after="0" w:line="250" w:lineRule="auto"/>
        <w:rPr>
          <w:sz w:val="20"/>
          <w:szCs w:val="20"/>
          <w:color w:val="auto"/>
        </w:rPr>
      </w:pPr>
      <w:r>
        <w:rPr>
          <w:rFonts w:ascii="Times New Roman" w:cs="Times New Roman" w:eastAsia="Times New Roman" w:hAnsi="Times New Roman"/>
          <w:sz w:val="22"/>
          <w:szCs w:val="22"/>
          <w:color w:val="auto"/>
        </w:rPr>
        <w:t>By: Macquarie Investment Management Advisers, a series of Macquarie Investment Management Business Trust, Attorney in Fact</w:t>
      </w: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Karl H. Spaeth</w:t>
      </w:r>
      <w:r>
        <w:rPr>
          <w:rFonts w:ascii="Times New Roman" w:cs="Times New Roman" w:eastAsia="Times New Roman" w:hAnsi="Times New Roman"/>
          <w:sz w:val="22"/>
          <w:szCs w:val="22"/>
          <w:color w:val="auto"/>
        </w:rPr>
        <w:t>_______________</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Karl H. Spaeth</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ind w:left="4340" w:right="839" w:hanging="931"/>
        <w:spacing w:after="0" w:line="258" w:lineRule="auto"/>
        <w:rPr>
          <w:sz w:val="20"/>
          <w:szCs w:val="20"/>
          <w:color w:val="auto"/>
        </w:rPr>
      </w:pPr>
      <w:r>
        <w:rPr>
          <w:rFonts w:ascii="Times New Roman" w:cs="Times New Roman" w:eastAsia="Times New Roman" w:hAnsi="Times New Roman"/>
          <w:sz w:val="22"/>
          <w:szCs w:val="22"/>
          <w:color w:val="auto"/>
        </w:rPr>
        <w:t>LINCOLN NATIONAL REINSURANCE COMPANY (BARBADOS) LIMITED</w:t>
      </w:r>
    </w:p>
    <w:p>
      <w:pPr>
        <w:spacing w:after="0" w:line="212" w:lineRule="exact"/>
        <w:rPr>
          <w:sz w:val="20"/>
          <w:szCs w:val="20"/>
          <w:color w:val="auto"/>
        </w:rPr>
      </w:pPr>
    </w:p>
    <w:p>
      <w:pPr>
        <w:jc w:val="right"/>
        <w:ind w:left="3500" w:right="199"/>
        <w:spacing w:after="0" w:line="250" w:lineRule="auto"/>
        <w:rPr>
          <w:sz w:val="20"/>
          <w:szCs w:val="20"/>
          <w:color w:val="auto"/>
        </w:rPr>
      </w:pPr>
      <w:r>
        <w:rPr>
          <w:rFonts w:ascii="Times New Roman" w:cs="Times New Roman" w:eastAsia="Times New Roman" w:hAnsi="Times New Roman"/>
          <w:sz w:val="22"/>
          <w:szCs w:val="22"/>
          <w:color w:val="auto"/>
        </w:rPr>
        <w:t>By: Macquarie Investment Management Advisers, a series of Macquarie Investment Management Business Trust, Attorney in Fact</w:t>
      </w: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Karl H. Spaeth</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Karl H. Spaeth</w:t>
      </w:r>
    </w:p>
    <w:p>
      <w:pPr>
        <w:ind w:left="47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LEGAL AND GENERAL ASSURANCE SOCIETY LIMITED</w:t>
      </w:r>
    </w:p>
    <w:p>
      <w:pPr>
        <w:spacing w:after="0" w:line="14"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By Legal &amp; General Investment Management America, Inc., its</w:t>
      </w:r>
    </w:p>
    <w:p>
      <w:pPr>
        <w:spacing w:after="0" w:line="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Investment Manager</w:t>
      </w:r>
    </w:p>
    <w:p>
      <w:pPr>
        <w:spacing w:after="0" w:line="200" w:lineRule="exact"/>
        <w:rPr>
          <w:sz w:val="20"/>
          <w:szCs w:val="20"/>
          <w:color w:val="auto"/>
        </w:rPr>
      </w:pPr>
    </w:p>
    <w:p>
      <w:pPr>
        <w:spacing w:after="0" w:line="2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Edward Wood</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Edward Wood</w:t>
      </w:r>
    </w:p>
    <w:p>
      <w:pPr>
        <w:ind w:left="4720"/>
        <w:spacing w:after="0"/>
        <w:rPr>
          <w:sz w:val="20"/>
          <w:szCs w:val="20"/>
          <w:color w:val="auto"/>
        </w:rPr>
      </w:pPr>
      <w:r>
        <w:rPr>
          <w:rFonts w:ascii="Times New Roman" w:cs="Times New Roman" w:eastAsia="Times New Roman" w:hAnsi="Times New Roman"/>
          <w:sz w:val="21"/>
          <w:szCs w:val="21"/>
          <w:color w:val="auto"/>
        </w:rPr>
        <w:t>Title: Head of Private Credit Investment, North</w:t>
      </w:r>
    </w:p>
    <w:p>
      <w:pPr>
        <w:spacing w:after="0" w:line="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PRINCIPAL LIFE INSURANCE COMPANY</w:t>
      </w:r>
    </w:p>
    <w:p>
      <w:pPr>
        <w:spacing w:after="0" w:line="247" w:lineRule="exact"/>
        <w:rPr>
          <w:sz w:val="20"/>
          <w:szCs w:val="20"/>
          <w:color w:val="auto"/>
        </w:rPr>
      </w:pPr>
    </w:p>
    <w:p>
      <w:pPr>
        <w:jc w:val="right"/>
        <w:ind w:left="3980" w:right="199"/>
        <w:spacing w:after="0" w:line="271" w:lineRule="auto"/>
        <w:rPr>
          <w:sz w:val="20"/>
          <w:szCs w:val="20"/>
          <w:color w:val="auto"/>
        </w:rPr>
      </w:pPr>
      <w:r>
        <w:rPr>
          <w:rFonts w:ascii="Times New Roman" w:cs="Times New Roman" w:eastAsia="Times New Roman" w:hAnsi="Times New Roman"/>
          <w:sz w:val="22"/>
          <w:szCs w:val="22"/>
          <w:color w:val="auto"/>
        </w:rPr>
        <w:t>By: Principal Global Investors, LLC a Delaware limited liability company, its authorized signatory</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Karl Goodman</w:t>
      </w:r>
      <w:r>
        <w:rPr>
          <w:rFonts w:ascii="Times New Roman" w:cs="Times New Roman" w:eastAsia="Times New Roman" w:hAnsi="Times New Roman"/>
          <w:sz w:val="22"/>
          <w:szCs w:val="22"/>
          <w:color w:val="auto"/>
        </w:rPr>
        <w:t>_______________</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Karl Goodman</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Counsel</w:t>
      </w: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Colin Pennycooke</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Colin Pennycooke</w:t>
      </w:r>
    </w:p>
    <w:p>
      <w:pPr>
        <w:ind w:left="4720"/>
        <w:spacing w:after="0"/>
        <w:rPr>
          <w:sz w:val="20"/>
          <w:szCs w:val="20"/>
          <w:color w:val="auto"/>
        </w:rPr>
      </w:pPr>
      <w:r>
        <w:rPr>
          <w:rFonts w:ascii="Times New Roman" w:cs="Times New Roman" w:eastAsia="Times New Roman" w:hAnsi="Times New Roman"/>
          <w:sz w:val="22"/>
          <w:szCs w:val="22"/>
          <w:color w:val="auto"/>
        </w:rPr>
        <w:t>Title: Counsel</w:t>
      </w:r>
    </w:p>
    <w:p>
      <w:pPr>
        <w:spacing w:after="0" w:line="200" w:lineRule="exact"/>
        <w:rPr>
          <w:sz w:val="20"/>
          <w:szCs w:val="20"/>
          <w:color w:val="auto"/>
        </w:rPr>
      </w:pPr>
    </w:p>
    <w:p>
      <w:pPr>
        <w:spacing w:after="0" w:line="279"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22"/>
          <w:szCs w:val="22"/>
          <w:color w:val="auto"/>
        </w:rPr>
        <w:t>PRINCIPAL LIFE INSURANCE COMPANY-</w:t>
      </w:r>
    </w:p>
    <w:p>
      <w:pPr>
        <w:spacing w:after="0" w:line="28"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22"/>
          <w:szCs w:val="22"/>
          <w:color w:val="auto"/>
        </w:rPr>
        <w:t>PRINCIPAL PRT SEPARATE ACCOUNT</w:t>
      </w:r>
    </w:p>
    <w:p>
      <w:pPr>
        <w:spacing w:after="0" w:line="223" w:lineRule="exact"/>
        <w:rPr>
          <w:sz w:val="20"/>
          <w:szCs w:val="20"/>
          <w:color w:val="auto"/>
        </w:rPr>
      </w:pPr>
    </w:p>
    <w:p>
      <w:pPr>
        <w:jc w:val="right"/>
        <w:ind w:left="3980" w:right="199"/>
        <w:spacing w:after="0" w:line="271" w:lineRule="auto"/>
        <w:rPr>
          <w:sz w:val="20"/>
          <w:szCs w:val="20"/>
          <w:color w:val="auto"/>
        </w:rPr>
      </w:pPr>
      <w:r>
        <w:rPr>
          <w:rFonts w:ascii="Times New Roman" w:cs="Times New Roman" w:eastAsia="Times New Roman" w:hAnsi="Times New Roman"/>
          <w:sz w:val="22"/>
          <w:szCs w:val="22"/>
          <w:color w:val="auto"/>
        </w:rPr>
        <w:t>By: Principal Global Investors, LLC a Delaware limited liability company, its authorized signatory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Karl Goodman</w:t>
      </w:r>
      <w:r>
        <w:rPr>
          <w:rFonts w:ascii="Times New Roman" w:cs="Times New Roman" w:eastAsia="Times New Roman" w:hAnsi="Times New Roman"/>
          <w:sz w:val="22"/>
          <w:szCs w:val="22"/>
          <w:color w:val="auto"/>
        </w:rPr>
        <w:t>_______________</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Karl Goodman</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Counsel</w:t>
      </w: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Colin Pennycooke</w:t>
      </w:r>
      <w:r>
        <w:rPr>
          <w:rFonts w:ascii="Times New Roman" w:cs="Times New Roman" w:eastAsia="Times New Roman" w:hAnsi="Times New Roman"/>
          <w:sz w:val="22"/>
          <w:szCs w:val="22"/>
          <w:color w:val="auto"/>
        </w:rPr>
        <w:t>_______________</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Colin Pennycooke</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MANULIFE (SINGAPORE) PTE. LTD.</w:t>
      </w: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Mike Tsai</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Mike Tsai</w:t>
      </w:r>
    </w:p>
    <w:p>
      <w:pPr>
        <w:ind w:left="4720"/>
        <w:spacing w:after="0"/>
        <w:rPr>
          <w:sz w:val="20"/>
          <w:szCs w:val="20"/>
          <w:color w:val="auto"/>
        </w:rPr>
      </w:pPr>
      <w:r>
        <w:rPr>
          <w:rFonts w:ascii="Times New Roman" w:cs="Times New Roman" w:eastAsia="Times New Roman" w:hAnsi="Times New Roman"/>
          <w:sz w:val="22"/>
          <w:szCs w:val="22"/>
          <w:color w:val="auto"/>
        </w:rPr>
        <w:t>Title: Director, ManuLife General Account</w:t>
      </w:r>
    </w:p>
    <w:p>
      <w:pPr>
        <w:ind w:left="4720"/>
        <w:spacing w:after="0" w:line="233" w:lineRule="auto"/>
        <w:rPr>
          <w:sz w:val="20"/>
          <w:szCs w:val="20"/>
          <w:color w:val="auto"/>
        </w:rPr>
      </w:pPr>
      <w:r>
        <w:rPr>
          <w:rFonts w:ascii="Times New Roman" w:cs="Times New Roman" w:eastAsia="Times New Roman" w:hAnsi="Times New Roman"/>
          <w:sz w:val="22"/>
          <w:szCs w:val="22"/>
          <w:color w:val="auto"/>
        </w:rPr>
        <w:t>Investments (Singapore) Pte Ltd. As</w:t>
      </w:r>
    </w:p>
    <w:p>
      <w:pPr>
        <w:spacing w:after="0" w:line="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investment manager of ManuLife (Singapore)</w:t>
      </w:r>
    </w:p>
    <w:p>
      <w:pPr>
        <w:spacing w:after="0" w:line="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Pte. Ltd.</w:t>
      </w:r>
    </w:p>
    <w:p>
      <w:pPr>
        <w:spacing w:after="0" w:line="200" w:lineRule="exact"/>
        <w:rPr>
          <w:sz w:val="20"/>
          <w:szCs w:val="20"/>
          <w:color w:val="auto"/>
        </w:rPr>
      </w:pPr>
    </w:p>
    <w:p>
      <w:pPr>
        <w:spacing w:after="0" w:line="2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MANULIFE (INTERNATIONAL) LIMITED</w:t>
      </w: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Elton Shum</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Elton Shum</w:t>
      </w:r>
    </w:p>
    <w:p>
      <w:pPr>
        <w:ind w:left="4720"/>
        <w:spacing w:after="0"/>
        <w:rPr>
          <w:sz w:val="20"/>
          <w:szCs w:val="20"/>
          <w:color w:val="auto"/>
        </w:rPr>
      </w:pPr>
      <w:r>
        <w:rPr>
          <w:rFonts w:ascii="Times New Roman" w:cs="Times New Roman" w:eastAsia="Times New Roman" w:hAnsi="Times New Roman"/>
          <w:sz w:val="22"/>
          <w:szCs w:val="22"/>
          <w:color w:val="auto"/>
        </w:rPr>
        <w:t>Title: Managing Director, Portfolio</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Management, Asia, General Account</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NEW YORK STATE INSURANCE FUND</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By: AllianceBernstein LP, its Investment Advisor</w:t>
      </w:r>
    </w:p>
    <w:p>
      <w:pPr>
        <w:spacing w:after="0" w:line="200" w:lineRule="exact"/>
        <w:rPr>
          <w:sz w:val="20"/>
          <w:szCs w:val="20"/>
          <w:color w:val="auto"/>
        </w:rPr>
      </w:pPr>
    </w:p>
    <w:p>
      <w:pPr>
        <w:spacing w:after="0" w:line="2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Amy Judd</w:t>
      </w:r>
      <w:r>
        <w:rPr>
          <w:rFonts w:ascii="Times New Roman" w:cs="Times New Roman" w:eastAsia="Times New Roman" w:hAnsi="Times New Roman"/>
          <w:sz w:val="22"/>
          <w:szCs w:val="22"/>
          <w:color w:val="auto"/>
        </w:rPr>
        <w:t>_______________</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Amy Judd</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22"/>
          <w:szCs w:val="22"/>
          <w:color w:val="auto"/>
        </w:rPr>
        <w:t>AMERICAN UNITED LIFE INSURANCE COMPANY</w:t>
      </w: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Craig Lehman</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Craig Lehman</w:t>
      </w:r>
    </w:p>
    <w:p>
      <w:pPr>
        <w:ind w:left="4720"/>
        <w:spacing w:after="0"/>
        <w:rPr>
          <w:sz w:val="20"/>
          <w:szCs w:val="20"/>
          <w:color w:val="auto"/>
        </w:rPr>
      </w:pPr>
      <w:r>
        <w:rPr>
          <w:rFonts w:ascii="Times New Roman" w:cs="Times New Roman" w:eastAsia="Times New Roman" w:hAnsi="Times New Roman"/>
          <w:sz w:val="22"/>
          <w:szCs w:val="22"/>
          <w:color w:val="auto"/>
        </w:rPr>
        <w:t>Title: VP,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420" w:right="819" w:firstLine="130"/>
        <w:spacing w:after="0" w:line="248" w:lineRule="auto"/>
        <w:rPr>
          <w:sz w:val="20"/>
          <w:szCs w:val="20"/>
          <w:color w:val="auto"/>
        </w:rPr>
      </w:pPr>
      <w:r>
        <w:rPr>
          <w:rFonts w:ascii="Times New Roman" w:cs="Times New Roman" w:eastAsia="Times New Roman" w:hAnsi="Times New Roman"/>
          <w:sz w:val="22"/>
          <w:szCs w:val="22"/>
          <w:color w:val="auto"/>
        </w:rPr>
        <w:t>AMERICAN REPUBLIC INSURANCE COMPANY BETTERLIFE</w:t>
      </w:r>
    </w:p>
    <w:p>
      <w:pPr>
        <w:spacing w:after="0" w:line="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BLUE CROSS AND BLUE SHIELD OF FLORIDA, INC.</w:t>
      </w:r>
    </w:p>
    <w:p>
      <w:pPr>
        <w:ind w:left="3480"/>
        <w:spacing w:after="0" w:line="233" w:lineRule="auto"/>
        <w:rPr>
          <w:sz w:val="20"/>
          <w:szCs w:val="20"/>
          <w:color w:val="auto"/>
        </w:rPr>
      </w:pPr>
      <w:r>
        <w:rPr>
          <w:rFonts w:ascii="Times New Roman" w:cs="Times New Roman" w:eastAsia="Times New Roman" w:hAnsi="Times New Roman"/>
          <w:sz w:val="22"/>
          <w:szCs w:val="22"/>
          <w:color w:val="auto"/>
        </w:rPr>
        <w:t>CATHOLIC FINANCIAL LIFE</w:t>
      </w:r>
    </w:p>
    <w:p>
      <w:pPr>
        <w:spacing w:after="0" w:line="1"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22"/>
          <w:szCs w:val="22"/>
          <w:color w:val="auto"/>
        </w:rPr>
        <w:t>FIDELITY LIFE ASSOCIATION, A LEGAL RESERVE LIFE</w:t>
      </w:r>
    </w:p>
    <w:p>
      <w:pPr>
        <w:ind w:left="4300"/>
        <w:spacing w:after="0" w:line="233" w:lineRule="auto"/>
        <w:rPr>
          <w:sz w:val="20"/>
          <w:szCs w:val="20"/>
          <w:color w:val="auto"/>
        </w:rPr>
      </w:pPr>
      <w:r>
        <w:rPr>
          <w:rFonts w:ascii="Times New Roman" w:cs="Times New Roman" w:eastAsia="Times New Roman" w:hAnsi="Times New Roman"/>
          <w:sz w:val="22"/>
          <w:szCs w:val="22"/>
          <w:color w:val="auto"/>
        </w:rPr>
        <w:t>INSURANCE COMPANY</w:t>
      </w:r>
    </w:p>
    <w:p>
      <w:pPr>
        <w:spacing w:after="0" w:line="1" w:lineRule="exact"/>
        <w:rPr>
          <w:sz w:val="20"/>
          <w:szCs w:val="20"/>
          <w:color w:val="auto"/>
        </w:rPr>
      </w:pPr>
    </w:p>
    <w:p>
      <w:pPr>
        <w:ind w:left="3540" w:right="859" w:hanging="32"/>
        <w:spacing w:after="0" w:line="263" w:lineRule="auto"/>
        <w:rPr>
          <w:sz w:val="20"/>
          <w:szCs w:val="20"/>
          <w:color w:val="auto"/>
        </w:rPr>
      </w:pPr>
      <w:r>
        <w:rPr>
          <w:rFonts w:ascii="Times New Roman" w:cs="Times New Roman" w:eastAsia="Times New Roman" w:hAnsi="Times New Roman"/>
          <w:sz w:val="21"/>
          <w:szCs w:val="21"/>
          <w:color w:val="auto"/>
        </w:rPr>
        <w:t>TRUSTMARK INSURANCE COMPANY UNITED INSURANCE COMPANY OF AMERICA UNITEDHEALTHCARE INSURANCE COMPANY</w:t>
      </w:r>
    </w:p>
    <w:p>
      <w:pPr>
        <w:spacing w:after="0" w:line="19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 Securian Asset Management, Inc.</w:t>
      </w: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Robin J. Lenarz</w:t>
      </w:r>
      <w:r>
        <w:rPr>
          <w:rFonts w:ascii="Times New Roman" w:cs="Times New Roman" w:eastAsia="Times New Roman" w:hAnsi="Times New Roman"/>
          <w:sz w:val="22"/>
          <w:szCs w:val="22"/>
          <w:color w:val="auto"/>
        </w:rPr>
        <w:t>_______________</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Robin J. Lenarz</w:t>
      </w:r>
    </w:p>
    <w:p>
      <w:pPr>
        <w:ind w:left="47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22"/>
          <w:szCs w:val="22"/>
          <w:color w:val="auto"/>
        </w:rPr>
        <w:t>UNITED FARM FAMILY LIFE INSURANCE COMPANY</w:t>
      </w: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Lucado</w:t>
      </w:r>
      <w:r>
        <w:rPr>
          <w:rFonts w:ascii="Times New Roman" w:cs="Times New Roman" w:eastAsia="Times New Roman" w:hAnsi="Times New Roman"/>
          <w:sz w:val="22"/>
          <w:szCs w:val="22"/>
          <w:color w:val="auto"/>
        </w:rPr>
        <w:t>_______________</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Michael Lucado</w:t>
      </w:r>
    </w:p>
    <w:p>
      <w:pPr>
        <w:spacing w:after="0" w:line="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ind w:left="5860"/>
        <w:spacing w:after="0"/>
        <w:rPr>
          <w:sz w:val="20"/>
          <w:szCs w:val="20"/>
          <w:color w:val="auto"/>
        </w:rPr>
      </w:pPr>
      <w:r>
        <w:rPr>
          <w:rFonts w:ascii="Times New Roman" w:cs="Times New Roman" w:eastAsia="Times New Roman" w:hAnsi="Times New Roman"/>
          <w:sz w:val="21"/>
          <w:szCs w:val="21"/>
          <w:color w:val="auto"/>
        </w:rPr>
        <w:t>Information Related to Purchasers</w:t>
      </w:r>
    </w:p>
    <w:p>
      <w:pPr>
        <w:sectPr>
          <w:pgSz w:w="11900" w:h="16838" w:orient="portrait"/>
          <w:cols w:equalWidth="0" w:num="1">
            <w:col w:w="9019"/>
          </w:cols>
          <w:pgMar w:left="1440" w:top="612" w:right="1440" w:bottom="1440" w:gutter="0" w:footer="0" w:header="0"/>
        </w:sectPr>
      </w:pP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Name and Address of Purchaser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Amount of Bonds to be Purchased</w:t>
      </w:r>
    </w:p>
    <w:p>
      <w:pPr>
        <w:spacing w:after="0" w:line="200" w:lineRule="exact"/>
        <w:rPr>
          <w:sz w:val="20"/>
          <w:szCs w:val="20"/>
          <w:color w:val="auto"/>
        </w:rPr>
      </w:pPr>
    </w:p>
    <w:p>
      <w:pPr>
        <w:sectPr>
          <w:pgSz w:w="11900" w:h="16838" w:orient="portrait"/>
          <w:cols w:equalWidth="0" w:num="2">
            <w:col w:w="4200" w:space="720"/>
            <w:col w:w="4099"/>
          </w:cols>
          <w:pgMar w:left="1440" w:top="612" w:right="1440" w:bottom="1440" w:gutter="0" w:footer="0" w:header="0"/>
          <w:type w:val="continuous"/>
        </w:sectPr>
      </w:pP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[Name of Purchaser]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4500" w:space="720"/>
            <w:col w:w="3799"/>
          </w:cols>
          <w:pgMar w:left="1440" w:top="612" w:right="1440"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All payments by wire transfer of immediately available funds to:</w:t>
      </w:r>
    </w:p>
    <w:p>
      <w:pPr>
        <w:spacing w:after="0" w:line="2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with sufficient information to identify the source and application of such funds.</w:t>
      </w:r>
    </w:p>
    <w:p>
      <w:pPr>
        <w:spacing w:after="0" w:line="236" w:lineRule="exact"/>
        <w:rPr>
          <w:sz w:val="20"/>
          <w:szCs w:val="20"/>
          <w:color w:val="auto"/>
        </w:rPr>
      </w:pPr>
    </w:p>
    <w:p>
      <w:pPr>
        <w:ind w:left="500" w:hanging="316"/>
        <w:spacing w:after="0"/>
        <w:tabs>
          <w:tab w:leader="none" w:pos="5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of payments and written confirmations of such wire transfers:</w:t>
      </w:r>
    </w:p>
    <w:p>
      <w:pPr>
        <w:spacing w:after="0" w:line="229" w:lineRule="exact"/>
        <w:rPr>
          <w:rFonts w:ascii="Times New Roman" w:cs="Times New Roman" w:eastAsia="Times New Roman" w:hAnsi="Times New Roman"/>
          <w:sz w:val="20"/>
          <w:szCs w:val="20"/>
          <w:color w:val="auto"/>
        </w:rPr>
      </w:pPr>
    </w:p>
    <w:p>
      <w:pPr>
        <w:ind w:left="500" w:hanging="316"/>
        <w:spacing w:after="0"/>
        <w:tabs>
          <w:tab w:leader="none" w:pos="5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808080"/>
        </w:rPr>
        <w:t>SCHEDULE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808080"/>
        </w:rPr>
        <w:t>(to Bond Purchase Agreement)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type w:val="continuous"/>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51" w:lineRule="exact"/>
        <w:rPr>
          <w:sz w:val="20"/>
          <w:szCs w:val="20"/>
          <w:color w:val="auto"/>
        </w:rPr>
      </w:pPr>
    </w:p>
    <w:p>
      <w:pPr>
        <w:jc w:val="both"/>
        <w:ind w:left="180" w:right="199" w:firstLine="648"/>
        <w:spacing w:after="0" w:line="271" w:lineRule="auto"/>
        <w:rPr>
          <w:sz w:val="20"/>
          <w:szCs w:val="20"/>
          <w:color w:val="auto"/>
        </w:rPr>
      </w:pPr>
      <w:r>
        <w:rPr>
          <w:rFonts w:ascii="Times New Roman" w:cs="Times New Roman" w:eastAsia="Times New Roman" w:hAnsi="Times New Roman"/>
          <w:sz w:val="22"/>
          <w:szCs w:val="22"/>
          <w:color w:val="auto"/>
        </w:rPr>
        <w:t>As used herein, the following terms have the respective meanings set forth below or set forth in the Section hereof following such term:</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“4.50% Series due December 1, 2052 Bonds”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at any time, and with respect to any Person, any other Person that at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is a reference to an Affiliate of the Company.</w:t>
      </w:r>
    </w:p>
    <w:p>
      <w:pPr>
        <w:spacing w:after="0" w:line="211"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means this Bond Purchase Agreement, including all Schedules and Exhibits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attached to this Agreement.</w:t>
      </w:r>
    </w:p>
    <w:p>
      <w:pPr>
        <w:spacing w:after="0" w:line="146" w:lineRule="exact"/>
        <w:rPr>
          <w:sz w:val="20"/>
          <w:szCs w:val="20"/>
          <w:color w:val="auto"/>
        </w:rPr>
      </w:pPr>
    </w:p>
    <w:p>
      <w:pPr>
        <w:jc w:val="both"/>
        <w:ind w:left="180" w:right="199" w:firstLine="648"/>
        <w:spacing w:after="0" w:line="272"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Corruption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bribery or any other corrupt activity, including the U.S. Foreign Corrupt Practices Act and the U.K. Bribery Act 2010.</w:t>
      </w:r>
    </w:p>
    <w:p>
      <w:pPr>
        <w:spacing w:after="0" w:line="183" w:lineRule="exact"/>
        <w:rPr>
          <w:sz w:val="20"/>
          <w:szCs w:val="20"/>
          <w:color w:val="auto"/>
        </w:rPr>
      </w:pPr>
    </w:p>
    <w:p>
      <w:pPr>
        <w:jc w:val="both"/>
        <w:ind w:left="180" w:right="199" w:firstLine="648"/>
        <w:spacing w:after="0" w:line="268"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Money Laundering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jurisdiction regarding money laundering, drug trafficking, terrorist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activities or other money laundering predicate crimes, including the Currency and Foreign Transactions Reporting Act of 1970 (otherwise known as the Bank Secrecy Act) and the USA Patriot Act.</w:t>
      </w:r>
    </w:p>
    <w:p>
      <w:pPr>
        <w:spacing w:after="0" w:line="228"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1"/>
          <w:szCs w:val="21"/>
          <w:i w:val="1"/>
          <w:iCs w:val="1"/>
          <w:color w:val="auto"/>
        </w:rPr>
        <w:t xml:space="preserve">“Blocked Person” </w:t>
      </w:r>
      <w:r>
        <w:rPr>
          <w:rFonts w:ascii="Times New Roman" w:cs="Times New Roman" w:eastAsia="Times New Roman" w:hAnsi="Times New Roman"/>
          <w:sz w:val="21"/>
          <w:szCs w:val="21"/>
          <w:color w:val="auto"/>
        </w:rPr>
        <w:t>means (a) a Person whose name appears on the list of Specially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w:t>
      </w:r>
      <w:r>
        <w:rPr>
          <w:rFonts w:ascii="Times New Roman" w:cs="Times New Roman" w:eastAsia="Times New Roman" w:hAnsi="Times New Roman"/>
          <w:sz w:val="21"/>
          <w:szCs w:val="21"/>
          <w:b w:val="1"/>
          <w:bCs w:val="1"/>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“Bonds”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180" w:right="19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for the purposes of any provision of this Agreement, any day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a Saturday, a Sunday or a day on which commercial banks in New York, New York or Philadelphia, Pennsylvania are required or authorized to be closed.</w:t>
      </w:r>
    </w:p>
    <w:p>
      <w:pPr>
        <w:spacing w:after="0" w:line="202" w:lineRule="exact"/>
        <w:rPr>
          <w:sz w:val="20"/>
          <w:szCs w:val="20"/>
          <w:color w:val="auto"/>
        </w:rPr>
      </w:pPr>
    </w:p>
    <w:p>
      <w:pPr>
        <w:jc w:val="both"/>
        <w:ind w:left="180" w:right="199"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“Capital Lease” </w:t>
      </w:r>
      <w:r>
        <w:rPr>
          <w:rFonts w:ascii="Times New Roman" w:cs="Times New Roman" w:eastAsia="Times New Roman" w:hAnsi="Times New Roman"/>
          <w:sz w:val="22"/>
          <w:szCs w:val="22"/>
          <w:color w:val="auto"/>
        </w:rPr>
        <w:t>means, at any time, a lease with respect to which the lessee is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concurrently to recognize the acquisition of an asset and the incurrence of a liability in accordance with GAAP.</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B</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95" w:name="page96"/>
    <w:bookmarkEnd w:id="95"/>
    <w:p>
      <w:pPr>
        <w:jc w:val="both"/>
        <w:ind w:left="180" w:right="19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“Capital Lease Obligation” </w:t>
      </w:r>
      <w:r>
        <w:rPr>
          <w:rFonts w:ascii="Times New Roman" w:cs="Times New Roman" w:eastAsia="Times New Roman" w:hAnsi="Times New Roman"/>
          <w:sz w:val="22"/>
          <w:szCs w:val="22"/>
          <w:color w:val="auto"/>
        </w:rPr>
        <w:t>means, with respect to any Person and a Capital Lease,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the obligation of such Person as the lessee under such Capital Lease which would, in accordance with GAAP, appear as a liability on a balance sheet of such Person.</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“Closing”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from time to time,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rules and regulations promulgated thereunder from time to time.</w:t>
      </w:r>
    </w:p>
    <w:p>
      <w:pPr>
        <w:spacing w:after="0" w:line="204"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“Company” </w:t>
      </w:r>
      <w:r>
        <w:rPr>
          <w:rFonts w:ascii="Times New Roman" w:cs="Times New Roman" w:eastAsia="Times New Roman" w:hAnsi="Times New Roman"/>
          <w:sz w:val="22"/>
          <w:szCs w:val="22"/>
          <w:color w:val="auto"/>
        </w:rPr>
        <w:t>means Aqua Pennsylvania, Inc., a corporation existing under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Commonwealth of Pennsylvania.</w:t>
      </w:r>
    </w:p>
    <w:p>
      <w:pPr>
        <w:spacing w:after="0" w:line="204"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Controlled Entity</w:t>
      </w:r>
      <w:r>
        <w:rPr>
          <w:rFonts w:ascii="Times New Roman" w:cs="Times New Roman" w:eastAsia="Times New Roman" w:hAnsi="Times New Roman"/>
          <w:sz w:val="22"/>
          <w:szCs w:val="22"/>
          <w:color w:val="auto"/>
        </w:rPr>
        <w:t>” means any of the Subsidiaries of the Company and any of their or the Company’s respective Controlled Affiliates. As used in this definition, “</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a Person, whether through the ownership of voting securities, by contract or otherwise.</w:t>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“Debt” </w:t>
      </w:r>
      <w:r>
        <w:rPr>
          <w:rFonts w:ascii="Times New Roman" w:cs="Times New Roman" w:eastAsia="Times New Roman" w:hAnsi="Times New Roman"/>
          <w:sz w:val="22"/>
          <w:szCs w:val="22"/>
          <w:color w:val="auto"/>
        </w:rPr>
        <w:t>means, with respect to any Person, without duplication,</w:t>
      </w:r>
    </w:p>
    <w:p>
      <w:pPr>
        <w:spacing w:after="0" w:line="264" w:lineRule="exact"/>
        <w:rPr>
          <w:sz w:val="20"/>
          <w:szCs w:val="20"/>
          <w:color w:val="auto"/>
        </w:rPr>
      </w:pPr>
    </w:p>
    <w:p>
      <w:pPr>
        <w:ind w:left="1880" w:hanging="319"/>
        <w:spacing w:after="0"/>
        <w:tabs>
          <w:tab w:leader="none" w:pos="1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liabilities for borrowed money;</w:t>
      </w:r>
    </w:p>
    <w:p>
      <w:pPr>
        <w:spacing w:after="0" w:line="246" w:lineRule="exact"/>
        <w:rPr>
          <w:rFonts w:ascii="Times New Roman" w:cs="Times New Roman" w:eastAsia="Times New Roman" w:hAnsi="Times New Roman"/>
          <w:sz w:val="22"/>
          <w:szCs w:val="22"/>
          <w:color w:val="auto"/>
        </w:rPr>
      </w:pPr>
    </w:p>
    <w:p>
      <w:pPr>
        <w:jc w:val="both"/>
        <w:ind w:left="840" w:right="199" w:firstLine="721"/>
        <w:spacing w:after="0" w:line="248" w:lineRule="auto"/>
        <w:tabs>
          <w:tab w:leader="none" w:pos="190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209" w:lineRule="exact"/>
        <w:rPr>
          <w:rFonts w:ascii="Times New Roman" w:cs="Times New Roman" w:eastAsia="Times New Roman" w:hAnsi="Times New Roman"/>
          <w:sz w:val="22"/>
          <w:szCs w:val="22"/>
          <w:color w:val="auto"/>
        </w:rPr>
      </w:pPr>
    </w:p>
    <w:p>
      <w:pPr>
        <w:ind w:left="1880" w:hanging="319"/>
        <w:spacing w:after="0"/>
        <w:tabs>
          <w:tab w:leader="none" w:pos="1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Capital Lease Obligations;</w:t>
      </w:r>
    </w:p>
    <w:p>
      <w:pPr>
        <w:spacing w:after="0" w:line="260" w:lineRule="exact"/>
        <w:rPr>
          <w:rFonts w:ascii="Times New Roman" w:cs="Times New Roman" w:eastAsia="Times New Roman" w:hAnsi="Times New Roman"/>
          <w:sz w:val="22"/>
          <w:szCs w:val="22"/>
          <w:color w:val="auto"/>
        </w:rPr>
      </w:pPr>
    </w:p>
    <w:p>
      <w:pPr>
        <w:jc w:val="both"/>
        <w:ind w:left="840" w:right="199" w:firstLine="721"/>
        <w:spacing w:after="0" w:line="250" w:lineRule="auto"/>
        <w:tabs>
          <w:tab w:leader="none" w:pos="190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for borrowed money secured by any Lien with respect to any property owned by such Person (whether or not it has assumed or otherwise become liable for such liabilities);</w:t>
      </w:r>
    </w:p>
    <w:p>
      <w:pPr>
        <w:spacing w:after="0" w:line="208" w:lineRule="exact"/>
        <w:rPr>
          <w:rFonts w:ascii="Times New Roman" w:cs="Times New Roman" w:eastAsia="Times New Roman" w:hAnsi="Times New Roman"/>
          <w:sz w:val="22"/>
          <w:szCs w:val="22"/>
          <w:color w:val="auto"/>
        </w:rPr>
      </w:pPr>
    </w:p>
    <w:p>
      <w:pPr>
        <w:jc w:val="both"/>
        <w:ind w:left="840" w:right="199" w:firstLine="721"/>
        <w:spacing w:after="0" w:line="257" w:lineRule="auto"/>
        <w:tabs>
          <w:tab w:leader="none" w:pos="189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199" w:lineRule="exact"/>
        <w:rPr>
          <w:rFonts w:ascii="Times New Roman" w:cs="Times New Roman" w:eastAsia="Times New Roman" w:hAnsi="Times New Roman"/>
          <w:sz w:val="22"/>
          <w:szCs w:val="22"/>
          <w:color w:val="auto"/>
        </w:rPr>
      </w:pPr>
    </w:p>
    <w:p>
      <w:pPr>
        <w:ind w:left="1940" w:hanging="339"/>
        <w:spacing w:after="0"/>
        <w:tabs>
          <w:tab w:leader="none" w:pos="19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Swaps of such Person; and</w:t>
      </w:r>
    </w:p>
    <w:p>
      <w:pPr>
        <w:spacing w:after="0" w:line="246" w:lineRule="exact"/>
        <w:rPr>
          <w:rFonts w:ascii="Times New Roman" w:cs="Times New Roman" w:eastAsia="Times New Roman" w:hAnsi="Times New Roman"/>
          <w:sz w:val="22"/>
          <w:szCs w:val="22"/>
          <w:color w:val="auto"/>
        </w:rPr>
      </w:pPr>
    </w:p>
    <w:p>
      <w:pPr>
        <w:ind w:left="840" w:right="199" w:firstLine="721"/>
        <w:spacing w:after="0" w:line="271" w:lineRule="auto"/>
        <w:tabs>
          <w:tab w:leader="none" w:pos="190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Guaranties of such Person with respect to liabilities of a type described in any of clauses (a) through (f) hereof.</w:t>
      </w:r>
    </w:p>
    <w:p>
      <w:pPr>
        <w:spacing w:after="0" w:line="185" w:lineRule="exact"/>
        <w:rPr>
          <w:sz w:val="20"/>
          <w:szCs w:val="20"/>
          <w:color w:val="auto"/>
        </w:rPr>
      </w:pPr>
    </w:p>
    <w:p>
      <w:pPr>
        <w:jc w:val="both"/>
        <w:ind w:left="180" w:right="199"/>
        <w:spacing w:after="0" w:line="257" w:lineRule="auto"/>
        <w:rPr>
          <w:sz w:val="20"/>
          <w:szCs w:val="20"/>
          <w:color w:val="auto"/>
        </w:rPr>
      </w:pPr>
      <w:r>
        <w:rPr>
          <w:rFonts w:ascii="Times New Roman" w:cs="Times New Roman" w:eastAsia="Times New Roman" w:hAnsi="Times New Roman"/>
          <w:sz w:val="22"/>
          <w:szCs w:val="22"/>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96" w:name="page97"/>
    <w:bookmarkEnd w:id="96"/>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 event or condition the occurrence or existence of which would,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lapse of time or the giving of notice or both, become an Event of Default.</w:t>
      </w:r>
    </w:p>
    <w:p>
      <w:pPr>
        <w:spacing w:after="0" w:line="2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“Disclosure Documents”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5.3</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“EMMA”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7.1(a)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“Environmental Laws” </w:t>
      </w:r>
      <w:r>
        <w:rPr>
          <w:rFonts w:ascii="Times New Roman" w:cs="Times New Roman" w:eastAsia="Times New Roman" w:hAnsi="Times New Roman"/>
          <w:sz w:val="22"/>
          <w:szCs w:val="22"/>
          <w:color w:val="auto"/>
        </w:rPr>
        <w:t>means any and all Federal, state, local, and foreign statutes, laws,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205"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 and the rules and regulations promulgated thereunder from time to time in effect.</w:t>
      </w:r>
    </w:p>
    <w:p>
      <w:pPr>
        <w:spacing w:after="0" w:line="176"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“ERISA Affiliate” </w:t>
      </w:r>
      <w:r>
        <w:rPr>
          <w:rFonts w:ascii="Times New Roman" w:cs="Times New Roman" w:eastAsia="Times New Roman" w:hAnsi="Times New Roman"/>
          <w:sz w:val="22"/>
          <w:szCs w:val="22"/>
          <w:color w:val="auto"/>
        </w:rPr>
        <w:t>means any trade or business (whether or not incorporated) that is treated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single employer together with the Company under section 414 of the Code.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is an “event of default” as defined in the Indenture.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“Execution Date”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“Financing Agreements” </w:t>
      </w:r>
      <w:r>
        <w:rPr>
          <w:rFonts w:ascii="Times New Roman" w:cs="Times New Roman" w:eastAsia="Times New Roman" w:hAnsi="Times New Roman"/>
          <w:sz w:val="22"/>
          <w:szCs w:val="22"/>
          <w:color w:val="auto"/>
        </w:rPr>
        <w:t>means this Agreement, the Indenture (including without limitation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Supplement), and the Bonds.</w:t>
      </w:r>
    </w:p>
    <w:p>
      <w:pPr>
        <w:spacing w:after="0" w:line="204"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 of America.</w:t>
      </w:r>
    </w:p>
    <w:p>
      <w:pPr>
        <w:spacing w:after="0" w:line="2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w:t>
      </w:r>
    </w:p>
    <w:p>
      <w:pPr>
        <w:spacing w:after="0" w:line="251" w:lineRule="exact"/>
        <w:rPr>
          <w:sz w:val="20"/>
          <w:szCs w:val="20"/>
          <w:color w:val="auto"/>
        </w:rPr>
      </w:pPr>
    </w:p>
    <w:p>
      <w:pPr>
        <w:ind w:left="1880" w:hanging="319"/>
        <w:spacing w:after="0"/>
        <w:tabs>
          <w:tab w:leader="none" w:pos="18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government of</w:t>
      </w:r>
    </w:p>
    <w:p>
      <w:pPr>
        <w:spacing w:after="0" w:line="246" w:lineRule="exact"/>
        <w:rPr>
          <w:rFonts w:ascii="Times New Roman" w:cs="Times New Roman" w:eastAsia="Times New Roman" w:hAnsi="Times New Roman"/>
          <w:sz w:val="22"/>
          <w:szCs w:val="22"/>
          <w:color w:val="auto"/>
        </w:rPr>
      </w:pPr>
    </w:p>
    <w:p>
      <w:pPr>
        <w:ind w:left="2600" w:hanging="337"/>
        <w:spacing w:after="0"/>
        <w:tabs>
          <w:tab w:leader="none" w:pos="260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United States of America or any State or other political subdivision</w:t>
      </w:r>
    </w:p>
    <w:p>
      <w:pPr>
        <w:spacing w:after="0" w:line="39" w:lineRule="exact"/>
        <w:rPr>
          <w:rFonts w:ascii="Times New Roman" w:cs="Times New Roman" w:eastAsia="Times New Roman" w:hAnsi="Times New Roman"/>
          <w:sz w:val="21"/>
          <w:szCs w:val="21"/>
          <w:color w:val="auto"/>
        </w:rPr>
      </w:pPr>
    </w:p>
    <w:p>
      <w:pPr>
        <w:ind w:left="1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thereof, or</w:t>
      </w:r>
    </w:p>
    <w:p>
      <w:pPr>
        <w:spacing w:after="0" w:line="223" w:lineRule="exact"/>
        <w:rPr>
          <w:sz w:val="20"/>
          <w:szCs w:val="20"/>
          <w:color w:val="auto"/>
        </w:rPr>
      </w:pPr>
    </w:p>
    <w:p>
      <w:pPr>
        <w:jc w:val="both"/>
        <w:ind w:left="1480" w:right="199" w:firstLine="756"/>
        <w:spacing w:after="0" w:line="257" w:lineRule="auto"/>
        <w:tabs>
          <w:tab w:leader="none" w:pos="260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jurisdiction in which the Company or any Subsidiary conducts all or any part of its business, or which asserts jurisdiction over any properties of the Company or any Subsidiary, or</w:t>
      </w:r>
    </w:p>
    <w:p>
      <w:pPr>
        <w:spacing w:after="0" w:line="199" w:lineRule="exact"/>
        <w:rPr>
          <w:rFonts w:ascii="Times New Roman" w:cs="Times New Roman" w:eastAsia="Times New Roman" w:hAnsi="Times New Roman"/>
          <w:sz w:val="22"/>
          <w:szCs w:val="22"/>
          <w:color w:val="auto"/>
        </w:rPr>
      </w:pPr>
    </w:p>
    <w:p>
      <w:pPr>
        <w:ind w:left="840" w:right="199" w:firstLine="721"/>
        <w:spacing w:after="0" w:line="271" w:lineRule="auto"/>
        <w:tabs>
          <w:tab w:leader="none" w:pos="190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exercising executive, legislative, judicial, regulatory or administrative functions of, or pertaining to, any such government.</w:t>
      </w:r>
    </w:p>
    <w:p>
      <w:pPr>
        <w:spacing w:after="0" w:line="181" w:lineRule="exact"/>
        <w:rPr>
          <w:sz w:val="20"/>
          <w:szCs w:val="20"/>
          <w:color w:val="auto"/>
        </w:rPr>
      </w:pPr>
    </w:p>
    <w:p>
      <w:pPr>
        <w:ind w:left="180" w:right="199" w:firstLine="648"/>
        <w:spacing w:after="0" w:line="282" w:lineRule="exact"/>
        <w:rPr>
          <w:sz w:val="20"/>
          <w:szCs w:val="20"/>
          <w:color w:val="auto"/>
        </w:rPr>
      </w:pPr>
      <w:r>
        <w:rPr>
          <w:rFonts w:ascii="Times New Roman" w:cs="Times New Roman" w:eastAsia="Times New Roman" w:hAnsi="Times New Roman"/>
          <w:sz w:val="22"/>
          <w:szCs w:val="22"/>
          <w:i w:val="1"/>
          <w:iCs w:val="1"/>
          <w:color w:val="auto"/>
        </w:rPr>
        <w:t xml:space="preserve">“Governmental Official” </w:t>
      </w:r>
      <w:r>
        <w:rPr>
          <w:rFonts w:ascii="Times New Roman" w:cs="Times New Roman" w:eastAsia="Times New Roman" w:hAnsi="Times New Roman"/>
          <w:sz w:val="22"/>
          <w:szCs w:val="22"/>
          <w:color w:val="auto"/>
        </w:rPr>
        <w:t>means any governmental official or employee, employee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or 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controlled entity, political party, any official of a political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97" w:name="page98"/>
    <w:bookmarkEnd w:id="97"/>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party, candidate for political office, official of any public international organization or anyone else acting in an official capacity.</w:t>
      </w:r>
    </w:p>
    <w:p>
      <w:pPr>
        <w:spacing w:after="0" w:line="208"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“Guaranty” </w:t>
      </w:r>
      <w:r>
        <w:rPr>
          <w:rFonts w:ascii="Times New Roman" w:cs="Times New Roman" w:eastAsia="Times New Roman" w:hAnsi="Times New Roman"/>
          <w:sz w:val="22"/>
          <w:szCs w:val="22"/>
          <w:color w:val="auto"/>
        </w:rPr>
        <w:t>means, with respect to any Person, any obligation (except the endorsement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230" w:lineRule="exact"/>
        <w:rPr>
          <w:sz w:val="20"/>
          <w:szCs w:val="20"/>
          <w:color w:val="auto"/>
        </w:rPr>
      </w:pPr>
    </w:p>
    <w:p>
      <w:pPr>
        <w:jc w:val="both"/>
        <w:ind w:left="840" w:right="199" w:firstLine="721"/>
        <w:spacing w:after="0" w:line="250" w:lineRule="auto"/>
        <w:tabs>
          <w:tab w:leader="none" w:pos="189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208" w:lineRule="exact"/>
        <w:rPr>
          <w:rFonts w:ascii="Times New Roman" w:cs="Times New Roman" w:eastAsia="Times New Roman" w:hAnsi="Times New Roman"/>
          <w:sz w:val="22"/>
          <w:szCs w:val="22"/>
          <w:color w:val="auto"/>
        </w:rPr>
      </w:pPr>
    </w:p>
    <w:p>
      <w:pPr>
        <w:jc w:val="both"/>
        <w:ind w:left="840" w:right="199" w:firstLine="721"/>
        <w:spacing w:after="0" w:line="248" w:lineRule="auto"/>
        <w:tabs>
          <w:tab w:leader="none" w:pos="190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09" w:lineRule="exact"/>
        <w:rPr>
          <w:rFonts w:ascii="Times New Roman" w:cs="Times New Roman" w:eastAsia="Times New Roman" w:hAnsi="Times New Roman"/>
          <w:sz w:val="22"/>
          <w:szCs w:val="22"/>
          <w:color w:val="auto"/>
        </w:rPr>
      </w:pPr>
    </w:p>
    <w:p>
      <w:pPr>
        <w:jc w:val="both"/>
        <w:ind w:left="840" w:right="199" w:firstLine="721"/>
        <w:spacing w:after="0" w:line="257" w:lineRule="auto"/>
        <w:tabs>
          <w:tab w:leader="none" w:pos="189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199" w:lineRule="exact"/>
        <w:rPr>
          <w:rFonts w:ascii="Times New Roman" w:cs="Times New Roman" w:eastAsia="Times New Roman" w:hAnsi="Times New Roman"/>
          <w:sz w:val="22"/>
          <w:szCs w:val="22"/>
          <w:color w:val="auto"/>
        </w:rPr>
      </w:pPr>
    </w:p>
    <w:p>
      <w:pPr>
        <w:ind w:left="1900" w:hanging="339"/>
        <w:spacing w:after="0"/>
        <w:tabs>
          <w:tab w:leader="none" w:pos="19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to assure the owner of such Debt or obligation against loss in respect</w:t>
      </w:r>
    </w:p>
    <w:p>
      <w:pPr>
        <w:spacing w:after="0" w:line="39" w:lineRule="exact"/>
        <w:rPr>
          <w:rFonts w:ascii="Times New Roman" w:cs="Times New Roman" w:eastAsia="Times New Roman" w:hAnsi="Times New Roman"/>
          <w:sz w:val="21"/>
          <w:szCs w:val="21"/>
          <w:color w:val="auto"/>
        </w:rPr>
      </w:pPr>
    </w:p>
    <w:p>
      <w:pPr>
        <w:ind w:left="8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thereof.</w:t>
      </w:r>
    </w:p>
    <w:p>
      <w:pPr>
        <w:spacing w:after="0" w:line="223" w:lineRule="exact"/>
        <w:rPr>
          <w:sz w:val="20"/>
          <w:szCs w:val="20"/>
          <w:color w:val="auto"/>
        </w:rPr>
      </w:pPr>
    </w:p>
    <w:p>
      <w:pPr>
        <w:jc w:val="both"/>
        <w:ind w:left="180" w:right="199"/>
        <w:spacing w:after="0" w:line="248" w:lineRule="auto"/>
        <w:rPr>
          <w:sz w:val="20"/>
          <w:szCs w:val="20"/>
          <w:color w:val="auto"/>
        </w:rPr>
      </w:pPr>
      <w:r>
        <w:rPr>
          <w:rFonts w:ascii="Times New Roman" w:cs="Times New Roman" w:eastAsia="Times New Roman" w:hAnsi="Times New Roman"/>
          <w:sz w:val="22"/>
          <w:szCs w:val="22"/>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such Debt outstanding for purposes of this Agreement shall not exceed the maximum amount of Debt that is the subject of such Guaranty.</w:t>
      </w:r>
    </w:p>
    <w:p>
      <w:pPr>
        <w:spacing w:after="0" w:line="206"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“Hazardous Material” </w:t>
      </w:r>
      <w:r>
        <w:rPr>
          <w:rFonts w:ascii="Times New Roman" w:cs="Times New Roman" w:eastAsia="Times New Roman" w:hAnsi="Times New Roman"/>
          <w:sz w:val="22"/>
          <w:szCs w:val="22"/>
          <w:color w:val="auto"/>
        </w:rPr>
        <w:t>means any and all pollutants, toxic or hazardous wastes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“holder” </w:t>
      </w:r>
      <w:r>
        <w:rPr>
          <w:rFonts w:ascii="Times New Roman" w:cs="Times New Roman" w:eastAsia="Times New Roman" w:hAnsi="Times New Roman"/>
          <w:sz w:val="22"/>
          <w:szCs w:val="22"/>
          <w:color w:val="auto"/>
        </w:rPr>
        <w:t>is defined in the Indenture.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“Indenture”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80" w:right="199" w:firstLine="648"/>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“Institutional Investor” </w:t>
      </w:r>
      <w:r>
        <w:rPr>
          <w:rFonts w:ascii="Times New Roman" w:cs="Times New Roman" w:eastAsia="Times New Roman" w:hAnsi="Times New Roman"/>
          <w:sz w:val="21"/>
          <w:szCs w:val="21"/>
          <w:color w:val="auto"/>
        </w:rPr>
        <w:t>means (a) any Purchaser of a Bond, (b) any holder of a Bond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holding (together with one or more of its affiliates) more than 5% of the aggregate principal amount of the Bonds then outstanding, (c) any bank, trust company, savings and loan association or other financial institution, any pension plan, any investment company, any insurance company, any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98" w:name="page99"/>
    <w:bookmarkEnd w:id="98"/>
    <w:p>
      <w:pPr>
        <w:ind w:left="180" w:right="199"/>
        <w:spacing w:after="0" w:line="258" w:lineRule="auto"/>
        <w:rPr>
          <w:sz w:val="20"/>
          <w:szCs w:val="20"/>
          <w:color w:val="auto"/>
        </w:rPr>
      </w:pPr>
      <w:r>
        <w:rPr>
          <w:rFonts w:ascii="Times New Roman" w:cs="Times New Roman" w:eastAsia="Times New Roman" w:hAnsi="Times New Roman"/>
          <w:sz w:val="22"/>
          <w:szCs w:val="22"/>
          <w:color w:val="auto"/>
        </w:rPr>
        <w:t>broker or dealer, or any other similar financial institution or entity, regardless of legal form, and (d) any Related Fund of any holder of any Bond.</w:t>
      </w:r>
    </w:p>
    <w:p>
      <w:pPr>
        <w:spacing w:after="0" w:line="208"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with respect to any Person, any mortgage, lien, pledge, charge,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2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“Make-Whole Amount” </w:t>
      </w:r>
      <w:r>
        <w:rPr>
          <w:rFonts w:ascii="Times New Roman" w:cs="Times New Roman" w:eastAsia="Times New Roman" w:hAnsi="Times New Roman"/>
          <w:sz w:val="22"/>
          <w:szCs w:val="22"/>
          <w:color w:val="auto"/>
        </w:rPr>
        <w:t>is defined in the Supplement.</w:t>
      </w:r>
    </w:p>
    <w:p>
      <w:pPr>
        <w:spacing w:after="0" w:line="247"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“Material” </w:t>
      </w:r>
      <w:r>
        <w:rPr>
          <w:rFonts w:ascii="Times New Roman" w:cs="Times New Roman" w:eastAsia="Times New Roman" w:hAnsi="Times New Roman"/>
          <w:sz w:val="22"/>
          <w:szCs w:val="22"/>
          <w:color w:val="auto"/>
        </w:rPr>
        <w:t>means material in relation to the business, operations, affairs,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 assets or properties of the Company and its Subsidiaries taken as a whole.</w:t>
      </w:r>
    </w:p>
    <w:p>
      <w:pPr>
        <w:spacing w:after="0" w:line="176"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“Material Adverse Effect” </w:t>
      </w:r>
      <w:r>
        <w:rPr>
          <w:rFonts w:ascii="Times New Roman" w:cs="Times New Roman" w:eastAsia="Times New Roman" w:hAnsi="Times New Roman"/>
          <w:sz w:val="22"/>
          <w:szCs w:val="22"/>
          <w:color w:val="auto"/>
        </w:rPr>
        <w:t>means a material adverse effect on (a) the business, operations,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affairs, financial condition, assets or properties of the Company and its Subsidiaries taken as a whole, (b) the ability of the Company to perform its obligations under this Agreement, the Bonds or the Indenture, or (c) the validity or enforceability of any Financing Agreement.</w:t>
      </w:r>
    </w:p>
    <w:p>
      <w:pPr>
        <w:spacing w:after="0" w:line="206"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any Plan that is a “</w:t>
      </w:r>
      <w:r>
        <w:rPr>
          <w:rFonts w:ascii="Times New Roman" w:cs="Times New Roman" w:eastAsia="Times New Roman" w:hAnsi="Times New Roman"/>
          <w:sz w:val="22"/>
          <w:szCs w:val="22"/>
          <w:i w:val="1"/>
          <w:iCs w:val="1"/>
          <w:color w:val="auto"/>
        </w:rPr>
        <w:t>multiemployer plan</w:t>
      </w:r>
      <w:r>
        <w:rPr>
          <w:rFonts w:ascii="Times New Roman" w:cs="Times New Roman" w:eastAsia="Times New Roman" w:hAnsi="Times New Roman"/>
          <w:sz w:val="22"/>
          <w:szCs w:val="22"/>
          <w:color w:val="auto"/>
        </w:rPr>
        <w:t>” (as such term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in section 4001(a)(3) of ERISA).</w:t>
      </w:r>
    </w:p>
    <w:p>
      <w:pPr>
        <w:spacing w:after="0" w:line="176"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“NAIC” </w:t>
      </w:r>
      <w:r>
        <w:rPr>
          <w:rFonts w:ascii="Times New Roman" w:cs="Times New Roman" w:eastAsia="Times New Roman" w:hAnsi="Times New Roman"/>
          <w:sz w:val="22"/>
          <w:szCs w:val="22"/>
          <w:color w:val="auto"/>
        </w:rPr>
        <w:t>means the National Association of Insurance Commissioners or any successor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thereto.</w:t>
      </w:r>
    </w:p>
    <w:p>
      <w:pPr>
        <w:spacing w:after="0" w:line="160" w:lineRule="exact"/>
        <w:rPr>
          <w:sz w:val="20"/>
          <w:szCs w:val="20"/>
          <w:color w:val="auto"/>
        </w:rPr>
      </w:pPr>
    </w:p>
    <w:p>
      <w:pPr>
        <w:jc w:val="both"/>
        <w:ind w:left="180" w:right="199" w:firstLine="648"/>
        <w:spacing w:after="0" w:line="256" w:lineRule="exact"/>
        <w:rPr>
          <w:sz w:val="20"/>
          <w:szCs w:val="20"/>
          <w:color w:val="auto"/>
        </w:rPr>
      </w:pPr>
      <w:r>
        <w:rPr>
          <w:rFonts w:ascii="Times New Roman" w:cs="Times New Roman" w:eastAsia="Times New Roman" w:hAnsi="Times New Roman"/>
          <w:sz w:val="22"/>
          <w:szCs w:val="22"/>
          <w:i w:val="1"/>
          <w:iCs w:val="1"/>
          <w:color w:val="auto"/>
        </w:rPr>
        <w:t>“Non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U.S. Plan” </w:t>
      </w:r>
      <w:r>
        <w:rPr>
          <w:rFonts w:ascii="Times New Roman" w:cs="Times New Roman" w:eastAsia="Times New Roman" w:hAnsi="Times New Roman"/>
          <w:sz w:val="22"/>
          <w:szCs w:val="22"/>
          <w:color w:val="auto"/>
        </w:rPr>
        <w:t>means any plan, fund or other similar program that (a) is established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14"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“OFAC” </w:t>
      </w:r>
      <w:r>
        <w:rPr>
          <w:rFonts w:ascii="Times New Roman" w:cs="Times New Roman" w:eastAsia="Times New Roman" w:hAnsi="Times New Roman"/>
          <w:sz w:val="22"/>
          <w:szCs w:val="22"/>
          <w:color w:val="auto"/>
        </w:rPr>
        <w:t>means the Office of Foreign Assets Control of the United States Department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Treasury.</w:t>
      </w:r>
    </w:p>
    <w:p>
      <w:pPr>
        <w:spacing w:after="0" w:line="204" w:lineRule="exact"/>
        <w:rPr>
          <w:sz w:val="20"/>
          <w:szCs w:val="20"/>
          <w:color w:val="auto"/>
        </w:rPr>
      </w:pPr>
    </w:p>
    <w:p>
      <w:pPr>
        <w:jc w:val="both"/>
        <w:ind w:left="180" w:right="19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 Sanctions Program</w:t>
      </w:r>
      <w:r>
        <w:rPr>
          <w:rFonts w:ascii="Times New Roman" w:cs="Times New Roman" w:eastAsia="Times New Roman" w:hAnsi="Times New Roman"/>
          <w:sz w:val="22"/>
          <w:szCs w:val="22"/>
          <w:color w:val="auto"/>
        </w:rPr>
        <w:t>” means any economic or trade sanction that OFAC is responsible for administering and enforcing. A list of OFAC Sanctions Programs may be found at http://www.treasury.gov/resource-center/sanctions/Programs/Pages/Programs.aspx.</w:t>
      </w:r>
    </w:p>
    <w:p>
      <w:pPr>
        <w:spacing w:after="0" w:line="202"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means a certificate of a Senior Financial Officer or of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the Company whose responsibilities extend to the subject matter of such certificate.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“Original Indenture”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Pension Benefit Guaranty Corporation referred to and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ERISA or any successor thereto.</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99" w:name="page100"/>
    <w:bookmarkEnd w:id="99"/>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shall have the meaning assigned to such term in the Indenture.</w:t>
      </w:r>
    </w:p>
    <w:p>
      <w:pPr>
        <w:spacing w:after="0" w:line="247"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 individual, partnership, corporation, limited liability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association, trust, unincorporated organization, business entity or Governmental Authority.</w:t>
      </w:r>
    </w:p>
    <w:p>
      <w:pPr>
        <w:spacing w:after="0" w:line="176"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an “</w:t>
      </w:r>
      <w:r>
        <w:rPr>
          <w:rFonts w:ascii="Times New Roman" w:cs="Times New Roman" w:eastAsia="Times New Roman" w:hAnsi="Times New Roman"/>
          <w:sz w:val="22"/>
          <w:szCs w:val="22"/>
          <w:i w:val="1"/>
          <w:iCs w:val="1"/>
          <w:color w:val="auto"/>
        </w:rPr>
        <w:t>employee benefit plan</w:t>
      </w:r>
      <w:r>
        <w:rPr>
          <w:rFonts w:ascii="Times New Roman" w:cs="Times New Roman" w:eastAsia="Times New Roman" w:hAnsi="Times New Roman"/>
          <w:sz w:val="22"/>
          <w:szCs w:val="22"/>
          <w:color w:val="auto"/>
        </w:rPr>
        <w:t>” (as defined in section 3(2) of ERISA)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05"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“properties” </w:t>
      </w:r>
      <w:r>
        <w:rPr>
          <w:rFonts w:ascii="Times New Roman" w:cs="Times New Roman" w:eastAsia="Times New Roman" w:hAnsi="Times New Roman"/>
          <w:sz w:val="22"/>
          <w:szCs w:val="22"/>
          <w:color w:val="auto"/>
        </w:rPr>
        <w:t>means, unless otherwise specifically limited, real or personal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of any kind, tangible or intangible, choate or inchoate.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“PTE”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“Purchaser” </w:t>
      </w:r>
      <w:r>
        <w:rPr>
          <w:rFonts w:ascii="Times New Roman" w:cs="Times New Roman" w:eastAsia="Times New Roman" w:hAnsi="Times New Roman"/>
          <w:sz w:val="22"/>
          <w:szCs w:val="22"/>
          <w:color w:val="auto"/>
        </w:rPr>
        <w:t>is defined in the first paragraph of this Agreement.</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“Related Fund” </w:t>
      </w:r>
      <w:r>
        <w:rPr>
          <w:rFonts w:ascii="Times New Roman" w:cs="Times New Roman" w:eastAsia="Times New Roman" w:hAnsi="Times New Roman"/>
          <w:sz w:val="22"/>
          <w:szCs w:val="22"/>
          <w:color w:val="auto"/>
        </w:rPr>
        <w:t>means, with respect to any holder of any Bond, any fund or entity that</w:t>
      </w:r>
    </w:p>
    <w:p>
      <w:pPr>
        <w:spacing w:after="0" w:line="32" w:lineRule="exact"/>
        <w:rPr>
          <w:sz w:val="20"/>
          <w:szCs w:val="20"/>
          <w:color w:val="auto"/>
        </w:rPr>
      </w:pPr>
    </w:p>
    <w:p>
      <w:pPr>
        <w:ind w:left="180" w:right="199" w:firstLine="4"/>
        <w:spacing w:after="0" w:line="248" w:lineRule="auto"/>
        <w:tabs>
          <w:tab w:leader="none" w:pos="46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invests in Securities or bank loans, and (ii) is advised or managed by such holder, the same investment advisor as such holder or by an affiliate of such holder or such investment advisor.</w:t>
      </w:r>
    </w:p>
    <w:p>
      <w:pPr>
        <w:spacing w:after="0" w:line="205"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“Required Holders” </w:t>
      </w:r>
      <w:r>
        <w:rPr>
          <w:rFonts w:ascii="Times New Roman" w:cs="Times New Roman" w:eastAsia="Times New Roman" w:hAnsi="Times New Roman"/>
          <w:sz w:val="22"/>
          <w:szCs w:val="22"/>
          <w:color w:val="auto"/>
        </w:rPr>
        <w:t>means (i) at any time prior to the Closing, the Purchasers of the Bonds;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(ii) at any time on or after the Closing, the holders of at least 51% in principal amount of the Bonds at the time outstanding (exclusive of Bonds then owned by the Company or any of its Affiliates).</w:t>
      </w:r>
    </w:p>
    <w:p>
      <w:pPr>
        <w:spacing w:after="0" w:line="206"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means any Senior Financial Officer and any other officer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responsibility for the administration of the relevant portion of this Agreement.</w:t>
      </w:r>
    </w:p>
    <w:p>
      <w:pPr>
        <w:spacing w:after="0" w:line="176"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the Securities and Exchange Commission of the United States,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thereto.</w:t>
      </w:r>
    </w:p>
    <w:p>
      <w:pPr>
        <w:spacing w:after="0" w:line="176"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“Security” </w:t>
      </w:r>
      <w:r>
        <w:rPr>
          <w:rFonts w:ascii="Times New Roman" w:cs="Times New Roman" w:eastAsia="Times New Roman" w:hAnsi="Times New Roman"/>
          <w:sz w:val="22"/>
          <w:szCs w:val="22"/>
          <w:color w:val="auto"/>
        </w:rPr>
        <w:t>shall have the meaning specified in section 2(a)(1)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Act.</w:t>
      </w:r>
    </w:p>
    <w:p>
      <w:pPr>
        <w:spacing w:after="0" w:line="176"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“Securities Act” </w:t>
      </w:r>
      <w:r>
        <w:rPr>
          <w:rFonts w:ascii="Times New Roman" w:cs="Times New Roman" w:eastAsia="Times New Roman" w:hAnsi="Times New Roman"/>
          <w:sz w:val="22"/>
          <w:szCs w:val="22"/>
          <w:color w:val="auto"/>
        </w:rPr>
        <w:t>means the Securities Act of 1933, as amended from time to time,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rules and regulations promulgated thereunder from time to time in effect.</w:t>
      </w:r>
    </w:p>
    <w:p>
      <w:pPr>
        <w:spacing w:after="0" w:line="176"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“Senior Financial Officer” </w:t>
      </w:r>
      <w:r>
        <w:rPr>
          <w:rFonts w:ascii="Times New Roman" w:cs="Times New Roman" w:eastAsia="Times New Roman" w:hAnsi="Times New Roman"/>
          <w:sz w:val="22"/>
          <w:szCs w:val="22"/>
          <w:color w:val="auto"/>
        </w:rPr>
        <w:t>means the chief financial officer, principal accounting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treasurer or comptroller of the Company.</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“Source”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“State Sanctions List” </w:t>
      </w:r>
      <w:r>
        <w:rPr>
          <w:rFonts w:ascii="Times New Roman" w:cs="Times New Roman" w:eastAsia="Times New Roman" w:hAnsi="Times New Roman"/>
          <w:sz w:val="22"/>
          <w:szCs w:val="22"/>
          <w:color w:val="auto"/>
        </w:rPr>
        <w:t>means a list that is adopted by any state Governmental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within the United States of America pertaining to Persons that engage in investment or other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100" w:name="page101"/>
    <w:bookmarkEnd w:id="100"/>
    <w:p>
      <w:pPr>
        <w:jc w:val="both"/>
        <w:ind w:left="180" w:right="199"/>
        <w:spacing w:after="0" w:line="258" w:lineRule="auto"/>
        <w:rPr>
          <w:sz w:val="20"/>
          <w:szCs w:val="20"/>
          <w:color w:val="auto"/>
        </w:rPr>
      </w:pPr>
      <w:r>
        <w:rPr>
          <w:rFonts w:ascii="Times New Roman" w:cs="Times New Roman" w:eastAsia="Times New Roman" w:hAnsi="Times New Roman"/>
          <w:sz w:val="22"/>
          <w:szCs w:val="22"/>
          <w:color w:val="auto"/>
        </w:rPr>
        <w:t>commercial activities in Iran or any other country that is a target of economic sanctions imposed under U.S. Economic Sanctions Laws.</w:t>
      </w:r>
    </w:p>
    <w:p>
      <w:pPr>
        <w:spacing w:after="0" w:line="208"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as to any Person, any other Person in which such first Person or one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is a reference to a Subsidiary of the Company.</w:t>
      </w: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“Supplement”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i w:val="1"/>
          <w:iCs w:val="1"/>
          <w:color w:val="auto"/>
        </w:rPr>
        <w:t xml:space="preserve">“SVO” </w:t>
      </w:r>
      <w:r>
        <w:rPr>
          <w:rFonts w:ascii="Times New Roman" w:cs="Times New Roman" w:eastAsia="Times New Roman" w:hAnsi="Times New Roman"/>
          <w:sz w:val="21"/>
          <w:szCs w:val="21"/>
          <w:color w:val="auto"/>
        </w:rPr>
        <w:t>means the Securities Valuation Office of the NAIC or any successor to such Office.</w:t>
      </w:r>
    </w:p>
    <w:p>
      <w:pPr>
        <w:spacing w:after="0" w:line="258" w:lineRule="exact"/>
        <w:rPr>
          <w:sz w:val="20"/>
          <w:szCs w:val="20"/>
          <w:color w:val="auto"/>
        </w:rPr>
      </w:pPr>
    </w:p>
    <w:p>
      <w:pPr>
        <w:jc w:val="both"/>
        <w:ind w:left="180" w:right="199"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“Swaps” </w:t>
      </w:r>
      <w:r>
        <w:rPr>
          <w:rFonts w:ascii="Times New Roman" w:cs="Times New Roman" w:eastAsia="Times New Roman" w:hAnsi="Times New Roman"/>
          <w:sz w:val="22"/>
          <w:szCs w:val="22"/>
          <w:color w:val="auto"/>
        </w:rPr>
        <w:t>means, with respect to any Person, payment obligations with respect to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2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“Trust Estate” </w:t>
      </w:r>
      <w:r>
        <w:rPr>
          <w:rFonts w:ascii="Times New Roman" w:cs="Times New Roman" w:eastAsia="Times New Roman" w:hAnsi="Times New Roman"/>
          <w:sz w:val="22"/>
          <w:szCs w:val="22"/>
          <w:color w:val="auto"/>
        </w:rPr>
        <w:t>is defined in the Indenture.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“Trustee”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80" w:right="199"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“UCC” </w:t>
      </w:r>
      <w:r>
        <w:rPr>
          <w:rFonts w:ascii="Times New Roman" w:cs="Times New Roman" w:eastAsia="Times New Roman" w:hAnsi="Times New Roman"/>
          <w:sz w:val="22"/>
          <w:szCs w:val="22"/>
          <w:color w:val="auto"/>
        </w:rPr>
        <w:t>means, the Uniform Commercial Code as enacted and in effect from time to time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state whose laws are treated as applying to the Trust Estate.</w:t>
      </w:r>
    </w:p>
    <w:p>
      <w:pPr>
        <w:spacing w:after="0" w:line="146" w:lineRule="exact"/>
        <w:rPr>
          <w:sz w:val="20"/>
          <w:szCs w:val="20"/>
          <w:color w:val="auto"/>
        </w:rPr>
      </w:pPr>
    </w:p>
    <w:p>
      <w:pPr>
        <w:jc w:val="both"/>
        <w:ind w:left="180" w:right="199" w:firstLine="648"/>
        <w:spacing w:after="0" w:line="268" w:lineRule="exact"/>
        <w:rPr>
          <w:sz w:val="20"/>
          <w:szCs w:val="20"/>
          <w:color w:val="auto"/>
        </w:rPr>
      </w:pPr>
      <w:r>
        <w:rPr>
          <w:rFonts w:ascii="Times New Roman" w:cs="Times New Roman" w:eastAsia="Times New Roman" w:hAnsi="Times New Roman"/>
          <w:sz w:val="22"/>
          <w:szCs w:val="22"/>
          <w:i w:val="1"/>
          <w:iCs w:val="1"/>
          <w:color w:val="auto"/>
        </w:rPr>
        <w:t xml:space="preserve">“USA Patriot Act” </w:t>
      </w:r>
      <w:r>
        <w:rPr>
          <w:rFonts w:ascii="Times New Roman" w:cs="Times New Roman" w:eastAsia="Times New Roman" w:hAnsi="Times New Roman"/>
          <w:sz w:val="22"/>
          <w:szCs w:val="22"/>
          <w:color w:val="auto"/>
        </w:rPr>
        <w:t>means United States Public Law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Uniting and Strengthening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America by Providing Appropriate Tools Required to Intercept and Obstruct Terrorism (USA PATRIOT ACT) Act of 2001, as amended from time to time, and the rules and regulations promulgated thereunder from time to time in effect.</w:t>
      </w:r>
    </w:p>
    <w:p>
      <w:pPr>
        <w:spacing w:after="0" w:line="228"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“U.S. Economic Sanctions Laws” </w:t>
      </w:r>
      <w:r>
        <w:rPr>
          <w:rFonts w:ascii="Times New Roman" w:cs="Times New Roman" w:eastAsia="Times New Roman" w:hAnsi="Times New Roman"/>
          <w:sz w:val="22"/>
          <w:szCs w:val="22"/>
          <w:color w:val="auto"/>
        </w:rPr>
        <w:t>means those laws, executive orders, enabling legislation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regulations administered and enforced by the United States pursuant to which economic sanctions have been imposed on any Person, entity, organization, country or regime, including the Trading with the Enemy Act, the International Emergency Economic Powers Act, the Iran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01" w:name="page102"/>
    <w:bookmarkEnd w:id="101"/>
    <w:p>
      <w:pPr>
        <w:ind w:left="180" w:right="199"/>
        <w:spacing w:after="0" w:line="258" w:lineRule="auto"/>
        <w:rPr>
          <w:sz w:val="20"/>
          <w:szCs w:val="20"/>
          <w:color w:val="auto"/>
        </w:rPr>
      </w:pPr>
      <w:r>
        <w:rPr>
          <w:rFonts w:ascii="Times New Roman" w:cs="Times New Roman" w:eastAsia="Times New Roman" w:hAnsi="Times New Roman"/>
          <w:sz w:val="22"/>
          <w:szCs w:val="22"/>
          <w:color w:val="auto"/>
        </w:rPr>
        <w:t>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02" w:name="page103"/>
    <w:bookmarkEnd w:id="102"/>
    <w:p>
      <w:pPr>
        <w:ind w:left="3380"/>
        <w:spacing w:after="0"/>
        <w:rPr>
          <w:sz w:val="20"/>
          <w:szCs w:val="20"/>
          <w:color w:val="auto"/>
        </w:rPr>
      </w:pPr>
      <w:r>
        <w:rPr>
          <w:rFonts w:ascii="Times New Roman" w:cs="Times New Roman" w:eastAsia="Times New Roman" w:hAnsi="Times New Roman"/>
          <w:sz w:val="22"/>
          <w:szCs w:val="22"/>
          <w:b w:val="1"/>
          <w:bCs w:val="1"/>
          <w:color w:val="auto"/>
        </w:rPr>
        <w:t>Aqua Pennsylvania, Inc.</w:t>
      </w:r>
    </w:p>
    <w:p>
      <w:pPr>
        <w:spacing w:after="0" w:line="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p>
      <w:pPr>
        <w:ind w:left="3060"/>
        <w:spacing w:after="0"/>
        <w:rPr>
          <w:sz w:val="20"/>
          <w:szCs w:val="20"/>
          <w:color w:val="auto"/>
        </w:rPr>
      </w:pPr>
      <w:r>
        <w:rPr>
          <w:rFonts w:ascii="Times New Roman" w:cs="Times New Roman" w:eastAsia="Times New Roman" w:hAnsi="Times New Roman"/>
          <w:sz w:val="22"/>
          <w:szCs w:val="22"/>
          <w:b w:val="1"/>
          <w:bCs w:val="1"/>
          <w:color w:val="auto"/>
        </w:rPr>
        <w:t>Ownership of Subsidiary Stock</w:t>
      </w:r>
    </w:p>
    <w:p>
      <w:pPr>
        <w:spacing w:after="0" w:line="200" w:lineRule="exact"/>
        <w:rPr>
          <w:sz w:val="20"/>
          <w:szCs w:val="20"/>
          <w:color w:val="auto"/>
        </w:rPr>
      </w:pPr>
    </w:p>
    <w:p>
      <w:pPr>
        <w:spacing w:after="0" w:line="286" w:lineRule="exact"/>
        <w:rPr>
          <w:sz w:val="20"/>
          <w:szCs w:val="20"/>
          <w:color w:val="auto"/>
        </w:rPr>
      </w:pPr>
    </w:p>
    <w:tbl>
      <w:tblPr>
        <w:tblLayout w:type="fixed"/>
        <w:tblInd w:w="670" w:type="dxa"/>
        <w:tblCellMar>
          <w:top w:w="0" w:type="dxa"/>
          <w:left w:w="0" w:type="dxa"/>
          <w:bottom w:w="0" w:type="dxa"/>
          <w:right w:w="0" w:type="dxa"/>
        </w:tblCellMar>
      </w:tblPr>
      <w:tr>
        <w:trPr>
          <w:trHeight w:val="225"/>
        </w:trPr>
        <w:tc>
          <w:tcPr>
            <w:tcW w:w="4500" w:type="dxa"/>
            <w:vAlign w:val="bottom"/>
            <w:tcBorders>
              <w:top w:val="single" w:sz="8" w:color="auto"/>
              <w:left w:val="single" w:sz="8" w:color="auto"/>
              <w:right w:val="single" w:sz="8" w:color="auto"/>
            </w:tcBorders>
            <w:shd w:val="clear" w:color="auto" w:fill="DBE5F1"/>
          </w:tcPr>
          <w:p>
            <w:pPr>
              <w:spacing w:after="0"/>
              <w:rPr>
                <w:sz w:val="19"/>
                <w:szCs w:val="19"/>
                <w:color w:val="auto"/>
              </w:rPr>
            </w:pPr>
          </w:p>
        </w:tc>
        <w:tc>
          <w:tcPr>
            <w:tcW w:w="2300" w:type="dxa"/>
            <w:vAlign w:val="bottom"/>
            <w:tcBorders>
              <w:top w:val="single" w:sz="8" w:color="auto"/>
              <w:right w:val="single" w:sz="8" w:color="auto"/>
            </w:tcBorders>
            <w:shd w:val="clear" w:color="auto" w:fill="DBE5F1"/>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7"/>
              </w:rPr>
              <w:t>State of Incorporation</w:t>
            </w:r>
          </w:p>
        </w:tc>
        <w:tc>
          <w:tcPr>
            <w:tcW w:w="2360" w:type="dxa"/>
            <w:vAlign w:val="bottom"/>
            <w:tcBorders>
              <w:top w:val="single" w:sz="8" w:color="auto"/>
              <w:right w:val="single" w:sz="8" w:color="auto"/>
            </w:tcBorders>
            <w:shd w:val="clear" w:color="auto" w:fill="DBE5F1"/>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7"/>
              </w:rPr>
              <w:t>% of Ownership</w:t>
            </w:r>
          </w:p>
        </w:tc>
      </w:tr>
      <w:tr>
        <w:trPr>
          <w:trHeight w:val="274"/>
        </w:trPr>
        <w:tc>
          <w:tcPr>
            <w:tcW w:w="4500" w:type="dxa"/>
            <w:vAlign w:val="bottom"/>
            <w:tcBorders>
              <w:left w:val="single" w:sz="8" w:color="auto"/>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Company Name</w:t>
            </w:r>
          </w:p>
        </w:tc>
        <w:tc>
          <w:tcPr>
            <w:tcW w:w="2300" w:type="dxa"/>
            <w:vAlign w:val="bottom"/>
            <w:tcBorders>
              <w:bottom w:val="single" w:sz="8" w:color="auto"/>
              <w:right w:val="single" w:sz="8" w:color="auto"/>
            </w:tcBorders>
            <w:shd w:val="clear" w:color="auto" w:fill="DBE5F1"/>
          </w:tcPr>
          <w:p>
            <w:pPr>
              <w:spacing w:after="0"/>
              <w:rPr>
                <w:sz w:val="23"/>
                <w:szCs w:val="23"/>
                <w:color w:val="auto"/>
              </w:rPr>
            </w:pPr>
          </w:p>
        </w:tc>
        <w:tc>
          <w:tcPr>
            <w:tcW w:w="236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(Direct &amp; Indirect)</w:t>
            </w:r>
          </w:p>
        </w:tc>
      </w:tr>
      <w:tr>
        <w:trPr>
          <w:trHeight w:val="452"/>
        </w:trPr>
        <w:tc>
          <w:tcPr>
            <w:tcW w:w="4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Aqua Pennsylvania, Inc.</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Pennsylvania</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45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 Aqua Pennsylvania Wastewater, Inc.</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Pennsylvania</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82"/>
        </w:trPr>
        <w:tc>
          <w:tcPr>
            <w:tcW w:w="45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 Honesdale Consolidated Water Company</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Pennsylvania</w:t>
            </w: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color w:val="auto"/>
        </w:rPr>
        <w:t>Schedule 5.4</w:t>
      </w:r>
    </w:p>
    <w:p>
      <w:pPr>
        <w:spacing w:after="0" w:line="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800"/>
          </w:cols>
          <w:pgMar w:left="1440" w:top="675" w:right="65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Financial Statements</w:t>
      </w:r>
    </w:p>
    <w:p>
      <w:pPr>
        <w:spacing w:after="0" w:line="200" w:lineRule="exact"/>
        <w:rPr>
          <w:sz w:val="20"/>
          <w:szCs w:val="20"/>
          <w:color w:val="auto"/>
        </w:rPr>
      </w:pPr>
    </w:p>
    <w:p>
      <w:pPr>
        <w:spacing w:after="0" w:line="307" w:lineRule="exact"/>
        <w:rPr>
          <w:sz w:val="20"/>
          <w:szCs w:val="20"/>
          <w:color w:val="auto"/>
        </w:rPr>
      </w:pPr>
    </w:p>
    <w:p>
      <w:pPr>
        <w:ind w:left="840" w:right="459" w:hanging="656"/>
        <w:spacing w:after="0" w:line="248" w:lineRule="auto"/>
        <w:tabs>
          <w:tab w:leader="none" w:pos="86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Aqua Pennsylvania, Inc. Consolidated Financial Statements as of and for the years ended December 31, 2021, 2020, and 2019 (audited)</w:t>
      </w:r>
    </w:p>
    <w:p>
      <w:pPr>
        <w:ind w:left="860" w:hanging="676"/>
        <w:spacing w:after="0"/>
        <w:tabs>
          <w:tab w:leader="none" w:pos="8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Aqua Pennsylvania, Inc. Report for Quarter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5.5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Aqua Pennsylvania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5.15(a) – Existing Debt</w:t>
      </w:r>
    </w:p>
    <w:p>
      <w:pPr>
        <w:jc w:val="center"/>
        <w:ind w:right="19"/>
        <w:spacing w:after="0"/>
        <w:rPr>
          <w:sz w:val="20"/>
          <w:szCs w:val="20"/>
          <w:color w:val="auto"/>
        </w:rPr>
      </w:pPr>
      <w:r>
        <w:rPr>
          <w:rFonts w:ascii="Arial" w:cs="Arial" w:eastAsia="Arial" w:hAnsi="Arial"/>
          <w:sz w:val="18"/>
          <w:szCs w:val="18"/>
          <w:b w:val="1"/>
          <w:bCs w:val="1"/>
          <w:color w:val="auto"/>
        </w:rPr>
        <w:t>as of 6/30/2022</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380" w:type="dxa"/>
            <w:vAlign w:val="bottom"/>
          </w:tcPr>
          <w:p>
            <w:pPr>
              <w:jc w:val="right"/>
              <w:ind w:right="679"/>
              <w:spacing w:after="0"/>
              <w:rPr>
                <w:sz w:val="20"/>
                <w:szCs w:val="20"/>
                <w:color w:val="auto"/>
              </w:rPr>
            </w:pPr>
            <w:r>
              <w:rPr>
                <w:rFonts w:ascii="Arial" w:cs="Arial" w:eastAsia="Arial" w:hAnsi="Arial"/>
                <w:sz w:val="16"/>
                <w:szCs w:val="16"/>
                <w:color w:val="auto"/>
              </w:rPr>
              <w:t>Outstanding</w:t>
            </w:r>
          </w:p>
        </w:tc>
      </w:tr>
      <w:tr>
        <w:trPr>
          <w:trHeight w:val="225"/>
        </w:trPr>
        <w:tc>
          <w:tcPr>
            <w:tcW w:w="2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3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Balance</w:t>
            </w:r>
          </w:p>
        </w:tc>
      </w:tr>
      <w:tr>
        <w:trPr>
          <w:trHeight w:val="202"/>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540" w:type="dxa"/>
            <w:vAlign w:val="bottom"/>
          </w:tcPr>
          <w:p>
            <w:pPr>
              <w:ind w:left="680"/>
              <w:spacing w:after="0"/>
              <w:rPr>
                <w:sz w:val="20"/>
                <w:szCs w:val="20"/>
                <w:color w:val="auto"/>
              </w:rPr>
            </w:pPr>
            <w:r>
              <w:rPr>
                <w:rFonts w:ascii="Arial" w:cs="Arial" w:eastAsia="Arial" w:hAnsi="Arial"/>
                <w:sz w:val="16"/>
                <w:szCs w:val="16"/>
                <w:color w:val="auto"/>
              </w:rPr>
              <w:t>5.95%</w:t>
            </w:r>
          </w:p>
        </w:tc>
        <w:tc>
          <w:tcPr>
            <w:tcW w:w="238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15"/>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540" w:type="dxa"/>
            <w:vAlign w:val="bottom"/>
          </w:tcPr>
          <w:p>
            <w:pPr>
              <w:ind w:left="680"/>
              <w:spacing w:after="0"/>
              <w:rPr>
                <w:sz w:val="20"/>
                <w:szCs w:val="20"/>
                <w:color w:val="auto"/>
              </w:rPr>
            </w:pPr>
            <w:r>
              <w:rPr>
                <w:rFonts w:ascii="Arial" w:cs="Arial" w:eastAsia="Arial" w:hAnsi="Arial"/>
                <w:sz w:val="16"/>
                <w:szCs w:val="16"/>
                <w:color w:val="auto"/>
              </w:rPr>
              <w:t>5.95%</w:t>
            </w:r>
          </w:p>
        </w:tc>
        <w:tc>
          <w:tcPr>
            <w:tcW w:w="238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540" w:type="dxa"/>
            <w:vAlign w:val="bottom"/>
          </w:tcPr>
          <w:p>
            <w:pPr>
              <w:ind w:left="680"/>
              <w:spacing w:after="0"/>
              <w:rPr>
                <w:sz w:val="20"/>
                <w:szCs w:val="20"/>
                <w:color w:val="auto"/>
              </w:rPr>
            </w:pPr>
            <w:r>
              <w:rPr>
                <w:rFonts w:ascii="Arial" w:cs="Arial" w:eastAsia="Arial" w:hAnsi="Arial"/>
                <w:sz w:val="16"/>
                <w:szCs w:val="16"/>
                <w:color w:val="auto"/>
              </w:rPr>
              <w:t>5.95%</w:t>
            </w:r>
          </w:p>
        </w:tc>
        <w:tc>
          <w:tcPr>
            <w:tcW w:w="238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52"/>
        </w:trPr>
        <w:tc>
          <w:tcPr>
            <w:tcW w:w="2640" w:type="dxa"/>
            <w:vAlign w:val="bottom"/>
          </w:tcPr>
          <w:p>
            <w:pPr>
              <w:spacing w:after="0"/>
              <w:rPr>
                <w:sz w:val="20"/>
                <w:szCs w:val="20"/>
                <w:color w:val="auto"/>
              </w:rPr>
            </w:pPr>
            <w:r>
              <w:rPr>
                <w:rFonts w:ascii="Arial" w:cs="Arial" w:eastAsia="Arial" w:hAnsi="Arial"/>
                <w:sz w:val="16"/>
                <w:szCs w:val="16"/>
                <w:color w:val="auto"/>
              </w:rPr>
              <w:t>Unsecured Note</w:t>
            </w:r>
          </w:p>
        </w:tc>
        <w:tc>
          <w:tcPr>
            <w:tcW w:w="2540" w:type="dxa"/>
            <w:vAlign w:val="bottom"/>
          </w:tcPr>
          <w:p>
            <w:pPr>
              <w:ind w:left="680"/>
              <w:spacing w:after="0"/>
              <w:rPr>
                <w:sz w:val="20"/>
                <w:szCs w:val="20"/>
                <w:color w:val="auto"/>
              </w:rPr>
            </w:pPr>
            <w:r>
              <w:rPr>
                <w:rFonts w:ascii="Arial" w:cs="Arial" w:eastAsia="Arial" w:hAnsi="Arial"/>
                <w:sz w:val="16"/>
                <w:szCs w:val="16"/>
                <w:color w:val="auto"/>
              </w:rPr>
              <w:t>5.95%</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10,000,000</w:t>
            </w:r>
          </w:p>
        </w:tc>
      </w:tr>
      <w:tr>
        <w:trPr>
          <w:trHeight w:val="187"/>
        </w:trPr>
        <w:tc>
          <w:tcPr>
            <w:tcW w:w="2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8"/>
        </w:trPr>
        <w:tc>
          <w:tcPr>
            <w:tcW w:w="2640" w:type="dxa"/>
            <w:vAlign w:val="bottom"/>
          </w:tcPr>
          <w:p>
            <w:pPr>
              <w:spacing w:after="0"/>
              <w:rPr>
                <w:sz w:val="20"/>
                <w:szCs w:val="20"/>
                <w:color w:val="auto"/>
              </w:rPr>
            </w:pPr>
            <w:r>
              <w:rPr>
                <w:rFonts w:ascii="Arial" w:cs="Arial" w:eastAsia="Arial" w:hAnsi="Arial"/>
                <w:sz w:val="16"/>
                <w:szCs w:val="16"/>
                <w:b w:val="1"/>
                <w:bCs w:val="1"/>
                <w:color w:val="auto"/>
              </w:rPr>
              <w:t>Total Unsecured Notes</w:t>
            </w:r>
          </w:p>
        </w:tc>
        <w:tc>
          <w:tcPr>
            <w:tcW w:w="2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40,000,000</w:t>
            </w:r>
          </w:p>
        </w:tc>
      </w:tr>
      <w:tr>
        <w:trPr>
          <w:trHeight w:val="229"/>
        </w:trPr>
        <w:tc>
          <w:tcPr>
            <w:tcW w:w="2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2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1,169,461</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2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197,890</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2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(1,157,336)</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2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361,493</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2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(176,900)</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2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(68,957)</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2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(390,800)</w:t>
            </w:r>
          </w:p>
        </w:tc>
      </w:tr>
      <w:tr>
        <w:trPr>
          <w:trHeight w:val="252"/>
        </w:trPr>
        <w:tc>
          <w:tcPr>
            <w:tcW w:w="2640" w:type="dxa"/>
            <w:vAlign w:val="bottom"/>
          </w:tcPr>
          <w:p>
            <w:pPr>
              <w:spacing w:after="0"/>
              <w:rPr>
                <w:sz w:val="20"/>
                <w:szCs w:val="20"/>
                <w:color w:val="auto"/>
              </w:rPr>
            </w:pPr>
            <w:r>
              <w:rPr>
                <w:rFonts w:ascii="Arial" w:cs="Arial" w:eastAsia="Arial" w:hAnsi="Arial"/>
                <w:sz w:val="16"/>
                <w:szCs w:val="16"/>
                <w:color w:val="auto"/>
              </w:rPr>
              <w:t>Tax Exempt-Bond Premium</w:t>
            </w:r>
          </w:p>
        </w:tc>
        <w:tc>
          <w:tcPr>
            <w:tcW w:w="2540" w:type="dxa"/>
            <w:vAlign w:val="bottom"/>
          </w:tcPr>
          <w:p>
            <w:pPr>
              <w:spacing w:after="0"/>
              <w:rPr>
                <w:sz w:val="21"/>
                <w:szCs w:val="21"/>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1,675,270</w:t>
            </w:r>
          </w:p>
        </w:tc>
      </w:tr>
      <w:tr>
        <w:trPr>
          <w:trHeight w:val="187"/>
        </w:trPr>
        <w:tc>
          <w:tcPr>
            <w:tcW w:w="2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8"/>
        </w:trPr>
        <w:tc>
          <w:tcPr>
            <w:tcW w:w="2640" w:type="dxa"/>
            <w:vAlign w:val="bottom"/>
          </w:tcPr>
          <w:p>
            <w:pPr>
              <w:spacing w:after="0"/>
              <w:rPr>
                <w:sz w:val="20"/>
                <w:szCs w:val="20"/>
                <w:color w:val="auto"/>
              </w:rPr>
            </w:pPr>
            <w:r>
              <w:rPr>
                <w:rFonts w:ascii="Arial" w:cs="Arial" w:eastAsia="Arial" w:hAnsi="Arial"/>
                <w:sz w:val="16"/>
                <w:szCs w:val="16"/>
                <w:b w:val="1"/>
                <w:bCs w:val="1"/>
                <w:color w:val="auto"/>
              </w:rPr>
              <w:t>Total Tax Exempt Bonds</w:t>
            </w:r>
          </w:p>
        </w:tc>
        <w:tc>
          <w:tcPr>
            <w:tcW w:w="2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1,610,121</w:t>
            </w:r>
          </w:p>
        </w:tc>
      </w:tr>
      <w:tr>
        <w:trPr>
          <w:trHeight w:val="230"/>
        </w:trPr>
        <w:tc>
          <w:tcPr>
            <w:tcW w:w="2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1"/>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2.711%</w:t>
            </w:r>
          </w:p>
        </w:tc>
        <w:tc>
          <w:tcPr>
            <w:tcW w:w="2380" w:type="dxa"/>
            <w:vAlign w:val="bottom"/>
          </w:tcPr>
          <w:p>
            <w:pPr>
              <w:jc w:val="right"/>
              <w:spacing w:after="0"/>
              <w:rPr>
                <w:sz w:val="20"/>
                <w:szCs w:val="20"/>
                <w:color w:val="auto"/>
              </w:rPr>
            </w:pPr>
            <w:r>
              <w:rPr>
                <w:rFonts w:ascii="Arial" w:cs="Arial" w:eastAsia="Arial" w:hAnsi="Arial"/>
                <w:sz w:val="16"/>
                <w:szCs w:val="16"/>
                <w:color w:val="auto"/>
              </w:rPr>
              <w:t>219,427</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552,495</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180,925</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2.690%</w:t>
            </w:r>
          </w:p>
        </w:tc>
        <w:tc>
          <w:tcPr>
            <w:tcW w:w="2380" w:type="dxa"/>
            <w:vAlign w:val="bottom"/>
          </w:tcPr>
          <w:p>
            <w:pPr>
              <w:jc w:val="right"/>
              <w:spacing w:after="0"/>
              <w:rPr>
                <w:sz w:val="20"/>
                <w:szCs w:val="20"/>
                <w:color w:val="auto"/>
              </w:rPr>
            </w:pPr>
            <w:r>
              <w:rPr>
                <w:rFonts w:ascii="Arial" w:cs="Arial" w:eastAsia="Arial" w:hAnsi="Arial"/>
                <w:sz w:val="16"/>
                <w:szCs w:val="16"/>
                <w:color w:val="auto"/>
              </w:rPr>
              <w:t>566,710</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1,134,619</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382,199</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1.510%</w:t>
            </w:r>
          </w:p>
        </w:tc>
        <w:tc>
          <w:tcPr>
            <w:tcW w:w="2380" w:type="dxa"/>
            <w:vAlign w:val="bottom"/>
          </w:tcPr>
          <w:p>
            <w:pPr>
              <w:jc w:val="right"/>
              <w:spacing w:after="0"/>
              <w:rPr>
                <w:sz w:val="20"/>
                <w:szCs w:val="20"/>
                <w:color w:val="auto"/>
              </w:rPr>
            </w:pPr>
            <w:r>
              <w:rPr>
                <w:rFonts w:ascii="Arial" w:cs="Arial" w:eastAsia="Arial" w:hAnsi="Arial"/>
                <w:sz w:val="16"/>
                <w:szCs w:val="16"/>
                <w:color w:val="auto"/>
              </w:rPr>
              <w:t>1,452,874</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1.000%</w:t>
            </w:r>
          </w:p>
        </w:tc>
        <w:tc>
          <w:tcPr>
            <w:tcW w:w="2380" w:type="dxa"/>
            <w:vAlign w:val="bottom"/>
          </w:tcPr>
          <w:p>
            <w:pPr>
              <w:jc w:val="right"/>
              <w:spacing w:after="0"/>
              <w:rPr>
                <w:sz w:val="20"/>
                <w:szCs w:val="20"/>
                <w:color w:val="auto"/>
              </w:rPr>
            </w:pPr>
            <w:r>
              <w:rPr>
                <w:rFonts w:ascii="Arial" w:cs="Arial" w:eastAsia="Arial" w:hAnsi="Arial"/>
                <w:sz w:val="16"/>
                <w:szCs w:val="16"/>
                <w:color w:val="auto"/>
              </w:rPr>
              <w:t>666,945</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3.460%</w:t>
            </w:r>
          </w:p>
        </w:tc>
        <w:tc>
          <w:tcPr>
            <w:tcW w:w="2380" w:type="dxa"/>
            <w:vAlign w:val="bottom"/>
          </w:tcPr>
          <w:p>
            <w:pPr>
              <w:jc w:val="right"/>
              <w:spacing w:after="0"/>
              <w:rPr>
                <w:sz w:val="20"/>
                <w:szCs w:val="20"/>
                <w:color w:val="auto"/>
              </w:rPr>
            </w:pPr>
            <w:r>
              <w:rPr>
                <w:rFonts w:ascii="Arial" w:cs="Arial" w:eastAsia="Arial" w:hAnsi="Arial"/>
                <w:sz w:val="16"/>
                <w:szCs w:val="16"/>
                <w:color w:val="auto"/>
              </w:rPr>
              <w:t>1,494,774</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3.468%</w:t>
            </w:r>
          </w:p>
        </w:tc>
        <w:tc>
          <w:tcPr>
            <w:tcW w:w="2380" w:type="dxa"/>
            <w:vAlign w:val="bottom"/>
          </w:tcPr>
          <w:p>
            <w:pPr>
              <w:jc w:val="right"/>
              <w:spacing w:after="0"/>
              <w:rPr>
                <w:sz w:val="20"/>
                <w:szCs w:val="20"/>
                <w:color w:val="auto"/>
              </w:rPr>
            </w:pPr>
            <w:r>
              <w:rPr>
                <w:rFonts w:ascii="Arial" w:cs="Arial" w:eastAsia="Arial" w:hAnsi="Arial"/>
                <w:sz w:val="16"/>
                <w:szCs w:val="16"/>
                <w:color w:val="auto"/>
              </w:rPr>
              <w:t>162,116</w:t>
            </w:r>
          </w:p>
        </w:tc>
      </w:tr>
      <w:tr>
        <w:trPr>
          <w:trHeight w:val="230"/>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2.774%</w:t>
            </w:r>
          </w:p>
        </w:tc>
        <w:tc>
          <w:tcPr>
            <w:tcW w:w="2380" w:type="dxa"/>
            <w:vAlign w:val="bottom"/>
          </w:tcPr>
          <w:p>
            <w:pPr>
              <w:jc w:val="right"/>
              <w:spacing w:after="0"/>
              <w:rPr>
                <w:sz w:val="20"/>
                <w:szCs w:val="20"/>
                <w:color w:val="auto"/>
              </w:rPr>
            </w:pPr>
            <w:r>
              <w:rPr>
                <w:rFonts w:ascii="Arial" w:cs="Arial" w:eastAsia="Arial" w:hAnsi="Arial"/>
                <w:sz w:val="16"/>
                <w:szCs w:val="16"/>
                <w:color w:val="auto"/>
              </w:rPr>
              <w:t>781,648</w:t>
            </w:r>
          </w:p>
        </w:tc>
      </w:tr>
      <w:tr>
        <w:trPr>
          <w:trHeight w:val="229"/>
        </w:trPr>
        <w:tc>
          <w:tcPr>
            <w:tcW w:w="2640" w:type="dxa"/>
            <w:vAlign w:val="bottom"/>
          </w:tcPr>
          <w:p>
            <w:pPr>
              <w:spacing w:after="0"/>
              <w:rPr>
                <w:sz w:val="20"/>
                <w:szCs w:val="20"/>
                <w:color w:val="auto"/>
              </w:rPr>
            </w:pPr>
            <w:r>
              <w:rPr>
                <w:rFonts w:ascii="Arial" w:cs="Arial" w:eastAsia="Arial" w:hAnsi="Arial"/>
                <w:sz w:val="16"/>
                <w:szCs w:val="16"/>
                <w:color w:val="auto"/>
              </w:rPr>
              <w:t>PennVest</w:t>
            </w:r>
          </w:p>
        </w:tc>
        <w:tc>
          <w:tcPr>
            <w:tcW w:w="2540" w:type="dxa"/>
            <w:vAlign w:val="bottom"/>
          </w:tcPr>
          <w:p>
            <w:pPr>
              <w:ind w:left="680"/>
              <w:spacing w:after="0"/>
              <w:rPr>
                <w:sz w:val="20"/>
                <w:szCs w:val="20"/>
                <w:color w:val="auto"/>
              </w:rPr>
            </w:pPr>
            <w:r>
              <w:rPr>
                <w:rFonts w:ascii="Arial" w:cs="Arial" w:eastAsia="Arial" w:hAnsi="Arial"/>
                <w:sz w:val="16"/>
                <w:szCs w:val="16"/>
                <w:color w:val="auto"/>
              </w:rPr>
              <w:t>3.790%</w:t>
            </w:r>
          </w:p>
        </w:tc>
        <w:tc>
          <w:tcPr>
            <w:tcW w:w="2380" w:type="dxa"/>
            <w:vAlign w:val="bottom"/>
          </w:tcPr>
          <w:p>
            <w:pPr>
              <w:jc w:val="right"/>
              <w:spacing w:after="0"/>
              <w:rPr>
                <w:sz w:val="20"/>
                <w:szCs w:val="20"/>
                <w:color w:val="auto"/>
              </w:rPr>
            </w:pPr>
            <w:r>
              <w:rPr>
                <w:rFonts w:ascii="Arial" w:cs="Arial" w:eastAsia="Arial" w:hAnsi="Arial"/>
                <w:sz w:val="16"/>
                <w:szCs w:val="16"/>
                <w:color w:val="auto"/>
              </w:rPr>
              <w:t>163,903</w:t>
            </w:r>
          </w:p>
        </w:tc>
      </w:tr>
    </w:tbl>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5.15(a)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105" w:name="page106"/>
    <w:bookmarkEnd w:id="105"/>
    <w:tbl>
      <w:tblPr>
        <w:tblLayout w:type="fixed"/>
        <w:tblInd w:w="300" w:type="dxa"/>
        <w:tblCellMar>
          <w:top w:w="0" w:type="dxa"/>
          <w:left w:w="0" w:type="dxa"/>
          <w:bottom w:w="0" w:type="dxa"/>
          <w:right w:w="0" w:type="dxa"/>
        </w:tblCellMar>
      </w:tblPr>
      <w:tr>
        <w:trPr>
          <w:trHeight w:val="215"/>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3.810%</w:t>
            </w:r>
          </w:p>
        </w:tc>
        <w:tc>
          <w:tcPr>
            <w:tcW w:w="2380" w:type="dxa"/>
            <w:vAlign w:val="bottom"/>
          </w:tcPr>
          <w:p>
            <w:pPr>
              <w:jc w:val="right"/>
              <w:spacing w:after="0"/>
              <w:rPr>
                <w:sz w:val="20"/>
                <w:szCs w:val="20"/>
                <w:color w:val="auto"/>
              </w:rPr>
            </w:pPr>
            <w:r>
              <w:rPr>
                <w:rFonts w:ascii="Arial" w:cs="Arial" w:eastAsia="Arial" w:hAnsi="Arial"/>
                <w:sz w:val="16"/>
                <w:szCs w:val="16"/>
                <w:color w:val="auto"/>
              </w:rPr>
              <w:t>18,942</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3.430%</w:t>
            </w:r>
          </w:p>
        </w:tc>
        <w:tc>
          <w:tcPr>
            <w:tcW w:w="2380" w:type="dxa"/>
            <w:vAlign w:val="bottom"/>
          </w:tcPr>
          <w:p>
            <w:pPr>
              <w:jc w:val="right"/>
              <w:spacing w:after="0"/>
              <w:rPr>
                <w:sz w:val="20"/>
                <w:szCs w:val="20"/>
                <w:color w:val="auto"/>
              </w:rPr>
            </w:pPr>
            <w:r>
              <w:rPr>
                <w:rFonts w:ascii="Arial" w:cs="Arial" w:eastAsia="Arial" w:hAnsi="Arial"/>
                <w:sz w:val="16"/>
                <w:szCs w:val="16"/>
                <w:color w:val="auto"/>
              </w:rPr>
              <w:t>23,999</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2.774%</w:t>
            </w:r>
          </w:p>
        </w:tc>
        <w:tc>
          <w:tcPr>
            <w:tcW w:w="2380" w:type="dxa"/>
            <w:vAlign w:val="bottom"/>
          </w:tcPr>
          <w:p>
            <w:pPr>
              <w:jc w:val="right"/>
              <w:spacing w:after="0"/>
              <w:rPr>
                <w:sz w:val="20"/>
                <w:szCs w:val="20"/>
                <w:color w:val="auto"/>
              </w:rPr>
            </w:pPr>
            <w:r>
              <w:rPr>
                <w:rFonts w:ascii="Arial" w:cs="Arial" w:eastAsia="Arial" w:hAnsi="Arial"/>
                <w:sz w:val="16"/>
                <w:szCs w:val="16"/>
                <w:color w:val="auto"/>
              </w:rPr>
              <w:t>214,725</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3.470%</w:t>
            </w:r>
          </w:p>
        </w:tc>
        <w:tc>
          <w:tcPr>
            <w:tcW w:w="2380" w:type="dxa"/>
            <w:vAlign w:val="bottom"/>
          </w:tcPr>
          <w:p>
            <w:pPr>
              <w:jc w:val="right"/>
              <w:spacing w:after="0"/>
              <w:rPr>
                <w:sz w:val="20"/>
                <w:szCs w:val="20"/>
                <w:color w:val="auto"/>
              </w:rPr>
            </w:pPr>
            <w:r>
              <w:rPr>
                <w:rFonts w:ascii="Arial" w:cs="Arial" w:eastAsia="Arial" w:hAnsi="Arial"/>
                <w:sz w:val="16"/>
                <w:szCs w:val="16"/>
                <w:color w:val="auto"/>
              </w:rPr>
              <w:t>994,032</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3.468%</w:t>
            </w:r>
          </w:p>
        </w:tc>
        <w:tc>
          <w:tcPr>
            <w:tcW w:w="2380" w:type="dxa"/>
            <w:vAlign w:val="bottom"/>
          </w:tcPr>
          <w:p>
            <w:pPr>
              <w:jc w:val="right"/>
              <w:spacing w:after="0"/>
              <w:rPr>
                <w:sz w:val="20"/>
                <w:szCs w:val="20"/>
                <w:color w:val="auto"/>
              </w:rPr>
            </w:pPr>
            <w:r>
              <w:rPr>
                <w:rFonts w:ascii="Arial" w:cs="Arial" w:eastAsia="Arial" w:hAnsi="Arial"/>
                <w:sz w:val="16"/>
                <w:szCs w:val="16"/>
                <w:color w:val="auto"/>
              </w:rPr>
              <w:t>42,794</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3.195%</w:t>
            </w:r>
          </w:p>
        </w:tc>
        <w:tc>
          <w:tcPr>
            <w:tcW w:w="2380" w:type="dxa"/>
            <w:vAlign w:val="bottom"/>
          </w:tcPr>
          <w:p>
            <w:pPr>
              <w:jc w:val="right"/>
              <w:spacing w:after="0"/>
              <w:rPr>
                <w:sz w:val="20"/>
                <w:szCs w:val="20"/>
                <w:color w:val="auto"/>
              </w:rPr>
            </w:pPr>
            <w:r>
              <w:rPr>
                <w:rFonts w:ascii="Arial" w:cs="Arial" w:eastAsia="Arial" w:hAnsi="Arial"/>
                <w:sz w:val="16"/>
                <w:szCs w:val="16"/>
                <w:color w:val="auto"/>
              </w:rPr>
              <w:t>738,300</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2.556%</w:t>
            </w:r>
          </w:p>
        </w:tc>
        <w:tc>
          <w:tcPr>
            <w:tcW w:w="2380" w:type="dxa"/>
            <w:vAlign w:val="bottom"/>
          </w:tcPr>
          <w:p>
            <w:pPr>
              <w:jc w:val="right"/>
              <w:spacing w:after="0"/>
              <w:rPr>
                <w:sz w:val="20"/>
                <w:szCs w:val="20"/>
                <w:color w:val="auto"/>
              </w:rPr>
            </w:pPr>
            <w:r>
              <w:rPr>
                <w:rFonts w:ascii="Arial" w:cs="Arial" w:eastAsia="Arial" w:hAnsi="Arial"/>
                <w:sz w:val="16"/>
                <w:szCs w:val="16"/>
                <w:color w:val="auto"/>
              </w:rPr>
              <w:t>352,957</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2.554%</w:t>
            </w:r>
          </w:p>
        </w:tc>
        <w:tc>
          <w:tcPr>
            <w:tcW w:w="2380" w:type="dxa"/>
            <w:vAlign w:val="bottom"/>
          </w:tcPr>
          <w:p>
            <w:pPr>
              <w:jc w:val="right"/>
              <w:spacing w:after="0"/>
              <w:rPr>
                <w:sz w:val="20"/>
                <w:szCs w:val="20"/>
                <w:color w:val="auto"/>
              </w:rPr>
            </w:pPr>
            <w:r>
              <w:rPr>
                <w:rFonts w:ascii="Arial" w:cs="Arial" w:eastAsia="Arial" w:hAnsi="Arial"/>
                <w:sz w:val="16"/>
                <w:szCs w:val="16"/>
                <w:color w:val="auto"/>
              </w:rPr>
              <w:t>466,098</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251,713</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3.046%</w:t>
            </w:r>
          </w:p>
        </w:tc>
        <w:tc>
          <w:tcPr>
            <w:tcW w:w="2380" w:type="dxa"/>
            <w:vAlign w:val="bottom"/>
          </w:tcPr>
          <w:p>
            <w:pPr>
              <w:jc w:val="right"/>
              <w:spacing w:after="0"/>
              <w:rPr>
                <w:sz w:val="20"/>
                <w:szCs w:val="20"/>
                <w:color w:val="auto"/>
              </w:rPr>
            </w:pPr>
            <w:r>
              <w:rPr>
                <w:rFonts w:ascii="Arial" w:cs="Arial" w:eastAsia="Arial" w:hAnsi="Arial"/>
                <w:sz w:val="16"/>
                <w:szCs w:val="16"/>
                <w:color w:val="auto"/>
              </w:rPr>
              <w:t>525,693</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710,666</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448,408</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594,028</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3.143%</w:t>
            </w:r>
          </w:p>
        </w:tc>
        <w:tc>
          <w:tcPr>
            <w:tcW w:w="2380" w:type="dxa"/>
            <w:vAlign w:val="bottom"/>
          </w:tcPr>
          <w:p>
            <w:pPr>
              <w:jc w:val="right"/>
              <w:spacing w:after="0"/>
              <w:rPr>
                <w:sz w:val="20"/>
                <w:szCs w:val="20"/>
                <w:color w:val="auto"/>
              </w:rPr>
            </w:pPr>
            <w:r>
              <w:rPr>
                <w:rFonts w:ascii="Arial" w:cs="Arial" w:eastAsia="Arial" w:hAnsi="Arial"/>
                <w:sz w:val="16"/>
                <w:szCs w:val="16"/>
                <w:color w:val="auto"/>
              </w:rPr>
              <w:t>1,028,591</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505,691</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1.510%</w:t>
            </w:r>
          </w:p>
        </w:tc>
        <w:tc>
          <w:tcPr>
            <w:tcW w:w="2380" w:type="dxa"/>
            <w:vAlign w:val="bottom"/>
          </w:tcPr>
          <w:p>
            <w:pPr>
              <w:jc w:val="right"/>
              <w:spacing w:after="0"/>
              <w:rPr>
                <w:sz w:val="20"/>
                <w:szCs w:val="20"/>
                <w:color w:val="auto"/>
              </w:rPr>
            </w:pPr>
            <w:r>
              <w:rPr>
                <w:rFonts w:ascii="Arial" w:cs="Arial" w:eastAsia="Arial" w:hAnsi="Arial"/>
                <w:sz w:val="16"/>
                <w:szCs w:val="16"/>
                <w:color w:val="auto"/>
              </w:rPr>
              <w:t>4,988,295</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3.330%</w:t>
            </w:r>
          </w:p>
        </w:tc>
        <w:tc>
          <w:tcPr>
            <w:tcW w:w="2380" w:type="dxa"/>
            <w:vAlign w:val="bottom"/>
          </w:tcPr>
          <w:p>
            <w:pPr>
              <w:jc w:val="right"/>
              <w:spacing w:after="0"/>
              <w:rPr>
                <w:sz w:val="20"/>
                <w:szCs w:val="20"/>
                <w:color w:val="auto"/>
              </w:rPr>
            </w:pPr>
            <w:r>
              <w:rPr>
                <w:rFonts w:ascii="Arial" w:cs="Arial" w:eastAsia="Arial" w:hAnsi="Arial"/>
                <w:sz w:val="16"/>
                <w:szCs w:val="16"/>
                <w:color w:val="auto"/>
              </w:rPr>
              <w:t>32,114</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2.730%</w:t>
            </w:r>
          </w:p>
        </w:tc>
        <w:tc>
          <w:tcPr>
            <w:tcW w:w="2380" w:type="dxa"/>
            <w:vAlign w:val="bottom"/>
          </w:tcPr>
          <w:p>
            <w:pPr>
              <w:jc w:val="right"/>
              <w:spacing w:after="0"/>
              <w:rPr>
                <w:sz w:val="20"/>
                <w:szCs w:val="20"/>
                <w:color w:val="auto"/>
              </w:rPr>
            </w:pPr>
            <w:r>
              <w:rPr>
                <w:rFonts w:ascii="Arial" w:cs="Arial" w:eastAsia="Arial" w:hAnsi="Arial"/>
                <w:sz w:val="16"/>
                <w:szCs w:val="16"/>
                <w:color w:val="auto"/>
              </w:rPr>
              <w:t>663,256</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2.668%</w:t>
            </w:r>
          </w:p>
        </w:tc>
        <w:tc>
          <w:tcPr>
            <w:tcW w:w="2380" w:type="dxa"/>
            <w:vAlign w:val="bottom"/>
          </w:tcPr>
          <w:p>
            <w:pPr>
              <w:jc w:val="right"/>
              <w:spacing w:after="0"/>
              <w:rPr>
                <w:sz w:val="20"/>
                <w:szCs w:val="20"/>
                <w:color w:val="auto"/>
              </w:rPr>
            </w:pPr>
            <w:r>
              <w:rPr>
                <w:rFonts w:ascii="Arial" w:cs="Arial" w:eastAsia="Arial" w:hAnsi="Arial"/>
                <w:sz w:val="16"/>
                <w:szCs w:val="16"/>
                <w:color w:val="auto"/>
              </w:rPr>
              <w:t>448,240</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440,883</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1.000%</w:t>
            </w:r>
          </w:p>
        </w:tc>
        <w:tc>
          <w:tcPr>
            <w:tcW w:w="2380" w:type="dxa"/>
            <w:vAlign w:val="bottom"/>
          </w:tcPr>
          <w:p>
            <w:pPr>
              <w:jc w:val="right"/>
              <w:spacing w:after="0"/>
              <w:rPr>
                <w:sz w:val="20"/>
                <w:szCs w:val="20"/>
                <w:color w:val="auto"/>
              </w:rPr>
            </w:pPr>
            <w:r>
              <w:rPr>
                <w:rFonts w:ascii="Arial" w:cs="Arial" w:eastAsia="Arial" w:hAnsi="Arial"/>
                <w:sz w:val="16"/>
                <w:szCs w:val="16"/>
                <w:color w:val="auto"/>
              </w:rPr>
              <w:t>209,175</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2.774%</w:t>
            </w:r>
          </w:p>
        </w:tc>
        <w:tc>
          <w:tcPr>
            <w:tcW w:w="2380" w:type="dxa"/>
            <w:vAlign w:val="bottom"/>
          </w:tcPr>
          <w:p>
            <w:pPr>
              <w:jc w:val="right"/>
              <w:spacing w:after="0"/>
              <w:rPr>
                <w:sz w:val="20"/>
                <w:szCs w:val="20"/>
                <w:color w:val="auto"/>
              </w:rPr>
            </w:pPr>
            <w:r>
              <w:rPr>
                <w:rFonts w:ascii="Arial" w:cs="Arial" w:eastAsia="Arial" w:hAnsi="Arial"/>
                <w:sz w:val="16"/>
                <w:szCs w:val="16"/>
                <w:color w:val="auto"/>
              </w:rPr>
              <w:t>67,284</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2.774%</w:t>
            </w:r>
          </w:p>
        </w:tc>
        <w:tc>
          <w:tcPr>
            <w:tcW w:w="2380" w:type="dxa"/>
            <w:vAlign w:val="bottom"/>
          </w:tcPr>
          <w:p>
            <w:pPr>
              <w:jc w:val="right"/>
              <w:spacing w:after="0"/>
              <w:rPr>
                <w:sz w:val="20"/>
                <w:szCs w:val="20"/>
                <w:color w:val="auto"/>
              </w:rPr>
            </w:pPr>
            <w:r>
              <w:rPr>
                <w:rFonts w:ascii="Arial" w:cs="Arial" w:eastAsia="Arial" w:hAnsi="Arial"/>
                <w:sz w:val="16"/>
                <w:szCs w:val="16"/>
                <w:color w:val="auto"/>
              </w:rPr>
              <w:t>18,911</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3.052%</w:t>
            </w:r>
          </w:p>
        </w:tc>
        <w:tc>
          <w:tcPr>
            <w:tcW w:w="2380" w:type="dxa"/>
            <w:vAlign w:val="bottom"/>
          </w:tcPr>
          <w:p>
            <w:pPr>
              <w:jc w:val="right"/>
              <w:spacing w:after="0"/>
              <w:rPr>
                <w:sz w:val="20"/>
                <w:szCs w:val="20"/>
                <w:color w:val="auto"/>
              </w:rPr>
            </w:pPr>
            <w:r>
              <w:rPr>
                <w:rFonts w:ascii="Arial" w:cs="Arial" w:eastAsia="Arial" w:hAnsi="Arial"/>
                <w:sz w:val="16"/>
                <w:szCs w:val="16"/>
                <w:color w:val="auto"/>
              </w:rPr>
              <w:t>268,683</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3.468%</w:t>
            </w:r>
          </w:p>
        </w:tc>
        <w:tc>
          <w:tcPr>
            <w:tcW w:w="2380" w:type="dxa"/>
            <w:vAlign w:val="bottom"/>
          </w:tcPr>
          <w:p>
            <w:pPr>
              <w:jc w:val="right"/>
              <w:spacing w:after="0"/>
              <w:rPr>
                <w:sz w:val="20"/>
                <w:szCs w:val="20"/>
                <w:color w:val="auto"/>
              </w:rPr>
            </w:pPr>
            <w:r>
              <w:rPr>
                <w:rFonts w:ascii="Arial" w:cs="Arial" w:eastAsia="Arial" w:hAnsi="Arial"/>
                <w:sz w:val="16"/>
                <w:szCs w:val="16"/>
                <w:color w:val="auto"/>
              </w:rPr>
              <w:t>700,821</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2.774%</w:t>
            </w:r>
          </w:p>
        </w:tc>
        <w:tc>
          <w:tcPr>
            <w:tcW w:w="2380" w:type="dxa"/>
            <w:vAlign w:val="bottom"/>
          </w:tcPr>
          <w:p>
            <w:pPr>
              <w:jc w:val="right"/>
              <w:spacing w:after="0"/>
              <w:rPr>
                <w:sz w:val="20"/>
                <w:szCs w:val="20"/>
                <w:color w:val="auto"/>
              </w:rPr>
            </w:pPr>
            <w:r>
              <w:rPr>
                <w:rFonts w:ascii="Arial" w:cs="Arial" w:eastAsia="Arial" w:hAnsi="Arial"/>
                <w:sz w:val="16"/>
                <w:szCs w:val="16"/>
                <w:color w:val="auto"/>
              </w:rPr>
              <w:t>173,764</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1.156%</w:t>
            </w:r>
          </w:p>
        </w:tc>
        <w:tc>
          <w:tcPr>
            <w:tcW w:w="2380" w:type="dxa"/>
            <w:vAlign w:val="bottom"/>
          </w:tcPr>
          <w:p>
            <w:pPr>
              <w:jc w:val="right"/>
              <w:spacing w:after="0"/>
              <w:rPr>
                <w:sz w:val="20"/>
                <w:szCs w:val="20"/>
                <w:color w:val="auto"/>
              </w:rPr>
            </w:pPr>
            <w:r>
              <w:rPr>
                <w:rFonts w:ascii="Arial" w:cs="Arial" w:eastAsia="Arial" w:hAnsi="Arial"/>
                <w:sz w:val="16"/>
                <w:szCs w:val="16"/>
                <w:color w:val="auto"/>
              </w:rPr>
              <w:t>30,350</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2.774%</w:t>
            </w:r>
          </w:p>
        </w:tc>
        <w:tc>
          <w:tcPr>
            <w:tcW w:w="2380" w:type="dxa"/>
            <w:vAlign w:val="bottom"/>
          </w:tcPr>
          <w:p>
            <w:pPr>
              <w:jc w:val="right"/>
              <w:spacing w:after="0"/>
              <w:rPr>
                <w:sz w:val="20"/>
                <w:szCs w:val="20"/>
                <w:color w:val="auto"/>
              </w:rPr>
            </w:pPr>
            <w:r>
              <w:rPr>
                <w:rFonts w:ascii="Arial" w:cs="Arial" w:eastAsia="Arial" w:hAnsi="Arial"/>
                <w:sz w:val="16"/>
                <w:szCs w:val="16"/>
                <w:color w:val="auto"/>
              </w:rPr>
              <w:t>597,197</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3.365%</w:t>
            </w:r>
          </w:p>
        </w:tc>
        <w:tc>
          <w:tcPr>
            <w:tcW w:w="2380" w:type="dxa"/>
            <w:vAlign w:val="bottom"/>
          </w:tcPr>
          <w:p>
            <w:pPr>
              <w:jc w:val="right"/>
              <w:spacing w:after="0"/>
              <w:rPr>
                <w:sz w:val="20"/>
                <w:szCs w:val="20"/>
                <w:color w:val="auto"/>
              </w:rPr>
            </w:pPr>
            <w:r>
              <w:rPr>
                <w:rFonts w:ascii="Arial" w:cs="Arial" w:eastAsia="Arial" w:hAnsi="Arial"/>
                <w:sz w:val="16"/>
                <w:szCs w:val="16"/>
                <w:color w:val="auto"/>
              </w:rPr>
              <w:t>645,624</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2.547%</w:t>
            </w:r>
          </w:p>
        </w:tc>
        <w:tc>
          <w:tcPr>
            <w:tcW w:w="2380" w:type="dxa"/>
            <w:vAlign w:val="bottom"/>
          </w:tcPr>
          <w:p>
            <w:pPr>
              <w:jc w:val="right"/>
              <w:spacing w:after="0"/>
              <w:rPr>
                <w:sz w:val="20"/>
                <w:szCs w:val="20"/>
                <w:color w:val="auto"/>
              </w:rPr>
            </w:pPr>
            <w:r>
              <w:rPr>
                <w:rFonts w:ascii="Arial" w:cs="Arial" w:eastAsia="Arial" w:hAnsi="Arial"/>
                <w:sz w:val="16"/>
                <w:szCs w:val="16"/>
                <w:color w:val="auto"/>
              </w:rPr>
              <w:t>816,545</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1.000%</w:t>
            </w:r>
          </w:p>
        </w:tc>
        <w:tc>
          <w:tcPr>
            <w:tcW w:w="2380" w:type="dxa"/>
            <w:vAlign w:val="bottom"/>
          </w:tcPr>
          <w:p>
            <w:pPr>
              <w:jc w:val="right"/>
              <w:spacing w:after="0"/>
              <w:rPr>
                <w:sz w:val="20"/>
                <w:szCs w:val="20"/>
                <w:color w:val="auto"/>
              </w:rPr>
            </w:pPr>
            <w:r>
              <w:rPr>
                <w:rFonts w:ascii="Arial" w:cs="Arial" w:eastAsia="Arial" w:hAnsi="Arial"/>
                <w:sz w:val="16"/>
                <w:szCs w:val="16"/>
                <w:color w:val="auto"/>
              </w:rPr>
              <w:t>1,006,754</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3.810%</w:t>
            </w:r>
          </w:p>
        </w:tc>
        <w:tc>
          <w:tcPr>
            <w:tcW w:w="2380" w:type="dxa"/>
            <w:vAlign w:val="bottom"/>
          </w:tcPr>
          <w:p>
            <w:pPr>
              <w:jc w:val="right"/>
              <w:spacing w:after="0"/>
              <w:rPr>
                <w:sz w:val="20"/>
                <w:szCs w:val="20"/>
                <w:color w:val="auto"/>
              </w:rPr>
            </w:pPr>
            <w:r>
              <w:rPr>
                <w:rFonts w:ascii="Arial" w:cs="Arial" w:eastAsia="Arial" w:hAnsi="Arial"/>
                <w:sz w:val="16"/>
                <w:szCs w:val="16"/>
                <w:color w:val="auto"/>
              </w:rPr>
              <w:t>18,942</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3.430%</w:t>
            </w:r>
          </w:p>
        </w:tc>
        <w:tc>
          <w:tcPr>
            <w:tcW w:w="2380" w:type="dxa"/>
            <w:vAlign w:val="bottom"/>
          </w:tcPr>
          <w:p>
            <w:pPr>
              <w:jc w:val="right"/>
              <w:spacing w:after="0"/>
              <w:rPr>
                <w:sz w:val="20"/>
                <w:szCs w:val="20"/>
                <w:color w:val="auto"/>
              </w:rPr>
            </w:pPr>
            <w:r>
              <w:rPr>
                <w:rFonts w:ascii="Arial" w:cs="Arial" w:eastAsia="Arial" w:hAnsi="Arial"/>
                <w:sz w:val="16"/>
                <w:szCs w:val="16"/>
                <w:color w:val="auto"/>
              </w:rPr>
              <w:t>23,999</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2.774%</w:t>
            </w:r>
          </w:p>
        </w:tc>
        <w:tc>
          <w:tcPr>
            <w:tcW w:w="2380" w:type="dxa"/>
            <w:vAlign w:val="bottom"/>
          </w:tcPr>
          <w:p>
            <w:pPr>
              <w:jc w:val="right"/>
              <w:spacing w:after="0"/>
              <w:rPr>
                <w:sz w:val="20"/>
                <w:szCs w:val="20"/>
                <w:color w:val="auto"/>
              </w:rPr>
            </w:pPr>
            <w:r>
              <w:rPr>
                <w:rFonts w:ascii="Arial" w:cs="Arial" w:eastAsia="Arial" w:hAnsi="Arial"/>
                <w:sz w:val="16"/>
                <w:szCs w:val="16"/>
                <w:color w:val="auto"/>
              </w:rPr>
              <w:t>214,725</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3.470%</w:t>
            </w:r>
          </w:p>
        </w:tc>
        <w:tc>
          <w:tcPr>
            <w:tcW w:w="2380" w:type="dxa"/>
            <w:vAlign w:val="bottom"/>
          </w:tcPr>
          <w:p>
            <w:pPr>
              <w:jc w:val="right"/>
              <w:spacing w:after="0"/>
              <w:rPr>
                <w:sz w:val="20"/>
                <w:szCs w:val="20"/>
                <w:color w:val="auto"/>
              </w:rPr>
            </w:pPr>
            <w:r>
              <w:rPr>
                <w:rFonts w:ascii="Arial" w:cs="Arial" w:eastAsia="Arial" w:hAnsi="Arial"/>
                <w:sz w:val="16"/>
                <w:szCs w:val="16"/>
                <w:color w:val="auto"/>
              </w:rPr>
              <w:t>994,032</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3.468%</w:t>
            </w:r>
          </w:p>
        </w:tc>
        <w:tc>
          <w:tcPr>
            <w:tcW w:w="2380" w:type="dxa"/>
            <w:vAlign w:val="bottom"/>
          </w:tcPr>
          <w:p>
            <w:pPr>
              <w:jc w:val="right"/>
              <w:spacing w:after="0"/>
              <w:rPr>
                <w:sz w:val="20"/>
                <w:szCs w:val="20"/>
                <w:color w:val="auto"/>
              </w:rPr>
            </w:pPr>
            <w:r>
              <w:rPr>
                <w:rFonts w:ascii="Arial" w:cs="Arial" w:eastAsia="Arial" w:hAnsi="Arial"/>
                <w:sz w:val="16"/>
                <w:szCs w:val="16"/>
                <w:color w:val="auto"/>
              </w:rPr>
              <w:t>42,794</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3.195%</w:t>
            </w:r>
          </w:p>
        </w:tc>
        <w:tc>
          <w:tcPr>
            <w:tcW w:w="2380" w:type="dxa"/>
            <w:vAlign w:val="bottom"/>
          </w:tcPr>
          <w:p>
            <w:pPr>
              <w:jc w:val="right"/>
              <w:spacing w:after="0"/>
              <w:rPr>
                <w:sz w:val="20"/>
                <w:szCs w:val="20"/>
                <w:color w:val="auto"/>
              </w:rPr>
            </w:pPr>
            <w:r>
              <w:rPr>
                <w:rFonts w:ascii="Arial" w:cs="Arial" w:eastAsia="Arial" w:hAnsi="Arial"/>
                <w:sz w:val="16"/>
                <w:szCs w:val="16"/>
                <w:color w:val="auto"/>
              </w:rPr>
              <w:t>738,300</w:t>
            </w:r>
          </w:p>
        </w:tc>
      </w:tr>
      <w:tr>
        <w:trPr>
          <w:trHeight w:val="229"/>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2.556%</w:t>
            </w:r>
          </w:p>
        </w:tc>
        <w:tc>
          <w:tcPr>
            <w:tcW w:w="2380" w:type="dxa"/>
            <w:vAlign w:val="bottom"/>
          </w:tcPr>
          <w:p>
            <w:pPr>
              <w:jc w:val="right"/>
              <w:spacing w:after="0"/>
              <w:rPr>
                <w:sz w:val="20"/>
                <w:szCs w:val="20"/>
                <w:color w:val="auto"/>
              </w:rPr>
            </w:pPr>
            <w:r>
              <w:rPr>
                <w:rFonts w:ascii="Arial" w:cs="Arial" w:eastAsia="Arial" w:hAnsi="Arial"/>
                <w:sz w:val="16"/>
                <w:szCs w:val="16"/>
                <w:color w:val="auto"/>
              </w:rPr>
              <w:t>352,957</w:t>
            </w:r>
          </w:p>
        </w:tc>
      </w:tr>
      <w:tr>
        <w:trPr>
          <w:trHeight w:val="230"/>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2.554%</w:t>
            </w:r>
          </w:p>
        </w:tc>
        <w:tc>
          <w:tcPr>
            <w:tcW w:w="2380" w:type="dxa"/>
            <w:vAlign w:val="bottom"/>
          </w:tcPr>
          <w:p>
            <w:pPr>
              <w:jc w:val="right"/>
              <w:spacing w:after="0"/>
              <w:rPr>
                <w:sz w:val="20"/>
                <w:szCs w:val="20"/>
                <w:color w:val="auto"/>
              </w:rPr>
            </w:pPr>
            <w:r>
              <w:rPr>
                <w:rFonts w:ascii="Arial" w:cs="Arial" w:eastAsia="Arial" w:hAnsi="Arial"/>
                <w:sz w:val="16"/>
                <w:szCs w:val="16"/>
                <w:color w:val="auto"/>
              </w:rPr>
              <w:t>466,098</w:t>
            </w:r>
          </w:p>
        </w:tc>
      </w:tr>
      <w:tr>
        <w:trPr>
          <w:trHeight w:val="252"/>
        </w:trPr>
        <w:tc>
          <w:tcPr>
            <w:tcW w:w="2240" w:type="dxa"/>
            <w:vAlign w:val="bottom"/>
          </w:tcPr>
          <w:p>
            <w:pPr>
              <w:spacing w:after="0"/>
              <w:rPr>
                <w:sz w:val="20"/>
                <w:szCs w:val="20"/>
                <w:color w:val="auto"/>
              </w:rPr>
            </w:pPr>
            <w:r>
              <w:rPr>
                <w:rFonts w:ascii="Arial" w:cs="Arial" w:eastAsia="Arial" w:hAnsi="Arial"/>
                <w:sz w:val="16"/>
                <w:szCs w:val="16"/>
                <w:color w:val="auto"/>
              </w:rPr>
              <w:t>PennVest</w:t>
            </w:r>
          </w:p>
        </w:tc>
        <w:tc>
          <w:tcPr>
            <w:tcW w:w="2940" w:type="dxa"/>
            <w:vAlign w:val="bottom"/>
          </w:tcPr>
          <w:p>
            <w:pPr>
              <w:jc w:val="right"/>
              <w:ind w:right="1219"/>
              <w:spacing w:after="0"/>
              <w:rPr>
                <w:sz w:val="20"/>
                <w:szCs w:val="20"/>
                <w:color w:val="auto"/>
              </w:rPr>
            </w:pPr>
            <w:r>
              <w:rPr>
                <w:rFonts w:ascii="Arial" w:cs="Arial" w:eastAsia="Arial" w:hAnsi="Arial"/>
                <w:sz w:val="16"/>
                <w:szCs w:val="16"/>
                <w:color w:val="auto"/>
              </w:rPr>
              <w:t>1.000%</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251,713</w:t>
            </w:r>
          </w:p>
        </w:tc>
      </w:tr>
      <w:tr>
        <w:trPr>
          <w:trHeight w:val="187"/>
        </w:trPr>
        <w:tc>
          <w:tcPr>
            <w:tcW w:w="22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7"/>
        </w:trPr>
        <w:tc>
          <w:tcPr>
            <w:tcW w:w="2240" w:type="dxa"/>
            <w:vAlign w:val="bottom"/>
          </w:tcPr>
          <w:p>
            <w:pPr>
              <w:spacing w:after="0"/>
              <w:rPr>
                <w:sz w:val="20"/>
                <w:szCs w:val="20"/>
                <w:color w:val="auto"/>
              </w:rPr>
            </w:pPr>
            <w:r>
              <w:rPr>
                <w:rFonts w:ascii="Arial" w:cs="Arial" w:eastAsia="Arial" w:hAnsi="Arial"/>
                <w:sz w:val="16"/>
                <w:szCs w:val="16"/>
                <w:b w:val="1"/>
                <w:bCs w:val="1"/>
                <w:color w:val="auto"/>
              </w:rPr>
              <w:t>Total PennVest</w:t>
            </w:r>
          </w:p>
        </w:tc>
        <w:tc>
          <w:tcPr>
            <w:tcW w:w="29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25,783,169</w:t>
            </w:r>
          </w:p>
        </w:tc>
      </w:tr>
    </w:tbl>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6" w:name="page107"/>
    <w:bookmarkEnd w:id="106"/>
    <w:tbl>
      <w:tblPr>
        <w:tblLayout w:type="fixed"/>
        <w:tblInd w:w="300" w:type="dxa"/>
        <w:tblCellMar>
          <w:top w:w="0" w:type="dxa"/>
          <w:left w:w="0" w:type="dxa"/>
          <w:bottom w:w="0" w:type="dxa"/>
          <w:right w:w="0" w:type="dxa"/>
        </w:tblCellMar>
      </w:tblPr>
      <w:tr>
        <w:trPr>
          <w:trHeight w:val="215"/>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5.980%</w:t>
            </w:r>
          </w:p>
        </w:tc>
        <w:tc>
          <w:tcPr>
            <w:tcW w:w="2380" w:type="dxa"/>
            <w:vAlign w:val="bottom"/>
          </w:tcPr>
          <w:p>
            <w:pPr>
              <w:jc w:val="right"/>
              <w:spacing w:after="0"/>
              <w:rPr>
                <w:sz w:val="20"/>
                <w:szCs w:val="20"/>
                <w:color w:val="auto"/>
              </w:rPr>
            </w:pPr>
            <w:r>
              <w:rPr>
                <w:rFonts w:ascii="Arial" w:cs="Arial" w:eastAsia="Arial" w:hAnsi="Arial"/>
                <w:sz w:val="16"/>
                <w:szCs w:val="16"/>
                <w:color w:val="auto"/>
              </w:rPr>
              <w:t>3,000,000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6.060%</w:t>
            </w:r>
          </w:p>
        </w:tc>
        <w:tc>
          <w:tcPr>
            <w:tcW w:w="2380" w:type="dxa"/>
            <w:vAlign w:val="bottom"/>
          </w:tcPr>
          <w:p>
            <w:pPr>
              <w:jc w:val="right"/>
              <w:spacing w:after="0"/>
              <w:rPr>
                <w:sz w:val="20"/>
                <w:szCs w:val="20"/>
                <w:color w:val="auto"/>
              </w:rPr>
            </w:pPr>
            <w:r>
              <w:rPr>
                <w:rFonts w:ascii="Arial" w:cs="Arial" w:eastAsia="Arial" w:hAnsi="Arial"/>
                <w:sz w:val="16"/>
                <w:szCs w:val="16"/>
                <w:color w:val="auto"/>
              </w:rPr>
              <w:t>15,000,000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6.06%</w:t>
            </w:r>
          </w:p>
        </w:tc>
        <w:tc>
          <w:tcPr>
            <w:tcW w:w="2380" w:type="dxa"/>
            <w:vAlign w:val="bottom"/>
          </w:tcPr>
          <w:p>
            <w:pPr>
              <w:jc w:val="right"/>
              <w:spacing w:after="0"/>
              <w:rPr>
                <w:sz w:val="20"/>
                <w:szCs w:val="20"/>
                <w:color w:val="auto"/>
              </w:rPr>
            </w:pPr>
            <w:r>
              <w:rPr>
                <w:rFonts w:ascii="Arial" w:cs="Arial" w:eastAsia="Arial" w:hAnsi="Arial"/>
                <w:sz w:val="16"/>
                <w:szCs w:val="16"/>
                <w:color w:val="auto"/>
              </w:rPr>
              <w:t>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7.72%</w:t>
            </w:r>
          </w:p>
        </w:tc>
        <w:tc>
          <w:tcPr>
            <w:tcW w:w="2380" w:type="dxa"/>
            <w:vAlign w:val="bottom"/>
          </w:tcPr>
          <w:p>
            <w:pPr>
              <w:jc w:val="right"/>
              <w:spacing w:after="0"/>
              <w:rPr>
                <w:sz w:val="20"/>
                <w:szCs w:val="20"/>
                <w:color w:val="auto"/>
              </w:rPr>
            </w:pPr>
            <w:r>
              <w:rPr>
                <w:rFonts w:ascii="Arial" w:cs="Arial" w:eastAsia="Arial" w:hAnsi="Arial"/>
                <w:sz w:val="16"/>
                <w:szCs w:val="16"/>
                <w:color w:val="auto"/>
              </w:rPr>
              <w:t>15,000,000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9.29%</w:t>
            </w:r>
          </w:p>
        </w:tc>
        <w:tc>
          <w:tcPr>
            <w:tcW w:w="2380" w:type="dxa"/>
            <w:vAlign w:val="bottom"/>
          </w:tcPr>
          <w:p>
            <w:pPr>
              <w:jc w:val="right"/>
              <w:spacing w:after="0"/>
              <w:rPr>
                <w:sz w:val="20"/>
                <w:szCs w:val="20"/>
                <w:color w:val="auto"/>
              </w:rPr>
            </w:pPr>
            <w:r>
              <w:rPr>
                <w:rFonts w:ascii="Arial" w:cs="Arial" w:eastAsia="Arial" w:hAnsi="Arial"/>
                <w:sz w:val="16"/>
                <w:szCs w:val="16"/>
                <w:color w:val="auto"/>
              </w:rPr>
              <w:t>17,800,000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3.79%</w:t>
            </w:r>
          </w:p>
        </w:tc>
        <w:tc>
          <w:tcPr>
            <w:tcW w:w="2380" w:type="dxa"/>
            <w:vAlign w:val="bottom"/>
          </w:tcPr>
          <w:p>
            <w:pPr>
              <w:jc w:val="right"/>
              <w:spacing w:after="0"/>
              <w:rPr>
                <w:sz w:val="20"/>
                <w:szCs w:val="20"/>
                <w:color w:val="auto"/>
              </w:rPr>
            </w:pPr>
            <w:r>
              <w:rPr>
                <w:rFonts w:ascii="Arial" w:cs="Arial" w:eastAsia="Arial" w:hAnsi="Arial"/>
                <w:sz w:val="16"/>
                <w:szCs w:val="16"/>
                <w:color w:val="auto"/>
              </w:rPr>
              <w:t>40,000,000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3.80%</w:t>
            </w:r>
          </w:p>
        </w:tc>
        <w:tc>
          <w:tcPr>
            <w:tcW w:w="238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3.85%</w:t>
            </w:r>
          </w:p>
        </w:tc>
        <w:tc>
          <w:tcPr>
            <w:tcW w:w="238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3.94%</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4.61%</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4.62%</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3.64%</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4.01%</w:t>
            </w:r>
          </w:p>
        </w:tc>
        <w:tc>
          <w:tcPr>
            <w:tcW w:w="2380" w:type="dxa"/>
            <w:vAlign w:val="bottom"/>
          </w:tcPr>
          <w:p>
            <w:pPr>
              <w:jc w:val="right"/>
              <w:spacing w:after="0"/>
              <w:rPr>
                <w:sz w:val="20"/>
                <w:szCs w:val="20"/>
                <w:color w:val="auto"/>
              </w:rPr>
            </w:pPr>
            <w:r>
              <w:rPr>
                <w:rFonts w:ascii="Arial" w:cs="Arial" w:eastAsia="Arial" w:hAnsi="Arial"/>
                <w:sz w:val="16"/>
                <w:szCs w:val="16"/>
                <w:color w:val="auto"/>
              </w:rPr>
              <w:t>15,000,000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4.06%</w:t>
            </w:r>
          </w:p>
        </w:tc>
        <w:tc>
          <w:tcPr>
            <w:tcW w:w="2380" w:type="dxa"/>
            <w:vAlign w:val="bottom"/>
          </w:tcPr>
          <w:p>
            <w:pPr>
              <w:jc w:val="right"/>
              <w:spacing w:after="0"/>
              <w:rPr>
                <w:sz w:val="20"/>
                <w:szCs w:val="20"/>
                <w:color w:val="auto"/>
              </w:rPr>
            </w:pPr>
            <w:r>
              <w:rPr>
                <w:rFonts w:ascii="Arial" w:cs="Arial" w:eastAsia="Arial" w:hAnsi="Arial"/>
                <w:sz w:val="16"/>
                <w:szCs w:val="16"/>
                <w:color w:val="auto"/>
              </w:rPr>
              <w:t>13,000,000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4.11%</w:t>
            </w:r>
          </w:p>
        </w:tc>
        <w:tc>
          <w:tcPr>
            <w:tcW w:w="2380" w:type="dxa"/>
            <w:vAlign w:val="bottom"/>
          </w:tcPr>
          <w:p>
            <w:pPr>
              <w:jc w:val="right"/>
              <w:spacing w:after="0"/>
              <w:rPr>
                <w:sz w:val="20"/>
                <w:szCs w:val="20"/>
                <w:color w:val="auto"/>
              </w:rPr>
            </w:pPr>
            <w:r>
              <w:rPr>
                <w:rFonts w:ascii="Arial" w:cs="Arial" w:eastAsia="Arial" w:hAnsi="Arial"/>
                <w:sz w:val="16"/>
                <w:szCs w:val="16"/>
                <w:color w:val="auto"/>
              </w:rPr>
              <w:t>12,000,000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3.77%</w:t>
            </w:r>
          </w:p>
        </w:tc>
        <w:tc>
          <w:tcPr>
            <w:tcW w:w="2380" w:type="dxa"/>
            <w:vAlign w:val="bottom"/>
          </w:tcPr>
          <w:p>
            <w:pPr>
              <w:jc w:val="right"/>
              <w:spacing w:after="0"/>
              <w:rPr>
                <w:sz w:val="20"/>
                <w:szCs w:val="20"/>
                <w:color w:val="auto"/>
              </w:rPr>
            </w:pPr>
            <w:r>
              <w:rPr>
                <w:rFonts w:ascii="Arial" w:cs="Arial" w:eastAsia="Arial" w:hAnsi="Arial"/>
                <w:sz w:val="16"/>
                <w:szCs w:val="16"/>
                <w:color w:val="auto"/>
              </w:rPr>
              <w:t>65,000,000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3.82%</w:t>
            </w:r>
          </w:p>
        </w:tc>
        <w:tc>
          <w:tcPr>
            <w:tcW w:w="238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3.85%</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4.16%</w:t>
            </w:r>
          </w:p>
        </w:tc>
        <w:tc>
          <w:tcPr>
            <w:tcW w:w="2380" w:type="dxa"/>
            <w:vAlign w:val="bottom"/>
          </w:tcPr>
          <w:p>
            <w:pPr>
              <w:jc w:val="right"/>
              <w:spacing w:after="0"/>
              <w:rPr>
                <w:sz w:val="20"/>
                <w:szCs w:val="20"/>
                <w:color w:val="auto"/>
              </w:rPr>
            </w:pPr>
            <w:r>
              <w:rPr>
                <w:rFonts w:ascii="Arial" w:cs="Arial" w:eastAsia="Arial" w:hAnsi="Arial"/>
                <w:sz w:val="16"/>
                <w:szCs w:val="16"/>
                <w:color w:val="auto"/>
              </w:rPr>
              <w:t>60,000,000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4.18%</w:t>
            </w:r>
          </w:p>
        </w:tc>
        <w:tc>
          <w:tcPr>
            <w:tcW w:w="238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4.20%</w:t>
            </w:r>
          </w:p>
        </w:tc>
        <w:tc>
          <w:tcPr>
            <w:tcW w:w="238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3.85%</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3.95%</w:t>
            </w:r>
          </w:p>
        </w:tc>
        <w:tc>
          <w:tcPr>
            <w:tcW w:w="2380" w:type="dxa"/>
            <w:vAlign w:val="bottom"/>
          </w:tcPr>
          <w:p>
            <w:pPr>
              <w:jc w:val="right"/>
              <w:spacing w:after="0"/>
              <w:rPr>
                <w:sz w:val="20"/>
                <w:szCs w:val="20"/>
                <w:color w:val="auto"/>
              </w:rPr>
            </w:pPr>
            <w:r>
              <w:rPr>
                <w:rFonts w:ascii="Arial" w:cs="Arial" w:eastAsia="Arial" w:hAnsi="Arial"/>
                <w:sz w:val="16"/>
                <w:szCs w:val="16"/>
                <w:color w:val="auto"/>
              </w:rPr>
              <w:t>60,000,000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3.65%</w:t>
            </w:r>
          </w:p>
        </w:tc>
        <w:tc>
          <w:tcPr>
            <w:tcW w:w="238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3.69%</w:t>
            </w:r>
          </w:p>
        </w:tc>
        <w:tc>
          <w:tcPr>
            <w:tcW w:w="2380" w:type="dxa"/>
            <w:vAlign w:val="bottom"/>
          </w:tcPr>
          <w:p>
            <w:pPr>
              <w:jc w:val="right"/>
              <w:spacing w:after="0"/>
              <w:rPr>
                <w:sz w:val="20"/>
                <w:szCs w:val="20"/>
                <w:color w:val="auto"/>
              </w:rPr>
            </w:pPr>
            <w:r>
              <w:rPr>
                <w:rFonts w:ascii="Arial" w:cs="Arial" w:eastAsia="Arial" w:hAnsi="Arial"/>
                <w:sz w:val="16"/>
                <w:szCs w:val="16"/>
                <w:color w:val="auto"/>
              </w:rPr>
              <w:t>40,000,000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4.04%</w:t>
            </w:r>
          </w:p>
        </w:tc>
        <w:tc>
          <w:tcPr>
            <w:tcW w:w="2380" w:type="dxa"/>
            <w:vAlign w:val="bottom"/>
          </w:tcPr>
          <w:p>
            <w:pPr>
              <w:jc w:val="right"/>
              <w:spacing w:after="0"/>
              <w:rPr>
                <w:sz w:val="20"/>
                <w:szCs w:val="20"/>
                <w:color w:val="auto"/>
              </w:rPr>
            </w:pPr>
            <w:r>
              <w:rPr>
                <w:rFonts w:ascii="Arial" w:cs="Arial" w:eastAsia="Arial" w:hAnsi="Arial"/>
                <w:sz w:val="16"/>
                <w:szCs w:val="16"/>
                <w:color w:val="auto"/>
              </w:rPr>
              <w:t>40,000,000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4.06%</w:t>
            </w:r>
          </w:p>
        </w:tc>
        <w:tc>
          <w:tcPr>
            <w:tcW w:w="2380" w:type="dxa"/>
            <w:vAlign w:val="bottom"/>
          </w:tcPr>
          <w:p>
            <w:pPr>
              <w:jc w:val="right"/>
              <w:spacing w:after="0"/>
              <w:rPr>
                <w:sz w:val="20"/>
                <w:szCs w:val="20"/>
                <w:color w:val="auto"/>
              </w:rPr>
            </w:pPr>
            <w:r>
              <w:rPr>
                <w:rFonts w:ascii="Arial" w:cs="Arial" w:eastAsia="Arial" w:hAnsi="Arial"/>
                <w:sz w:val="16"/>
                <w:szCs w:val="16"/>
                <w:color w:val="auto"/>
              </w:rPr>
              <w:t>40,000,000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4.06%</w:t>
            </w:r>
          </w:p>
        </w:tc>
        <w:tc>
          <w:tcPr>
            <w:tcW w:w="2380" w:type="dxa"/>
            <w:vAlign w:val="bottom"/>
          </w:tcPr>
          <w:p>
            <w:pPr>
              <w:jc w:val="right"/>
              <w:spacing w:after="0"/>
              <w:rPr>
                <w:sz w:val="20"/>
                <w:szCs w:val="20"/>
                <w:color w:val="auto"/>
              </w:rPr>
            </w:pPr>
            <w:r>
              <w:rPr>
                <w:rFonts w:ascii="Arial" w:cs="Arial" w:eastAsia="Arial" w:hAnsi="Arial"/>
                <w:sz w:val="16"/>
                <w:szCs w:val="16"/>
                <w:color w:val="auto"/>
              </w:rPr>
              <w:t>35,000,000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4.07%</w:t>
            </w:r>
          </w:p>
        </w:tc>
        <w:tc>
          <w:tcPr>
            <w:tcW w:w="238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4.09%</w:t>
            </w:r>
          </w:p>
        </w:tc>
        <w:tc>
          <w:tcPr>
            <w:tcW w:w="2380" w:type="dxa"/>
            <w:vAlign w:val="bottom"/>
          </w:tcPr>
          <w:p>
            <w:pPr>
              <w:jc w:val="right"/>
              <w:spacing w:after="0"/>
              <w:rPr>
                <w:sz w:val="20"/>
                <w:szCs w:val="20"/>
                <w:color w:val="auto"/>
              </w:rPr>
            </w:pPr>
            <w:r>
              <w:rPr>
                <w:rFonts w:ascii="Arial" w:cs="Arial" w:eastAsia="Arial" w:hAnsi="Arial"/>
                <w:sz w:val="16"/>
                <w:szCs w:val="16"/>
                <w:color w:val="auto"/>
              </w:rPr>
              <w:t>20,000,000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3.99%</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4.04%</w:t>
            </w:r>
          </w:p>
        </w:tc>
        <w:tc>
          <w:tcPr>
            <w:tcW w:w="2380" w:type="dxa"/>
            <w:vAlign w:val="bottom"/>
          </w:tcPr>
          <w:p>
            <w:pPr>
              <w:jc w:val="right"/>
              <w:spacing w:after="0"/>
              <w:rPr>
                <w:sz w:val="20"/>
                <w:szCs w:val="20"/>
                <w:color w:val="auto"/>
              </w:rPr>
            </w:pPr>
            <w:r>
              <w:rPr>
                <w:rFonts w:ascii="Arial" w:cs="Arial" w:eastAsia="Arial" w:hAnsi="Arial"/>
                <w:sz w:val="16"/>
                <w:szCs w:val="16"/>
                <w:color w:val="auto"/>
              </w:rPr>
              <w:t>10,000,000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4.09%</w:t>
            </w:r>
          </w:p>
        </w:tc>
        <w:tc>
          <w:tcPr>
            <w:tcW w:w="2380" w:type="dxa"/>
            <w:vAlign w:val="bottom"/>
          </w:tcPr>
          <w:p>
            <w:pPr>
              <w:jc w:val="right"/>
              <w:spacing w:after="0"/>
              <w:rPr>
                <w:sz w:val="20"/>
                <w:szCs w:val="20"/>
                <w:color w:val="auto"/>
              </w:rPr>
            </w:pPr>
            <w:r>
              <w:rPr>
                <w:rFonts w:ascii="Arial" w:cs="Arial" w:eastAsia="Arial" w:hAnsi="Arial"/>
                <w:sz w:val="16"/>
                <w:szCs w:val="16"/>
                <w:color w:val="auto"/>
              </w:rPr>
              <w:t>65,000,000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4.44%</w:t>
            </w:r>
          </w:p>
        </w:tc>
        <w:tc>
          <w:tcPr>
            <w:tcW w:w="2380" w:type="dxa"/>
            <w:vAlign w:val="bottom"/>
          </w:tcPr>
          <w:p>
            <w:pPr>
              <w:jc w:val="right"/>
              <w:spacing w:after="0"/>
              <w:rPr>
                <w:sz w:val="20"/>
                <w:szCs w:val="20"/>
                <w:color w:val="auto"/>
              </w:rPr>
            </w:pPr>
            <w:r>
              <w:rPr>
                <w:rFonts w:ascii="Arial" w:cs="Arial" w:eastAsia="Arial" w:hAnsi="Arial"/>
                <w:sz w:val="16"/>
                <w:szCs w:val="16"/>
                <w:color w:val="auto"/>
              </w:rPr>
              <w:t>65,000,000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4.49%</w:t>
            </w:r>
          </w:p>
        </w:tc>
        <w:tc>
          <w:tcPr>
            <w:tcW w:w="2380" w:type="dxa"/>
            <w:vAlign w:val="bottom"/>
          </w:tcPr>
          <w:p>
            <w:pPr>
              <w:jc w:val="right"/>
              <w:spacing w:after="0"/>
              <w:rPr>
                <w:sz w:val="20"/>
                <w:szCs w:val="20"/>
                <w:color w:val="auto"/>
              </w:rPr>
            </w:pPr>
            <w:r>
              <w:rPr>
                <w:rFonts w:ascii="Arial" w:cs="Arial" w:eastAsia="Arial" w:hAnsi="Arial"/>
                <w:sz w:val="16"/>
                <w:szCs w:val="16"/>
                <w:color w:val="auto"/>
              </w:rPr>
              <w:t>35,000,000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4.51%</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4.02%</w:t>
            </w:r>
          </w:p>
        </w:tc>
        <w:tc>
          <w:tcPr>
            <w:tcW w:w="2380" w:type="dxa"/>
            <w:vAlign w:val="bottom"/>
          </w:tcPr>
          <w:p>
            <w:pPr>
              <w:jc w:val="right"/>
              <w:spacing w:after="0"/>
              <w:rPr>
                <w:sz w:val="20"/>
                <w:szCs w:val="20"/>
                <w:color w:val="auto"/>
              </w:rPr>
            </w:pPr>
            <w:r>
              <w:rPr>
                <w:rFonts w:ascii="Arial" w:cs="Arial" w:eastAsia="Arial" w:hAnsi="Arial"/>
                <w:sz w:val="16"/>
                <w:szCs w:val="16"/>
                <w:color w:val="auto"/>
              </w:rPr>
              <w:t>75,000,000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4.07%</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4.12%</w:t>
            </w:r>
          </w:p>
        </w:tc>
        <w:tc>
          <w:tcPr>
            <w:tcW w:w="238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4.09%</w:t>
            </w:r>
          </w:p>
        </w:tc>
        <w:tc>
          <w:tcPr>
            <w:tcW w:w="238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4.13%</w:t>
            </w:r>
          </w:p>
        </w:tc>
        <w:tc>
          <w:tcPr>
            <w:tcW w:w="2380" w:type="dxa"/>
            <w:vAlign w:val="bottom"/>
          </w:tcPr>
          <w:p>
            <w:pPr>
              <w:jc w:val="right"/>
              <w:spacing w:after="0"/>
              <w:rPr>
                <w:sz w:val="20"/>
                <w:szCs w:val="20"/>
                <w:color w:val="auto"/>
              </w:rPr>
            </w:pPr>
            <w:r>
              <w:rPr>
                <w:rFonts w:ascii="Arial" w:cs="Arial" w:eastAsia="Arial" w:hAnsi="Arial"/>
                <w:sz w:val="16"/>
                <w:szCs w:val="16"/>
                <w:color w:val="auto"/>
              </w:rPr>
              <w:t>75,000,000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4.14%</w:t>
            </w:r>
          </w:p>
        </w:tc>
        <w:tc>
          <w:tcPr>
            <w:tcW w:w="238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3.39%</w:t>
            </w:r>
          </w:p>
        </w:tc>
        <w:tc>
          <w:tcPr>
            <w:tcW w:w="2380" w:type="dxa"/>
            <w:vAlign w:val="bottom"/>
          </w:tcPr>
          <w:p>
            <w:pPr>
              <w:jc w:val="right"/>
              <w:spacing w:after="0"/>
              <w:rPr>
                <w:sz w:val="20"/>
                <w:szCs w:val="20"/>
                <w:color w:val="auto"/>
              </w:rPr>
            </w:pPr>
            <w:r>
              <w:rPr>
                <w:rFonts w:ascii="Arial" w:cs="Arial" w:eastAsia="Arial" w:hAnsi="Arial"/>
                <w:sz w:val="16"/>
                <w:szCs w:val="16"/>
                <w:color w:val="auto"/>
              </w:rPr>
              <w:t>75,000,000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3.41%</w:t>
            </w:r>
          </w:p>
        </w:tc>
        <w:tc>
          <w:tcPr>
            <w:tcW w:w="238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230"/>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3.49%</w:t>
            </w:r>
          </w:p>
        </w:tc>
        <w:tc>
          <w:tcPr>
            <w:tcW w:w="2380" w:type="dxa"/>
            <w:vAlign w:val="bottom"/>
          </w:tcPr>
          <w:p>
            <w:pPr>
              <w:jc w:val="right"/>
              <w:spacing w:after="0"/>
              <w:rPr>
                <w:sz w:val="20"/>
                <w:szCs w:val="20"/>
                <w:color w:val="auto"/>
              </w:rPr>
            </w:pPr>
            <w:r>
              <w:rPr>
                <w:rFonts w:ascii="Arial" w:cs="Arial" w:eastAsia="Arial" w:hAnsi="Arial"/>
                <w:sz w:val="16"/>
                <w:szCs w:val="16"/>
                <w:color w:val="auto"/>
              </w:rPr>
              <w:t>75,000,000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3.54%</w:t>
            </w:r>
          </w:p>
        </w:tc>
        <w:tc>
          <w:tcPr>
            <w:tcW w:w="238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252"/>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3.55%</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50,000,000</w:t>
            </w:r>
          </w:p>
        </w:tc>
      </w:tr>
      <w:tr>
        <w:trPr>
          <w:trHeight w:val="202"/>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2.85%</w:t>
            </w:r>
          </w:p>
        </w:tc>
        <w:tc>
          <w:tcPr>
            <w:tcW w:w="238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215"/>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2.89%</w:t>
            </w:r>
          </w:p>
        </w:tc>
        <w:tc>
          <w:tcPr>
            <w:tcW w:w="238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229"/>
        </w:trPr>
        <w:tc>
          <w:tcPr>
            <w:tcW w:w="1840" w:type="dxa"/>
            <w:vAlign w:val="bottom"/>
          </w:tcPr>
          <w:p>
            <w:pPr>
              <w:spacing w:after="0"/>
              <w:rPr>
                <w:sz w:val="20"/>
                <w:szCs w:val="20"/>
                <w:color w:val="auto"/>
              </w:rPr>
            </w:pPr>
            <w:r>
              <w:rPr>
                <w:rFonts w:ascii="Arial" w:cs="Arial" w:eastAsia="Arial" w:hAnsi="Arial"/>
                <w:sz w:val="16"/>
                <w:szCs w:val="16"/>
                <w:color w:val="auto"/>
              </w:rPr>
              <w:t>FMB</w:t>
            </w:r>
          </w:p>
        </w:tc>
        <w:tc>
          <w:tcPr>
            <w:tcW w:w="3340" w:type="dxa"/>
            <w:vAlign w:val="bottom"/>
          </w:tcPr>
          <w:p>
            <w:pPr>
              <w:ind w:left="1480"/>
              <w:spacing w:after="0"/>
              <w:rPr>
                <w:sz w:val="20"/>
                <w:szCs w:val="20"/>
                <w:color w:val="auto"/>
              </w:rPr>
            </w:pPr>
            <w:r>
              <w:rPr>
                <w:rFonts w:ascii="Arial" w:cs="Arial" w:eastAsia="Arial" w:hAnsi="Arial"/>
                <w:sz w:val="16"/>
                <w:szCs w:val="16"/>
                <w:color w:val="auto"/>
              </w:rPr>
              <w:t>2.90%</w:t>
            </w:r>
          </w:p>
        </w:tc>
        <w:tc>
          <w:tcPr>
            <w:tcW w:w="2380" w:type="dxa"/>
            <w:vAlign w:val="bottom"/>
          </w:tcPr>
          <w:p>
            <w:pPr>
              <w:jc w:val="right"/>
              <w:spacing w:after="0"/>
              <w:rPr>
                <w:sz w:val="20"/>
                <w:szCs w:val="20"/>
                <w:color w:val="auto"/>
              </w:rPr>
            </w:pPr>
            <w:r>
              <w:rPr>
                <w:rFonts w:ascii="Arial" w:cs="Arial" w:eastAsia="Arial" w:hAnsi="Arial"/>
                <w:sz w:val="16"/>
                <w:szCs w:val="16"/>
                <w:color w:val="auto"/>
              </w:rPr>
              <w:t>50,000,000</w:t>
            </w:r>
          </w:p>
        </w:tc>
      </w:tr>
      <w:tr>
        <w:trPr>
          <w:trHeight w:val="238"/>
        </w:trPr>
        <w:tc>
          <w:tcPr>
            <w:tcW w:w="18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7" w:name="page108"/>
    <w:bookmarkEnd w:id="107"/>
    <w:tbl>
      <w:tblPr>
        <w:tblLayout w:type="fixed"/>
        <w:tblInd w:w="300" w:type="dxa"/>
        <w:tblCellMar>
          <w:top w:w="0" w:type="dxa"/>
          <w:left w:w="0" w:type="dxa"/>
          <w:bottom w:w="0" w:type="dxa"/>
          <w:right w:w="0" w:type="dxa"/>
        </w:tblCellMar>
      </w:tblPr>
      <w:tr>
        <w:trPr>
          <w:trHeight w:val="223"/>
        </w:trPr>
        <w:tc>
          <w:tcPr>
            <w:tcW w:w="2820" w:type="dxa"/>
            <w:vAlign w:val="bottom"/>
          </w:tcPr>
          <w:p>
            <w:pPr>
              <w:spacing w:after="0"/>
              <w:rPr>
                <w:sz w:val="20"/>
                <w:szCs w:val="20"/>
                <w:color w:val="auto"/>
              </w:rPr>
            </w:pPr>
            <w:r>
              <w:rPr>
                <w:rFonts w:ascii="Arial" w:cs="Arial" w:eastAsia="Arial" w:hAnsi="Arial"/>
                <w:sz w:val="16"/>
                <w:szCs w:val="16"/>
                <w:b w:val="1"/>
                <w:bCs w:val="1"/>
                <w:color w:val="auto"/>
              </w:rPr>
              <w:t>Total First Mortgage Bonds</w:t>
            </w:r>
          </w:p>
        </w:tc>
        <w:tc>
          <w:tcPr>
            <w:tcW w:w="23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1,744,800,000</w:t>
            </w:r>
          </w:p>
        </w:tc>
      </w:tr>
      <w:tr>
        <w:trPr>
          <w:trHeight w:val="230"/>
        </w:trPr>
        <w:tc>
          <w:tcPr>
            <w:tcW w:w="2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6"/>
                <w:szCs w:val="16"/>
                <w:color w:val="auto"/>
              </w:rPr>
              <w:t>PennVest - Aqua PA WW</w:t>
            </w:r>
          </w:p>
        </w:tc>
        <w:tc>
          <w:tcPr>
            <w:tcW w:w="2360" w:type="dxa"/>
            <w:vAlign w:val="bottom"/>
          </w:tcPr>
          <w:p>
            <w:pPr>
              <w:jc w:val="right"/>
              <w:ind w:right="1319"/>
              <w:spacing w:after="0"/>
              <w:rPr>
                <w:sz w:val="20"/>
                <w:szCs w:val="20"/>
                <w:color w:val="auto"/>
              </w:rPr>
            </w:pPr>
            <w:r>
              <w:rPr>
                <w:rFonts w:ascii="Arial" w:cs="Arial" w:eastAsia="Arial" w:hAnsi="Arial"/>
                <w:sz w:val="16"/>
                <w:szCs w:val="16"/>
                <w:color w:val="auto"/>
              </w:rPr>
              <w:t>1.16%</w:t>
            </w:r>
          </w:p>
        </w:tc>
        <w:tc>
          <w:tcPr>
            <w:tcW w:w="2380" w:type="dxa"/>
            <w:vAlign w:val="bottom"/>
          </w:tcPr>
          <w:p>
            <w:pPr>
              <w:jc w:val="right"/>
              <w:spacing w:after="0"/>
              <w:rPr>
                <w:sz w:val="20"/>
                <w:szCs w:val="20"/>
                <w:color w:val="auto"/>
              </w:rPr>
            </w:pPr>
            <w:r>
              <w:rPr>
                <w:rFonts w:ascii="Arial" w:cs="Arial" w:eastAsia="Arial" w:hAnsi="Arial"/>
                <w:sz w:val="16"/>
                <w:szCs w:val="16"/>
                <w:color w:val="auto"/>
              </w:rPr>
              <w:t>129,340</w:t>
            </w:r>
          </w:p>
        </w:tc>
      </w:tr>
      <w:tr>
        <w:trPr>
          <w:trHeight w:val="230"/>
        </w:trPr>
        <w:tc>
          <w:tcPr>
            <w:tcW w:w="2820" w:type="dxa"/>
            <w:vAlign w:val="bottom"/>
          </w:tcPr>
          <w:p>
            <w:pPr>
              <w:spacing w:after="0"/>
              <w:rPr>
                <w:sz w:val="20"/>
                <w:szCs w:val="20"/>
                <w:color w:val="auto"/>
              </w:rPr>
            </w:pPr>
            <w:r>
              <w:rPr>
                <w:rFonts w:ascii="Arial" w:cs="Arial" w:eastAsia="Arial" w:hAnsi="Arial"/>
                <w:sz w:val="16"/>
                <w:szCs w:val="16"/>
                <w:color w:val="auto"/>
              </w:rPr>
              <w:t>PennVest - Aqua PA WW</w:t>
            </w:r>
          </w:p>
        </w:tc>
        <w:tc>
          <w:tcPr>
            <w:tcW w:w="2360" w:type="dxa"/>
            <w:vAlign w:val="bottom"/>
          </w:tcPr>
          <w:p>
            <w:pPr>
              <w:jc w:val="right"/>
              <w:ind w:right="1319"/>
              <w:spacing w:after="0"/>
              <w:rPr>
                <w:sz w:val="20"/>
                <w:szCs w:val="20"/>
                <w:color w:val="auto"/>
              </w:rPr>
            </w:pPr>
            <w:r>
              <w:rPr>
                <w:rFonts w:ascii="Arial" w:cs="Arial" w:eastAsia="Arial" w:hAnsi="Arial"/>
                <w:sz w:val="16"/>
                <w:szCs w:val="16"/>
                <w:color w:val="auto"/>
              </w:rPr>
              <w:t>1.00%</w:t>
            </w:r>
          </w:p>
        </w:tc>
        <w:tc>
          <w:tcPr>
            <w:tcW w:w="2380" w:type="dxa"/>
            <w:vAlign w:val="bottom"/>
          </w:tcPr>
          <w:p>
            <w:pPr>
              <w:jc w:val="right"/>
              <w:spacing w:after="0"/>
              <w:rPr>
                <w:sz w:val="20"/>
                <w:szCs w:val="20"/>
                <w:color w:val="auto"/>
              </w:rPr>
            </w:pPr>
            <w:r>
              <w:rPr>
                <w:rFonts w:ascii="Arial" w:cs="Arial" w:eastAsia="Arial" w:hAnsi="Arial"/>
                <w:sz w:val="16"/>
                <w:szCs w:val="16"/>
                <w:color w:val="auto"/>
              </w:rPr>
              <w:t>408,316</w:t>
            </w:r>
          </w:p>
        </w:tc>
      </w:tr>
      <w:tr>
        <w:trPr>
          <w:trHeight w:val="252"/>
        </w:trPr>
        <w:tc>
          <w:tcPr>
            <w:tcW w:w="2820" w:type="dxa"/>
            <w:vAlign w:val="bottom"/>
          </w:tcPr>
          <w:p>
            <w:pPr>
              <w:spacing w:after="0"/>
              <w:rPr>
                <w:sz w:val="20"/>
                <w:szCs w:val="20"/>
                <w:color w:val="auto"/>
              </w:rPr>
            </w:pPr>
            <w:r>
              <w:rPr>
                <w:rFonts w:ascii="Arial" w:cs="Arial" w:eastAsia="Arial" w:hAnsi="Arial"/>
                <w:sz w:val="16"/>
                <w:szCs w:val="16"/>
                <w:color w:val="auto"/>
              </w:rPr>
              <w:t>PennVest - Aqua PA WW</w:t>
            </w:r>
          </w:p>
        </w:tc>
        <w:tc>
          <w:tcPr>
            <w:tcW w:w="2360" w:type="dxa"/>
            <w:vAlign w:val="bottom"/>
          </w:tcPr>
          <w:p>
            <w:pPr>
              <w:jc w:val="right"/>
              <w:ind w:right="1319"/>
              <w:spacing w:after="0"/>
              <w:rPr>
                <w:sz w:val="20"/>
                <w:szCs w:val="20"/>
                <w:color w:val="auto"/>
              </w:rPr>
            </w:pPr>
            <w:r>
              <w:rPr>
                <w:rFonts w:ascii="Arial" w:cs="Arial" w:eastAsia="Arial" w:hAnsi="Arial"/>
                <w:sz w:val="16"/>
                <w:szCs w:val="16"/>
                <w:color w:val="auto"/>
              </w:rPr>
              <w:t>2.77%</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78,915</w:t>
            </w:r>
          </w:p>
        </w:tc>
      </w:tr>
      <w:tr>
        <w:trPr>
          <w:trHeight w:val="187"/>
        </w:trPr>
        <w:tc>
          <w:tcPr>
            <w:tcW w:w="2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8"/>
        </w:trPr>
        <w:tc>
          <w:tcPr>
            <w:tcW w:w="2820" w:type="dxa"/>
            <w:vAlign w:val="bottom"/>
          </w:tcPr>
          <w:p>
            <w:pPr>
              <w:spacing w:after="0"/>
              <w:rPr>
                <w:sz w:val="20"/>
                <w:szCs w:val="20"/>
                <w:color w:val="auto"/>
              </w:rPr>
            </w:pPr>
            <w:r>
              <w:rPr>
                <w:rFonts w:ascii="Arial" w:cs="Arial" w:eastAsia="Arial" w:hAnsi="Arial"/>
                <w:sz w:val="16"/>
                <w:szCs w:val="16"/>
                <w:b w:val="1"/>
                <w:bCs w:val="1"/>
                <w:color w:val="auto"/>
              </w:rPr>
              <w:t>Total PennVest LWW</w:t>
            </w:r>
          </w:p>
        </w:tc>
        <w:tc>
          <w:tcPr>
            <w:tcW w:w="236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616,571</w:t>
            </w:r>
          </w:p>
        </w:tc>
      </w:tr>
      <w:tr>
        <w:trPr>
          <w:trHeight w:val="229"/>
        </w:trPr>
        <w:tc>
          <w:tcPr>
            <w:tcW w:w="2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2"/>
        </w:trPr>
        <w:tc>
          <w:tcPr>
            <w:tcW w:w="2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52"/>
        </w:trPr>
        <w:tc>
          <w:tcPr>
            <w:tcW w:w="2820" w:type="dxa"/>
            <w:vAlign w:val="bottom"/>
          </w:tcPr>
          <w:p>
            <w:pPr>
              <w:spacing w:after="0"/>
              <w:rPr>
                <w:sz w:val="20"/>
                <w:szCs w:val="20"/>
                <w:color w:val="auto"/>
              </w:rPr>
            </w:pPr>
            <w:r>
              <w:rPr>
                <w:rFonts w:ascii="Arial" w:cs="Arial" w:eastAsia="Arial" w:hAnsi="Arial"/>
                <w:sz w:val="16"/>
                <w:szCs w:val="16"/>
                <w:b w:val="1"/>
                <w:bCs w:val="1"/>
                <w:color w:val="auto"/>
              </w:rPr>
              <w:t>Total Long Term Debt</w:t>
            </w:r>
          </w:p>
        </w:tc>
        <w:tc>
          <w:tcPr>
            <w:tcW w:w="2360" w:type="dxa"/>
            <w:vAlign w:val="bottom"/>
          </w:tcPr>
          <w:p>
            <w:pPr>
              <w:spacing w:after="0"/>
              <w:rPr>
                <w:sz w:val="21"/>
                <w:szCs w:val="21"/>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$1,812,809,861</w:t>
            </w:r>
          </w:p>
        </w:tc>
      </w:tr>
      <w:tr>
        <w:trPr>
          <w:trHeight w:val="195"/>
        </w:trPr>
        <w:tc>
          <w:tcPr>
            <w:tcW w:w="2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44"/>
        </w:trPr>
        <w:tc>
          <w:tcPr>
            <w:tcW w:w="2820" w:type="dxa"/>
            <w:vAlign w:val="bottom"/>
          </w:tcPr>
          <w:p>
            <w:pPr>
              <w:spacing w:after="0"/>
              <w:rPr>
                <w:sz w:val="20"/>
                <w:szCs w:val="20"/>
                <w:color w:val="auto"/>
              </w:rPr>
            </w:pPr>
            <w:r>
              <w:rPr>
                <w:rFonts w:ascii="Arial" w:cs="Arial" w:eastAsia="Arial" w:hAnsi="Arial"/>
                <w:sz w:val="16"/>
                <w:szCs w:val="16"/>
                <w:b w:val="1"/>
                <w:bCs w:val="1"/>
                <w:color w:val="auto"/>
              </w:rPr>
              <w:t>PNC Revolver</w:t>
            </w:r>
          </w:p>
        </w:tc>
        <w:tc>
          <w:tcPr>
            <w:tcW w:w="2360" w:type="dxa"/>
            <w:vAlign w:val="bottom"/>
          </w:tcPr>
          <w:p>
            <w:pPr>
              <w:spacing w:after="0"/>
              <w:rPr>
                <w:sz w:val="21"/>
                <w:szCs w:val="21"/>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4,702,686</w:t>
            </w:r>
          </w:p>
        </w:tc>
      </w:tr>
      <w:tr>
        <w:trPr>
          <w:trHeight w:val="195"/>
        </w:trPr>
        <w:tc>
          <w:tcPr>
            <w:tcW w:w="2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44"/>
        </w:trPr>
        <w:tc>
          <w:tcPr>
            <w:tcW w:w="2820" w:type="dxa"/>
            <w:vAlign w:val="bottom"/>
          </w:tcPr>
          <w:p>
            <w:pPr>
              <w:spacing w:after="0"/>
              <w:rPr>
                <w:sz w:val="20"/>
                <w:szCs w:val="20"/>
                <w:color w:val="auto"/>
              </w:rPr>
            </w:pPr>
            <w:r>
              <w:rPr>
                <w:rFonts w:ascii="Arial" w:cs="Arial" w:eastAsia="Arial" w:hAnsi="Arial"/>
                <w:sz w:val="16"/>
                <w:szCs w:val="16"/>
                <w:b w:val="1"/>
                <w:bCs w:val="1"/>
                <w:color w:val="auto"/>
              </w:rPr>
              <w:t>Total Debt Aqua Pennsylvania</w:t>
            </w:r>
          </w:p>
        </w:tc>
        <w:tc>
          <w:tcPr>
            <w:tcW w:w="2360" w:type="dxa"/>
            <w:vAlign w:val="bottom"/>
          </w:tcPr>
          <w:p>
            <w:pPr>
              <w:spacing w:after="0"/>
              <w:rPr>
                <w:sz w:val="21"/>
                <w:szCs w:val="21"/>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$1,817,512,547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552894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5.15(b)</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Aqua Pennsylvania,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Debt Issuance Limitations</w:t>
      </w:r>
    </w:p>
    <w:p>
      <w:pPr>
        <w:spacing w:after="0" w:line="200" w:lineRule="exact"/>
        <w:rPr>
          <w:sz w:val="20"/>
          <w:szCs w:val="20"/>
          <w:color w:val="auto"/>
        </w:rPr>
      </w:pPr>
    </w:p>
    <w:p>
      <w:pPr>
        <w:spacing w:after="0" w:line="266" w:lineRule="exact"/>
        <w:rPr>
          <w:sz w:val="20"/>
          <w:szCs w:val="20"/>
          <w:color w:val="auto"/>
        </w:rPr>
      </w:pPr>
    </w:p>
    <w:p>
      <w:pPr>
        <w:ind w:left="180" w:right="539"/>
        <w:spacing w:after="0" w:line="258" w:lineRule="auto"/>
        <w:rPr>
          <w:sz w:val="20"/>
          <w:szCs w:val="20"/>
          <w:color w:val="auto"/>
        </w:rPr>
      </w:pPr>
      <w:r>
        <w:rPr>
          <w:rFonts w:ascii="Times New Roman" w:cs="Times New Roman" w:eastAsia="Times New Roman" w:hAnsi="Times New Roman"/>
          <w:sz w:val="22"/>
          <w:szCs w:val="22"/>
          <w:color w:val="auto"/>
        </w:rPr>
        <w:t>Indenture of Mortgage dated as of January 1, 1941 of Aqua Pennsylvania, Inc. as Supplemented and Amended</w:t>
      </w:r>
    </w:p>
    <w:p>
      <w:pPr>
        <w:spacing w:after="0" w:line="212" w:lineRule="exact"/>
        <w:rPr>
          <w:sz w:val="20"/>
          <w:szCs w:val="20"/>
          <w:color w:val="auto"/>
        </w:rPr>
      </w:pPr>
    </w:p>
    <w:p>
      <w:pPr>
        <w:ind w:left="180" w:right="419"/>
        <w:spacing w:after="0" w:line="258" w:lineRule="auto"/>
        <w:rPr>
          <w:sz w:val="20"/>
          <w:szCs w:val="20"/>
          <w:color w:val="auto"/>
        </w:rPr>
      </w:pPr>
      <w:r>
        <w:rPr>
          <w:rFonts w:ascii="Times New Roman" w:cs="Times New Roman" w:eastAsia="Times New Roman" w:hAnsi="Times New Roman"/>
          <w:sz w:val="22"/>
          <w:szCs w:val="22"/>
          <w:color w:val="auto"/>
        </w:rPr>
        <w:t>$100 million Amended and Restated Credit Agreement among Aqua Pennsylvania, Inc. and PNC Bank, National Association as Agent dated as of November 17, 2016, as amended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Aqua Pennsylvania, Inc. $40,000,000 5.95% Senior Notes dated March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5.15(b)</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109" w:name="page110"/>
    <w:bookmarkEnd w:id="109"/>
    <w:p>
      <w:pPr>
        <w:ind w:left="3160"/>
        <w:spacing w:after="0"/>
        <w:rPr>
          <w:sz w:val="20"/>
          <w:szCs w:val="20"/>
          <w:color w:val="auto"/>
        </w:rPr>
      </w:pPr>
      <w:r>
        <w:rPr>
          <w:rFonts w:ascii="Times New Roman" w:cs="Times New Roman" w:eastAsia="Times New Roman" w:hAnsi="Times New Roman"/>
          <w:sz w:val="22"/>
          <w:szCs w:val="22"/>
          <w:b w:val="1"/>
          <w:bCs w:val="1"/>
          <w:color w:val="auto"/>
        </w:rPr>
        <w:t>Form of Supplement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Attached Sixtieth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Opinion of General Counsel</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the Company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4.4(a)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51435</wp:posOffset>
            </wp:positionV>
            <wp:extent cx="552894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1"/>
          <w:szCs w:val="21"/>
          <w:b w:val="1"/>
          <w:bCs w:val="1"/>
          <w:color w:val="auto"/>
        </w:rPr>
        <w:t>Form of Opinion of Special Counsel</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Company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4.4(b)</w:t>
      </w:r>
    </w:p>
    <w:p>
      <w:pPr>
        <w:jc w:val="center"/>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43180</wp:posOffset>
            </wp:positionV>
            <wp:extent cx="552894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1"/>
          <w:szCs w:val="21"/>
          <w:b w:val="1"/>
          <w:bCs w:val="1"/>
          <w:color w:val="auto"/>
        </w:rPr>
        <w:t>Form of Opinion of Special Counsel</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Purchasers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[Delivered to Purchasers only]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4.4(c)</w:t>
      </w:r>
    </w:p>
    <w:p>
      <w:pPr>
        <w:jc w:val="center"/>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43180</wp:posOffset>
            </wp:positionV>
            <wp:extent cx="552894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2"/>
          <w:szCs w:val="22"/>
          <w:color w:val="auto"/>
        </w:rPr>
        <w:t>[FORM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U.S. TAX COMPLIANCE CERTIFICATE</w:t>
      </w:r>
    </w:p>
    <w:p>
      <w:pPr>
        <w:spacing w:after="0" w:line="200" w:lineRule="exact"/>
        <w:rPr>
          <w:sz w:val="20"/>
          <w:szCs w:val="20"/>
          <w:color w:val="auto"/>
        </w:rPr>
      </w:pPr>
    </w:p>
    <w:p>
      <w:pPr>
        <w:spacing w:after="0" w:line="253"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Reference is hereby made to the Bond Purchase Agreement dated as of September 19, 2022 (as amended, supplemented or otherwise modified from time to time, the </w:t>
      </w:r>
      <w:r>
        <w:rPr>
          <w:rFonts w:ascii="Times New Roman" w:cs="Times New Roman" w:eastAsia="Times New Roman" w:hAnsi="Times New Roman"/>
          <w:sz w:val="22"/>
          <w:szCs w:val="22"/>
          <w:i w:val="1"/>
          <w:iCs w:val="1"/>
          <w:color w:val="auto"/>
        </w:rPr>
        <w:t>“Bond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Aqua Pennsylvania, Inc., a corporation organized under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Commonwealth of Pennsylvania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the Purchasers that are signatories thereto.</w:t>
      </w:r>
    </w:p>
    <w:p>
      <w:pPr>
        <w:spacing w:after="0" w:line="72"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herein, capitalized terms defined in the Bond Purchase Agreement and used herein have the meanings given to them in the Bond Purchase Agreement.</w:t>
      </w:r>
    </w:p>
    <w:p>
      <w:pPr>
        <w:spacing w:after="0" w:line="50"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Pursuant to the provisions of Section 12.4 (Tax Withholding) of the Bond Purchase Agreement, the undersigned hereby certifies that:</w:t>
      </w:r>
    </w:p>
    <w:p>
      <w:pPr>
        <w:spacing w:after="0" w:line="50" w:lineRule="exact"/>
        <w:rPr>
          <w:sz w:val="20"/>
          <w:szCs w:val="20"/>
          <w:color w:val="auto"/>
        </w:rPr>
      </w:pPr>
    </w:p>
    <w:p>
      <w:pPr>
        <w:ind w:left="1480" w:right="199" w:hanging="648"/>
        <w:spacing w:after="0" w:line="258" w:lineRule="auto"/>
        <w:tabs>
          <w:tab w:leader="none" w:pos="14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sole record and beneficial owner of the Bonds in respect of which it is providing this certificate;</w:t>
      </w:r>
    </w:p>
    <w:p>
      <w:pPr>
        <w:spacing w:after="0" w:line="50"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bank within the meaning of Section 881(c)(3)(A) of the Code;</w:t>
      </w:r>
    </w:p>
    <w:p>
      <w:pPr>
        <w:spacing w:after="0" w:line="98" w:lineRule="exact"/>
        <w:rPr>
          <w:rFonts w:ascii="Times New Roman" w:cs="Times New Roman" w:eastAsia="Times New Roman" w:hAnsi="Times New Roman"/>
          <w:sz w:val="22"/>
          <w:szCs w:val="22"/>
          <w:color w:val="auto"/>
        </w:rPr>
      </w:pPr>
    </w:p>
    <w:p>
      <w:pPr>
        <w:ind w:left="1480" w:right="199" w:hanging="648"/>
        <w:spacing w:after="0" w:line="258" w:lineRule="auto"/>
        <w:tabs>
          <w:tab w:leader="none" w:pos="1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ten percent shareholder of the Company within the meaning of Section 871(h)(3)(B) of the Code; and</w:t>
      </w:r>
    </w:p>
    <w:p>
      <w:pPr>
        <w:spacing w:after="0" w:line="50" w:lineRule="exact"/>
        <w:rPr>
          <w:rFonts w:ascii="Times New Roman" w:cs="Times New Roman" w:eastAsia="Times New Roman" w:hAnsi="Times New Roman"/>
          <w:sz w:val="22"/>
          <w:szCs w:val="22"/>
          <w:color w:val="auto"/>
        </w:rPr>
      </w:pPr>
    </w:p>
    <w:p>
      <w:pPr>
        <w:ind w:left="1480" w:right="199" w:hanging="648"/>
        <w:spacing w:after="0" w:line="258" w:lineRule="auto"/>
        <w:tabs>
          <w:tab w:leader="none" w:pos="152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controlled foreign corporation related to the Company as described in Section 881(c)(3)(C) of the Code.</w:t>
      </w:r>
    </w:p>
    <w:p>
      <w:pPr>
        <w:spacing w:after="0" w:line="50" w:lineRule="exact"/>
        <w:rPr>
          <w:sz w:val="20"/>
          <w:szCs w:val="20"/>
          <w:color w:val="auto"/>
        </w:rPr>
      </w:pPr>
    </w:p>
    <w:p>
      <w:pPr>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The undersigned has furnished the Company with a certificate of its non-U.S. Person status on IRS W-8BEN-E.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[Purchaser Name]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___________________________________</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Name:</w:t>
      </w:r>
    </w:p>
    <w:p>
      <w:pPr>
        <w:ind w:left="30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 ________ __, 20[__]</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12.4</w:t>
      </w: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43180</wp:posOffset>
            </wp:positionV>
            <wp:extent cx="552894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4" w:name="page115"/>
    <w:bookmarkEnd w:id="114"/>
    <w:p>
      <w:pPr>
        <w:ind w:left="890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351905" cy="51435"/>
                    </a:xfrm>
                    <a:prstGeom prst="rect">
                      <a:avLst/>
                    </a:prstGeom>
                    <a:noFill/>
                  </pic:spPr>
                </pic:pic>
              </a:graphicData>
            </a:graphic>
          </wp:anchor>
        </w:drawing>
        <w:t>Exhibit 31.1</w:t>
      </w:r>
    </w:p>
    <w:p>
      <w:pPr>
        <w:spacing w:after="0" w:line="14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0" w:lineRule="exact"/>
        <w:rPr>
          <w:sz w:val="20"/>
          <w:szCs w:val="20"/>
          <w:color w:val="auto"/>
        </w:rPr>
      </w:pPr>
    </w:p>
    <w:p>
      <w:pPr>
        <w:ind w:left="324" w:hanging="324"/>
        <w:spacing w:after="0"/>
        <w:tabs>
          <w:tab w:leader="none" w:pos="32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180" w:hanging="324"/>
        <w:spacing w:after="0" w:line="206" w:lineRule="auto"/>
        <w:tabs>
          <w:tab w:leader="none" w:pos="32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00" w:hanging="324"/>
        <w:spacing w:after="0" w:line="206" w:lineRule="auto"/>
        <w:tabs>
          <w:tab w:leader="none" w:pos="32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hanging="320"/>
        <w:spacing w:after="0" w:line="207" w:lineRule="auto"/>
        <w:tabs>
          <w:tab w:leader="none" w:pos="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60" w:hanging="320"/>
        <w:spacing w:after="0" w:line="207" w:lineRule="auto"/>
        <w:tabs>
          <w:tab w:leader="none" w:pos="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00" w:hanging="320"/>
        <w:spacing w:after="0" w:line="206" w:lineRule="auto"/>
        <w:tabs>
          <w:tab w:leader="none" w:pos="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40" w:hanging="320"/>
        <w:spacing w:after="0" w:line="207" w:lineRule="auto"/>
        <w:tabs>
          <w:tab w:leader="none" w:pos="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40" w:hanging="324"/>
        <w:spacing w:after="0" w:line="206" w:lineRule="auto"/>
        <w:tabs>
          <w:tab w:leader="none" w:pos="32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00" w:hanging="320"/>
        <w:spacing w:after="0" w:line="206" w:lineRule="auto"/>
        <w:tabs>
          <w:tab w:leader="none" w:pos="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80" w:hanging="320"/>
        <w:spacing w:after="0" w:line="221" w:lineRule="auto"/>
        <w:tabs>
          <w:tab w:leader="none" w:pos="6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4"/>
        <w:spacing w:after="0" w:line="193" w:lineRule="auto"/>
        <w:rPr>
          <w:sz w:val="20"/>
          <w:szCs w:val="20"/>
          <w:color w:val="auto"/>
        </w:rPr>
      </w:pPr>
      <w:r>
        <w:rPr>
          <w:rFonts w:ascii="Times New Roman" w:cs="Times New Roman" w:eastAsia="Times New Roman" w:hAnsi="Times New Roman"/>
          <w:sz w:val="19"/>
          <w:szCs w:val="19"/>
          <w:color w:val="auto"/>
        </w:rPr>
        <w:t>November 9, 2022</w:t>
      </w:r>
    </w:p>
    <w:p>
      <w:pPr>
        <w:sectPr>
          <w:pgSz w:w="11900" w:h="16838" w:orient="portrait"/>
          <w:cols w:equalWidth="0" w:num="1">
            <w:col w:w="9924"/>
          </w:cols>
          <w:pgMar w:left="976" w:top="75" w:right="99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5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0" w:lineRule="exact"/>
        <w:rPr>
          <w:sz w:val="20"/>
          <w:szCs w:val="20"/>
          <w:color w:val="auto"/>
        </w:rPr>
      </w:pPr>
    </w:p>
    <w:p>
      <w:pPr>
        <w:ind w:left="324" w:hanging="324"/>
        <w:spacing w:after="0"/>
        <w:tabs>
          <w:tab w:leader="none" w:pos="32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200" w:hanging="324"/>
        <w:spacing w:after="0" w:line="206" w:lineRule="auto"/>
        <w:tabs>
          <w:tab w:leader="none" w:pos="32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20" w:hanging="324"/>
        <w:spacing w:after="0" w:line="206" w:lineRule="auto"/>
        <w:tabs>
          <w:tab w:leader="none" w:pos="32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right="20" w:hanging="320"/>
        <w:spacing w:after="0" w:line="207" w:lineRule="auto"/>
        <w:tabs>
          <w:tab w:leader="none" w:pos="6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80" w:hanging="320"/>
        <w:spacing w:after="0" w:line="207" w:lineRule="auto"/>
        <w:tabs>
          <w:tab w:leader="none" w:pos="6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20" w:hanging="320"/>
        <w:spacing w:after="0" w:line="206" w:lineRule="auto"/>
        <w:tabs>
          <w:tab w:leader="none" w:pos="6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60" w:hanging="320"/>
        <w:spacing w:after="0" w:line="207" w:lineRule="auto"/>
        <w:tabs>
          <w:tab w:leader="none" w:pos="6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60" w:hanging="324"/>
        <w:spacing w:after="0" w:line="206" w:lineRule="auto"/>
        <w:tabs>
          <w:tab w:leader="none" w:pos="32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20" w:hanging="320"/>
        <w:spacing w:after="0" w:line="206" w:lineRule="auto"/>
        <w:tabs>
          <w:tab w:leader="none" w:pos="6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100" w:hanging="320"/>
        <w:spacing w:after="0" w:line="221" w:lineRule="auto"/>
        <w:tabs>
          <w:tab w:leader="none" w:pos="6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right="60"/>
        <w:spacing w:after="0" w:line="184"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September 30, 2022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45" w:lineRule="exact"/>
        <w:rPr>
          <w:sz w:val="20"/>
          <w:szCs w:val="20"/>
          <w:color w:val="auto"/>
        </w:rPr>
      </w:pPr>
    </w:p>
    <w:p>
      <w:pPr>
        <w:ind w:left="324" w:right="220" w:hanging="324"/>
        <w:spacing w:after="0" w:line="210" w:lineRule="auto"/>
        <w:tabs>
          <w:tab w:leader="none" w:pos="32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70" w:lineRule="exact"/>
        <w:rPr>
          <w:rFonts w:ascii="Times New Roman" w:cs="Times New Roman" w:eastAsia="Times New Roman" w:hAnsi="Times New Roman"/>
          <w:sz w:val="22"/>
          <w:szCs w:val="22"/>
          <w:color w:val="auto"/>
        </w:rPr>
      </w:pPr>
    </w:p>
    <w:p>
      <w:pPr>
        <w:ind w:left="324" w:right="320" w:hanging="324"/>
        <w:spacing w:after="0" w:line="217" w:lineRule="auto"/>
        <w:tabs>
          <w:tab w:leader="none" w:pos="32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1" w:right="10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right="320"/>
        <w:spacing w:after="0" w:line="197" w:lineRule="auto"/>
        <w:rPr>
          <w:sz w:val="20"/>
          <w:szCs w:val="20"/>
          <w:color w:val="auto"/>
        </w:rPr>
      </w:pPr>
      <w:r>
        <w:rPr>
          <w:rFonts w:ascii="Times New Roman" w:cs="Times New Roman" w:eastAsia="Times New Roman" w:hAnsi="Times New Roman"/>
          <w:sz w:val="21"/>
          <w:szCs w:val="21"/>
          <w:color w:val="auto"/>
        </w:rPr>
        <w:t>In connection with the Quarterly Report on Form 10-Q for the period ended September 30, 2022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20" w:hanging="324"/>
        <w:spacing w:after="0" w:line="217" w:lineRule="auto"/>
        <w:tabs>
          <w:tab w:leader="none" w:pos="32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20" w:hanging="324"/>
        <w:spacing w:after="0" w:line="210" w:lineRule="auto"/>
        <w:tabs>
          <w:tab w:leader="none" w:pos="32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84"/>
      </w:cols>
      <w:pgMar w:left="976" w:top="71"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Letter"/>
      <w:start w:val="1"/>
    </w:lvl>
  </w:abstractNum>
  <w:abstractNum w:abstractNumId="2">
    <w:nsid w:val="419AC241"/>
    <w:multiLevelType w:val="hybridMultilevel"/>
    <w:lvl w:ilvl="0">
      <w:lvlJc w:val="left"/>
      <w:lvlText w:val=" "/>
      <w:numFmt w:val="bullet"/>
      <w:start w:val="1"/>
    </w:lvl>
  </w:abstractNum>
  <w:abstractNum w:abstractNumId="3">
    <w:nsid w:val="5577F8E1"/>
    <w:multiLevelType w:val="hybridMultilevel"/>
    <w:lvl w:ilvl="0">
      <w:lvlJc w:val="left"/>
      <w:lvlText w:val=" "/>
      <w:numFmt w:val="bullet"/>
      <w:start w:val="1"/>
    </w:lvl>
  </w:abstractNum>
  <w:abstractNum w:abstractNumId="4">
    <w:nsid w:val="440BADFC"/>
    <w:multiLevelType w:val="hybridMultilevel"/>
    <w:lvl w:ilvl="0">
      <w:lvlJc w:val="left"/>
      <w:lvlText w:val=" "/>
      <w:numFmt w:val="bullet"/>
      <w:start w:val="1"/>
    </w:lvl>
  </w:abstractNum>
  <w:abstractNum w:abstractNumId="5">
    <w:nsid w:val="5072367"/>
    <w:multiLevelType w:val="hybridMultilevel"/>
    <w:lvl w:ilvl="0">
      <w:lvlJc w:val="left"/>
      <w:lvlText w:val=" "/>
      <w:numFmt w:val="bullet"/>
      <w:start w:val="1"/>
    </w:lvl>
  </w:abstractNum>
  <w:abstractNum w:abstractNumId="6">
    <w:nsid w:val="3804823E"/>
    <w:multiLevelType w:val="hybridMultilevel"/>
    <w:lvl w:ilvl="0">
      <w:lvlJc w:val="left"/>
      <w:lvlText w:val=" "/>
      <w:numFmt w:val="bullet"/>
      <w:start w:val="1"/>
    </w:lvl>
  </w:abstractNum>
  <w:abstractNum w:abstractNumId="7">
    <w:nsid w:val="77465F01"/>
    <w:multiLevelType w:val="hybridMultilevel"/>
    <w:lvl w:ilvl="0">
      <w:lvlJc w:val="left"/>
      <w:lvlText w:val=" "/>
      <w:numFmt w:val="bullet"/>
      <w:start w:val="1"/>
    </w:lvl>
  </w:abstractNum>
  <w:abstractNum w:abstractNumId="8">
    <w:nsid w:val="7724C67E"/>
    <w:multiLevelType w:val="hybridMultilevel"/>
    <w:lvl w:ilvl="0">
      <w:lvlJc w:val="left"/>
      <w:lvlText w:val=" "/>
      <w:numFmt w:val="bullet"/>
      <w:start w:val="1"/>
    </w:lvl>
  </w:abstractNum>
  <w:abstractNum w:abstractNumId="9">
    <w:nsid w:val="5C482A97"/>
    <w:multiLevelType w:val="hybridMultilevel"/>
    <w:lvl w:ilvl="0">
      <w:lvlJc w:val="left"/>
      <w:lvlText w:val=" "/>
      <w:numFmt w:val="bullet"/>
      <w:start w:val="1"/>
    </w:lvl>
  </w:abstractNum>
  <w:abstractNum w:abstractNumId="10">
    <w:nsid w:val="2463B9EA"/>
    <w:multiLevelType w:val="hybridMultilevel"/>
    <w:lvl w:ilvl="0">
      <w:lvlJc w:val="left"/>
      <w:lvlText w:val=" "/>
      <w:numFmt w:val="bullet"/>
      <w:start w:val="1"/>
    </w:lvl>
  </w:abstractNum>
  <w:abstractNum w:abstractNumId="11">
    <w:nsid w:val="5E884ADC"/>
    <w:multiLevelType w:val="hybridMultilevel"/>
    <w:lvl w:ilvl="0">
      <w:lvlJc w:val="left"/>
      <w:lvlText w:val=" "/>
      <w:numFmt w:val="bullet"/>
      <w:start w:val="1"/>
    </w:lvl>
  </w:abstractNum>
  <w:abstractNum w:abstractNumId="12">
    <w:nsid w:val="51EAD36B"/>
    <w:multiLevelType w:val="hybridMultilevel"/>
    <w:lvl w:ilvl="0">
      <w:lvlJc w:val="left"/>
      <w:lvlText w:val=" "/>
      <w:numFmt w:val="bullet"/>
      <w:start w:val="1"/>
    </w:lvl>
  </w:abstractNum>
  <w:abstractNum w:abstractNumId="13">
    <w:nsid w:val="2D517796"/>
    <w:multiLevelType w:val="hybridMultilevel"/>
    <w:lvl w:ilvl="0">
      <w:lvlJc w:val="left"/>
      <w:lvlText w:val=" "/>
      <w:numFmt w:val="bullet"/>
      <w:start w:val="1"/>
    </w:lvl>
  </w:abstractNum>
  <w:abstractNum w:abstractNumId="14">
    <w:nsid w:val="580BD78F"/>
    <w:multiLevelType w:val="hybridMultilevel"/>
    <w:lvl w:ilvl="0">
      <w:lvlJc w:val="left"/>
      <w:lvlText w:val=" "/>
      <w:numFmt w:val="bullet"/>
      <w:start w:val="1"/>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lowerLetter"/>
      <w:start w:val="2"/>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lowerLetter"/>
      <w:start w:val="1"/>
    </w:lvl>
    <w:lvl w:ilvl="1">
      <w:lvlJc w:val="left"/>
      <w:lvlText w:val="(%2)"/>
      <w:numFmt w:val="lowerLetter"/>
      <w:start w:val="1"/>
    </w:lvl>
  </w:abstractNum>
  <w:abstractNum w:abstractNumId="19">
    <w:nsid w:val="2A487CB0"/>
    <w:multiLevelType w:val="hybridMultilevel"/>
    <w:lvl w:ilvl="0">
      <w:lvlJc w:val="left"/>
      <w:lvlText w:val="(%1)"/>
      <w:numFmt w:val="lowerLetter"/>
      <w:start w:val="9"/>
    </w:lvl>
    <w:lvl w:ilvl="1">
      <w:lvlJc w:val="left"/>
      <w:lvlText w:val="%2"/>
      <w:numFmt w:val="lowerLetter"/>
      <w:start w:val="1"/>
    </w:lvl>
  </w:abstractNum>
  <w:abstractNum w:abstractNumId="20">
    <w:nsid w:val="1D4ED43B"/>
    <w:multiLevelType w:val="hybridMultilevel"/>
    <w:lvl w:ilvl="0">
      <w:lvlJc w:val="left"/>
      <w:lvlText w:val="(%1)"/>
      <w:numFmt w:val="lowerLetter"/>
      <w:start w:val="2"/>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1)"/>
      <w:numFmt w:val="lowerLetter"/>
      <w:start w:val="1"/>
    </w:lvl>
    <w:lvl w:ilvl="1">
      <w:lvlJc w:val="left"/>
      <w:lvlText w:val="(%2)"/>
      <w:numFmt w:val="lowerLetter"/>
      <w:start w:val="2"/>
    </w:lvl>
  </w:abstractNum>
  <w:abstractNum w:abstractNumId="23">
    <w:nsid w:val="57E4CCAF"/>
    <w:multiLevelType w:val="hybridMultilevel"/>
    <w:lvl w:ilvl="0">
      <w:lvlJc w:val="left"/>
      <w:lvlText w:val="(%1)"/>
      <w:numFmt w:val="lowerLetter"/>
      <w:start w:val="2"/>
    </w:lvl>
  </w:abstractNum>
  <w:abstractNum w:abstractNumId="24">
    <w:nsid w:val="7A6D8D3C"/>
    <w:multiLevelType w:val="hybridMultilevel"/>
    <w:lvl w:ilvl="0">
      <w:lvlJc w:val="left"/>
      <w:lvlText w:val="(%1)"/>
      <w:numFmt w:val="lowerLetter"/>
      <w:start w:val="2"/>
    </w:lvl>
  </w:abstractNum>
  <w:abstractNum w:abstractNumId="25">
    <w:nsid w:val="4B588F54"/>
    <w:multiLevelType w:val="hybridMultilevel"/>
    <w:lvl w:ilvl="0">
      <w:lvlJc w:val="left"/>
      <w:lvlText w:val="(%1)"/>
      <w:numFmt w:val="lowerLetter"/>
      <w:start w:val="5"/>
    </w:lvl>
  </w:abstractNum>
  <w:abstractNum w:abstractNumId="26">
    <w:nsid w:val="542289EC"/>
    <w:multiLevelType w:val="hybridMultilevel"/>
    <w:lvl w:ilvl="0">
      <w:lvlJc w:val="left"/>
      <w:lvlText w:val="(%1)"/>
      <w:numFmt w:val="lowerLetter"/>
      <w:start w:val="2"/>
    </w:lvl>
  </w:abstractNum>
  <w:abstractNum w:abstractNumId="27">
    <w:nsid w:val="6DE91B1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8">
    <w:nsid w:val="38437FDB"/>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2"/>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Letter"/>
      <w:start w:val="1"/>
    </w:lvl>
    <w:lvl w:ilvl="1">
      <w:lvlJc w:val="left"/>
      <w:lvlText w:val="(%2)"/>
      <w:numFmt w:val="lowerLetter"/>
      <w:start w:val="3"/>
    </w:lvl>
  </w:abstractNum>
  <w:abstractNum w:abstractNumId="32">
    <w:nsid w:val="579478FE"/>
    <w:multiLevelType w:val="hybridMultilevel"/>
    <w:lvl w:ilvl="0">
      <w:lvlJc w:val="left"/>
      <w:lvlText w:val="(%1)"/>
      <w:numFmt w:val="lowerLetter"/>
      <w:start w:val="9"/>
    </w:lvl>
    <w:lvl w:ilvl="1">
      <w:lvlJc w:val="left"/>
      <w:lvlText w:val="(%2)"/>
      <w:numFmt w:val="lowerLetter"/>
      <w:start w:val="6"/>
    </w:lvl>
  </w:abstractNum>
  <w:abstractNum w:abstractNumId="33">
    <w:nsid w:val="749ABB43"/>
    <w:multiLevelType w:val="hybridMultilevel"/>
    <w:lvl w:ilvl="0">
      <w:lvlJc w:val="left"/>
      <w:lvlText w:val="(%1)"/>
      <w:numFmt w:val="lowerLetter"/>
      <w:start w:val="1"/>
    </w:lvl>
    <w:lvl w:ilvl="1">
      <w:lvlJc w:val="left"/>
      <w:lvlText w:val="(%2)"/>
      <w:numFmt w:val="lowerLetter"/>
      <w:start w:val="9"/>
    </w:lvl>
  </w:abstractNum>
  <w:abstractNum w:abstractNumId="34">
    <w:nsid w:val="3DC240FB"/>
    <w:multiLevelType w:val="hybridMultilevel"/>
    <w:lvl w:ilvl="0">
      <w:lvlJc w:val="left"/>
      <w:lvlText w:val="(%1)"/>
      <w:numFmt w:val="lowerRoman"/>
      <w:start w:val="2"/>
    </w:lvl>
  </w:abstractNum>
  <w:abstractNum w:abstractNumId="35">
    <w:nsid w:val="1BA026FA"/>
    <w:multiLevelType w:val="hybridMultilevel"/>
    <w:lvl w:ilvl="0">
      <w:lvlJc w:val="left"/>
      <w:lvlText w:val="(%1)"/>
      <w:numFmt w:val="lowerLetter"/>
      <w:start w:val="2"/>
    </w:lvl>
    <w:lvl w:ilvl="1">
      <w:lvlJc w:val="left"/>
      <w:lvlText w:val="(%2)"/>
      <w:numFmt w:val="lowerLetter"/>
      <w:start w:val="9"/>
    </w:lvl>
  </w:abstractNum>
  <w:abstractNum w:abstractNumId="36">
    <w:nsid w:val="79A1DEAA"/>
    <w:multiLevelType w:val="hybridMultilevel"/>
    <w:lvl w:ilvl="0">
      <w:lvlJc w:val="left"/>
      <w:lvlText w:val="(%1)"/>
      <w:numFmt w:val="lowerRoman"/>
      <w:start w:val="2"/>
    </w:lvl>
  </w:abstractNum>
  <w:abstractNum w:abstractNumId="37">
    <w:nsid w:val="75C6C33A"/>
    <w:multiLevelType w:val="hybridMultilevel"/>
    <w:lvl w:ilvl="0">
      <w:lvlJc w:val="left"/>
      <w:lvlText w:val="(%1)"/>
      <w:numFmt w:val="lowerLetter"/>
      <w:start w:val="3"/>
    </w:lvl>
    <w:lvl w:ilvl="1">
      <w:lvlJc w:val="left"/>
      <w:lvlText w:val="(%2)"/>
      <w:numFmt w:val="lowerLetter"/>
      <w:start w:val="9"/>
    </w:lvl>
  </w:abstractNum>
  <w:abstractNum w:abstractNumId="38">
    <w:nsid w:val="12E685FB"/>
    <w:multiLevelType w:val="hybridMultilevel"/>
    <w:lvl w:ilvl="0">
      <w:lvlJc w:val="left"/>
      <w:lvlText w:val="(%1)"/>
      <w:numFmt w:val="lowerRoman"/>
      <w:start w:val="2"/>
    </w:lvl>
  </w:abstractNum>
  <w:abstractNum w:abstractNumId="39">
    <w:nsid w:val="70C6A529"/>
    <w:multiLevelType w:val="hybridMultilevel"/>
    <w:lvl w:ilvl="0">
      <w:lvlJc w:val="left"/>
      <w:lvlText w:val="%1"/>
      <w:numFmt w:val="lowerLetter"/>
      <w:start w:val="1"/>
    </w:lvl>
    <w:lvl w:ilvl="1">
      <w:lvlJc w:val="left"/>
      <w:lvlText w:val="(%2)"/>
      <w:numFmt w:val="lowerLetter"/>
      <w:start w:val="61"/>
    </w:lvl>
  </w:abstractNum>
  <w:abstractNum w:abstractNumId="40">
    <w:nsid w:val="520EEDD1"/>
    <w:multiLevelType w:val="hybridMultilevel"/>
    <w:lvl w:ilvl="0">
      <w:lvlJc w:val="left"/>
      <w:lvlText w:val="(%1)"/>
      <w:numFmt w:val="lowerLetter"/>
      <w:start w:val="6"/>
    </w:lvl>
    <w:lvl w:ilvl="1">
      <w:lvlJc w:val="left"/>
      <w:lvlText w:val="%2"/>
      <w:numFmt w:val="lowerLetter"/>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lowerLetter"/>
      <w:start w:val="2"/>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Roman"/>
      <w:start w:val="2"/>
    </w:lvl>
  </w:abstractNum>
  <w:abstractNum w:abstractNumId="46">
    <w:nsid w:val="39386575"/>
    <w:multiLevelType w:val="hybridMultilevel"/>
    <w:lvl w:ilvl="0">
      <w:lvlJc w:val="left"/>
      <w:lvlText w:val="(%1)"/>
      <w:numFmt w:val="lowerRoman"/>
      <w:start w:val="1"/>
    </w:lvl>
  </w:abstractNum>
  <w:abstractNum w:abstractNumId="47">
    <w:nsid w:val="1CF10FD8"/>
    <w:multiLevelType w:val="hybridMultilevel"/>
    <w:lvl w:ilvl="0">
      <w:lvlJc w:val="left"/>
      <w:lvlText w:val="(%1)"/>
      <w:numFmt w:val="lowerRoman"/>
      <w:start w:val="2"/>
    </w:lvl>
  </w:abstractNum>
  <w:abstractNum w:abstractNumId="48">
    <w:nsid w:val="180115BE"/>
    <w:multiLevelType w:val="hybridMultilevel"/>
    <w:lvl w:ilvl="0">
      <w:lvlJc w:val="left"/>
      <w:lvlText w:val="(%1)"/>
      <w:numFmt w:val="lowerRoman"/>
      <w:start w:val="3"/>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lowerLetter"/>
      <w:start w:val="2"/>
    </w:lvl>
  </w:abstractNum>
  <w:abstractNum w:abstractNumId="51">
    <w:nsid w:val="354FE9F9"/>
    <w:multiLevelType w:val="hybridMultilevel"/>
    <w:lvl w:ilvl="0">
      <w:lvlJc w:val="left"/>
      <w:lvlText w:val="(%1)"/>
      <w:numFmt w:val="lowerLetter"/>
      <w:start w:val="3"/>
    </w:lvl>
  </w:abstractNum>
  <w:abstractNum w:abstractNumId="52">
    <w:nsid w:val="15B5AF5C"/>
    <w:multiLevelType w:val="hybridMultilevel"/>
    <w:lvl w:ilvl="0">
      <w:lvlJc w:val="left"/>
      <w:lvlText w:val="%1)"/>
      <w:numFmt w:val="decimal"/>
      <w:start w:val="2"/>
    </w:lvl>
  </w:abstractNum>
  <w:abstractNum w:abstractNumId="53">
    <w:nsid w:val="741226BB"/>
    <w:multiLevelType w:val="hybridMultilevel"/>
    <w:lvl w:ilvl="0">
      <w:lvlJc w:val="left"/>
      <w:lvlText w:val="(%1)"/>
      <w:numFmt w:val="lowerLetter"/>
      <w:start w:val="1"/>
    </w:lvl>
    <w:lvl w:ilvl="1">
      <w:lvlJc w:val="left"/>
      <w:lvlText w:val="(%2)"/>
      <w:numFmt w:val="lowerLetter"/>
      <w:start w:val="6"/>
    </w:lvl>
  </w:abstractNum>
  <w:abstractNum w:abstractNumId="54">
    <w:nsid w:val="D34B6A8"/>
    <w:multiLevelType w:val="hybridMultilevel"/>
    <w:lvl w:ilvl="0">
      <w:lvlJc w:val="left"/>
      <w:lvlText w:val="(%1)"/>
      <w:numFmt w:val="lowerLetter"/>
      <w:start w:val="1"/>
    </w:lvl>
    <w:lvl w:ilvl="1">
      <w:lvlJc w:val="left"/>
      <w:lvlText w:val="(%2)"/>
      <w:numFmt w:val="lowerLetter"/>
      <w:start w:val="9"/>
    </w:lvl>
  </w:abstractNum>
  <w:abstractNum w:abstractNumId="55">
    <w:nsid w:val="10233C99"/>
    <w:multiLevelType w:val="hybridMultilevel"/>
    <w:lvl w:ilvl="0">
      <w:lvlJc w:val="left"/>
      <w:lvlText w:val="%1"/>
      <w:numFmt w:val="lowerLetter"/>
      <w:start w:val="1"/>
    </w:lvl>
    <w:lvl w:ilvl="1">
      <w:lvlJc w:val="left"/>
      <w:lvlText w:val="(%2)"/>
      <w:numFmt w:val="lowerLetter"/>
      <w:start w:val="35"/>
    </w:lvl>
  </w:abstractNum>
  <w:abstractNum w:abstractNumId="56">
    <w:nsid w:val="3F6AB60F"/>
    <w:multiLevelType w:val="hybridMultilevel"/>
    <w:lvl w:ilvl="0">
      <w:lvlJc w:val="left"/>
      <w:lvlText w:val="(%1)"/>
      <w:numFmt w:val="lowerLetter"/>
      <w:start w:val="2"/>
    </w:lvl>
    <w:lvl w:ilvl="1">
      <w:lvlJc w:val="left"/>
      <w:lvlText w:val="%2"/>
      <w:numFmt w:val="lowerLetter"/>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Roman"/>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lowerRoman"/>
      <w:start w:val="1"/>
    </w:lvl>
  </w:abstractNum>
  <w:abstractNum w:abstractNumId="61">
    <w:nsid w:val="310C50B3"/>
    <w:multiLevelType w:val="hybridMultilevel"/>
    <w:lvl w:ilvl="0">
      <w:lvlJc w:val="left"/>
      <w:lvlText w:val=" "/>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62" Type="http://schemas.openxmlformats.org/officeDocument/2006/relationships/hyperlink" Target="https://www.sec.gov/ix?doc=/Archives/edgar/data/0000078128/000155278122000580/e22455_wtrg-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2022-11-09T14:11:34Z</dcterms:created>
  <dcterms:modified xsi:type="dcterms:W3CDTF">2022-11-09T14:11:34Z</dcterms:modified>
</cp:coreProperties>
</file>