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line="222" w:lineRule="auto"/>
        <w:rPr>
          <w:sz w:val="20"/>
          <w:szCs w:val="20"/>
          <w:color w:val="auto"/>
        </w:rPr>
      </w:pPr>
      <w:r>
        <w:rPr>
          <w:rFonts w:ascii="Arial" w:cs="Arial" w:eastAsia="Arial" w:hAnsi="Arial"/>
          <w:sz w:val="19"/>
          <w:szCs w:val="19"/>
          <w:b w:val="1"/>
          <w:bCs w:val="1"/>
          <w:color w:val="auto"/>
        </w:rPr>
        <w:t>UNITED STATES</w:t>
      </w:r>
    </w:p>
    <w:p>
      <w:pPr>
        <w:jc w:val="center"/>
        <w:spacing w:after="0" w:line="223" w:lineRule="auto"/>
        <w:rPr>
          <w:sz w:val="20"/>
          <w:szCs w:val="20"/>
          <w:color w:val="auto"/>
        </w:rPr>
      </w:pPr>
      <w:r>
        <w:rPr>
          <w:rFonts w:ascii="Arial" w:cs="Arial" w:eastAsia="Arial" w:hAnsi="Arial"/>
          <w:sz w:val="19"/>
          <w:szCs w:val="1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92" w:lineRule="auto"/>
        <w:rPr>
          <w:sz w:val="20"/>
          <w:szCs w:val="20"/>
          <w:color w:val="auto"/>
        </w:rPr>
      </w:pPr>
      <w:r>
        <w:rPr>
          <w:rFonts w:ascii="Arial" w:cs="Arial" w:eastAsia="Arial" w:hAnsi="Arial"/>
          <w:sz w:val="19"/>
          <w:szCs w:val="19"/>
          <w:color w:val="auto"/>
        </w:rPr>
        <w:t>(Mark One)</w:t>
      </w:r>
    </w:p>
    <w:p>
      <w:pPr>
        <w:spacing w:after="0" w:line="1" w:lineRule="exact"/>
        <w:rPr>
          <w:sz w:val="24"/>
          <w:szCs w:val="24"/>
          <w:color w:val="auto"/>
        </w:rPr>
      </w:pPr>
    </w:p>
    <w:p>
      <w:pPr>
        <w:ind w:left="3760" w:right="2160" w:hanging="3749"/>
        <w:spacing w:after="0" w:line="234" w:lineRule="auto"/>
        <w:rPr>
          <w:sz w:val="20"/>
          <w:szCs w:val="20"/>
          <w:color w:val="auto"/>
        </w:rPr>
      </w:pPr>
      <w:r>
        <w:rPr>
          <w:rFonts w:ascii="Arial" w:cs="Arial" w:eastAsia="Arial" w:hAnsi="Arial"/>
          <w:sz w:val="19"/>
          <w:szCs w:val="19"/>
          <w:b w:val="1"/>
          <w:bCs w:val="1"/>
          <w:color w:val="auto"/>
        </w:rPr>
        <w:t xml:space="preserve">S </w:t>
      </w:r>
      <w:r>
        <w:rPr>
          <w:rFonts w:ascii="Arial" w:cs="Arial" w:eastAsia="Arial" w:hAnsi="Arial"/>
          <w:sz w:val="19"/>
          <w:szCs w:val="19"/>
          <w:color w:val="auto"/>
        </w:rPr>
        <w:t>QUARTERLY REPORT PURSUANT TO SECTION 13 or 15 (d) OF THE SECURITIES EXCHANGE ACT OF 1934.</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quarterly period ended September 30, 2019</w:t>
      </w:r>
    </w:p>
    <w:p>
      <w:pPr>
        <w:spacing w:after="0" w:line="71" w:lineRule="exact"/>
        <w:rPr>
          <w:sz w:val="24"/>
          <w:szCs w:val="24"/>
          <w:color w:val="auto"/>
        </w:rPr>
      </w:pPr>
    </w:p>
    <w:p>
      <w:pPr>
        <w:ind w:left="3060" w:right="2100" w:hanging="3052"/>
        <w:spacing w:after="0" w:line="273" w:lineRule="auto"/>
        <w:tabs>
          <w:tab w:leader="none" w:pos="155"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TRANSITION REPORT PURSUANT TO SECTION 13 OR 15(d) OF THE SECURITIES EXCHANGE ACT OF 1934. For the transition period from_______________ to _______________</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9"/>
          <w:szCs w:val="19"/>
          <w:color w:val="auto"/>
        </w:rPr>
        <w:t>Commission File Number 1-6659</w:t>
      </w:r>
    </w:p>
    <w:p>
      <w:pPr>
        <w:spacing w:after="0" w:line="167" w:lineRule="exact"/>
        <w:rPr>
          <w:sz w:val="24"/>
          <w:szCs w:val="24"/>
          <w:color w:val="auto"/>
        </w:rPr>
      </w:pPr>
    </w:p>
    <w:p>
      <w:pPr>
        <w:ind w:left="4680"/>
        <w:spacing w:after="0"/>
        <w:rPr>
          <w:sz w:val="20"/>
          <w:szCs w:val="20"/>
          <w:color w:val="auto"/>
        </w:rPr>
      </w:pPr>
      <w:r>
        <w:rPr>
          <w:rFonts w:ascii="Arial" w:cs="Arial" w:eastAsia="Arial" w:hAnsi="Arial"/>
          <w:sz w:val="19"/>
          <w:szCs w:val="19"/>
          <w:b w:val="1"/>
          <w:bCs w:val="1"/>
          <w:u w:val="single" w:color="auto"/>
          <w:color w:val="auto"/>
        </w:rPr>
        <w:t>AQUA AMERICA, INC.</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78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4000" w:type="dxa"/>
            <w:vAlign w:val="bottom"/>
            <w:gridSpan w:val="3"/>
          </w:tcPr>
          <w:p>
            <w:pPr>
              <w:jc w:val="center"/>
              <w:ind w:right="3000"/>
              <w:spacing w:after="0"/>
              <w:rPr>
                <w:sz w:val="20"/>
                <w:szCs w:val="20"/>
                <w:color w:val="auto"/>
              </w:rPr>
            </w:pPr>
            <w:r>
              <w:rPr>
                <w:rFonts w:ascii="Arial" w:cs="Arial" w:eastAsia="Arial" w:hAnsi="Arial"/>
                <w:sz w:val="19"/>
                <w:szCs w:val="19"/>
                <w:color w:val="auto"/>
                <w:w w:val="88"/>
              </w:rPr>
              <w:t>Pennsylvania</w:t>
            </w:r>
          </w:p>
        </w:tc>
        <w:tc>
          <w:tcPr>
            <w:tcW w:w="2680" w:type="dxa"/>
            <w:vAlign w:val="bottom"/>
            <w:gridSpan w:val="4"/>
          </w:tcPr>
          <w:p>
            <w:pPr>
              <w:jc w:val="right"/>
              <w:ind w:right="20"/>
              <w:spacing w:after="0"/>
              <w:rPr>
                <w:sz w:val="20"/>
                <w:szCs w:val="20"/>
                <w:color w:val="auto"/>
              </w:rPr>
            </w:pPr>
            <w:r>
              <w:rPr>
                <w:rFonts w:ascii="Arial" w:cs="Arial" w:eastAsia="Arial" w:hAnsi="Arial"/>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7"/>
        </w:trPr>
        <w:tc>
          <w:tcPr>
            <w:tcW w:w="5520" w:type="dxa"/>
            <w:vAlign w:val="bottom"/>
            <w:gridSpan w:val="4"/>
          </w:tcPr>
          <w:p>
            <w:pPr>
              <w:jc w:val="center"/>
              <w:ind w:right="1480"/>
              <w:spacing w:after="0" w:line="187" w:lineRule="exact"/>
              <w:rPr>
                <w:sz w:val="20"/>
                <w:szCs w:val="20"/>
                <w:color w:val="auto"/>
              </w:rPr>
            </w:pPr>
            <w:r>
              <w:rPr>
                <w:rFonts w:ascii="Arial" w:cs="Arial" w:eastAsia="Arial" w:hAnsi="Arial"/>
                <w:sz w:val="19"/>
                <w:szCs w:val="19"/>
                <w:color w:val="auto"/>
                <w:w w:val="92"/>
              </w:rPr>
              <w:t>(State or other jurisdiction of</w:t>
            </w:r>
          </w:p>
        </w:tc>
        <w:tc>
          <w:tcPr>
            <w:tcW w:w="2900" w:type="dxa"/>
            <w:vAlign w:val="bottom"/>
            <w:gridSpan w:val="5"/>
          </w:tcPr>
          <w:p>
            <w:pPr>
              <w:jc w:val="center"/>
              <w:ind w:left="1405"/>
              <w:spacing w:after="0" w:line="187" w:lineRule="exact"/>
              <w:rPr>
                <w:sz w:val="20"/>
                <w:szCs w:val="20"/>
                <w:color w:val="auto"/>
              </w:rPr>
            </w:pPr>
            <w:r>
              <w:rPr>
                <w:rFonts w:ascii="Arial" w:cs="Arial" w:eastAsia="Arial" w:hAnsi="Arial"/>
                <w:sz w:val="19"/>
                <w:szCs w:val="19"/>
                <w:color w:val="auto"/>
                <w:w w:val="91"/>
              </w:rPr>
              <w:t>(I.R.S. Employer</w:t>
            </w:r>
          </w:p>
        </w:tc>
      </w:tr>
      <w:tr>
        <w:trPr>
          <w:trHeight w:val="240"/>
        </w:trPr>
        <w:tc>
          <w:tcPr>
            <w:tcW w:w="5520" w:type="dxa"/>
            <w:vAlign w:val="bottom"/>
            <w:gridSpan w:val="4"/>
          </w:tcPr>
          <w:p>
            <w:pPr>
              <w:jc w:val="center"/>
              <w:ind w:right="1480"/>
              <w:spacing w:after="0"/>
              <w:rPr>
                <w:sz w:val="20"/>
                <w:szCs w:val="20"/>
                <w:color w:val="auto"/>
              </w:rPr>
            </w:pPr>
            <w:r>
              <w:rPr>
                <w:rFonts w:ascii="Arial" w:cs="Arial" w:eastAsia="Arial" w:hAnsi="Arial"/>
                <w:sz w:val="19"/>
                <w:szCs w:val="19"/>
                <w:color w:val="auto"/>
                <w:w w:val="92"/>
              </w:rPr>
              <w:t>incorporation or organization)</w:t>
            </w:r>
          </w:p>
        </w:tc>
        <w:tc>
          <w:tcPr>
            <w:tcW w:w="2900" w:type="dxa"/>
            <w:vAlign w:val="bottom"/>
            <w:gridSpan w:val="5"/>
          </w:tcPr>
          <w:p>
            <w:pPr>
              <w:jc w:val="center"/>
              <w:ind w:left="1405"/>
              <w:spacing w:after="0"/>
              <w:rPr>
                <w:sz w:val="20"/>
                <w:szCs w:val="20"/>
                <w:color w:val="auto"/>
              </w:rPr>
            </w:pPr>
            <w:r>
              <w:rPr>
                <w:rFonts w:ascii="Arial" w:cs="Arial" w:eastAsia="Arial" w:hAnsi="Arial"/>
                <w:sz w:val="19"/>
                <w:szCs w:val="19"/>
                <w:color w:val="auto"/>
                <w:w w:val="94"/>
              </w:rPr>
              <w:t>Identification No.)</w:t>
            </w:r>
          </w:p>
        </w:tc>
      </w:tr>
      <w:tr>
        <w:trPr>
          <w:trHeight w:val="363"/>
        </w:trPr>
        <w:tc>
          <w:tcPr>
            <w:tcW w:w="5520" w:type="dxa"/>
            <w:vAlign w:val="bottom"/>
            <w:gridSpan w:val="4"/>
          </w:tcPr>
          <w:p>
            <w:pPr>
              <w:jc w:val="center"/>
              <w:ind w:right="1500"/>
              <w:spacing w:after="0"/>
              <w:rPr>
                <w:sz w:val="20"/>
                <w:szCs w:val="20"/>
                <w:color w:val="auto"/>
              </w:rPr>
            </w:pPr>
            <w:r>
              <w:rPr>
                <w:rFonts w:ascii="Arial" w:cs="Arial" w:eastAsia="Arial" w:hAnsi="Arial"/>
                <w:sz w:val="19"/>
                <w:szCs w:val="19"/>
                <w:color w:val="auto"/>
                <w:w w:val="90"/>
              </w:rPr>
              <w:t>762 W. Lancaster Avenue, Bryn Mawr, Pennsylvania</w:t>
            </w:r>
          </w:p>
        </w:tc>
        <w:tc>
          <w:tcPr>
            <w:tcW w:w="2900" w:type="dxa"/>
            <w:vAlign w:val="bottom"/>
            <w:gridSpan w:val="5"/>
          </w:tcPr>
          <w:p>
            <w:pPr>
              <w:jc w:val="right"/>
              <w:ind w:right="220"/>
              <w:spacing w:after="0"/>
              <w:rPr>
                <w:sz w:val="20"/>
                <w:szCs w:val="20"/>
                <w:color w:val="auto"/>
              </w:rPr>
            </w:pPr>
            <w:r>
              <w:rPr>
                <w:rFonts w:ascii="Arial" w:cs="Arial" w:eastAsia="Arial" w:hAnsi="Arial"/>
                <w:sz w:val="19"/>
                <w:szCs w:val="19"/>
                <w:color w:val="auto"/>
              </w:rPr>
              <w:t>19010 -3489</w:t>
            </w:r>
          </w:p>
        </w:tc>
      </w:tr>
      <w:tr>
        <w:trPr>
          <w:trHeight w:val="234"/>
        </w:trPr>
        <w:tc>
          <w:tcPr>
            <w:tcW w:w="4020" w:type="dxa"/>
            <w:vAlign w:val="bottom"/>
            <w:tcBorders>
              <w:top w:val="single" w:sz="8" w:color="auto"/>
            </w:tcBorders>
            <w:gridSpan w:val="3"/>
          </w:tcPr>
          <w:p>
            <w:pPr>
              <w:jc w:val="center"/>
              <w:spacing w:after="0"/>
              <w:rPr>
                <w:sz w:val="20"/>
                <w:szCs w:val="20"/>
                <w:color w:val="auto"/>
              </w:rPr>
            </w:pPr>
            <w:r>
              <w:rPr>
                <w:rFonts w:ascii="Arial" w:cs="Arial" w:eastAsia="Arial" w:hAnsi="Arial"/>
                <w:sz w:val="19"/>
                <w:szCs w:val="19"/>
                <w:color w:val="auto"/>
                <w:w w:val="92"/>
              </w:rPr>
              <w:t>(Address of principal executive offices)</w:t>
            </w:r>
          </w:p>
        </w:tc>
        <w:tc>
          <w:tcPr>
            <w:tcW w:w="1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9"/>
                <w:szCs w:val="19"/>
                <w:color w:val="auto"/>
                <w:w w:val="93"/>
              </w:rPr>
              <w:t>(Zip Code)</w:t>
            </w:r>
          </w:p>
        </w:tc>
        <w:tc>
          <w:tcPr>
            <w:tcW w:w="220" w:type="dxa"/>
            <w:vAlign w:val="bottom"/>
          </w:tcPr>
          <w:p>
            <w:pPr>
              <w:spacing w:after="0"/>
              <w:rPr>
                <w:sz w:val="20"/>
                <w:szCs w:val="20"/>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9"/>
          <w:szCs w:val="19"/>
          <w:u w:val="single" w:color="auto"/>
          <w:color w:val="auto"/>
        </w:rPr>
        <w:t>(610) 527-8000</w:t>
      </w:r>
    </w:p>
    <w:p>
      <w:pPr>
        <w:jc w:val="center"/>
        <w:spacing w:after="0"/>
        <w:rPr>
          <w:sz w:val="20"/>
          <w:szCs w:val="20"/>
          <w:color w:val="auto"/>
        </w:rPr>
      </w:pPr>
      <w:r>
        <w:rPr>
          <w:rFonts w:ascii="Arial" w:cs="Arial" w:eastAsia="Arial" w:hAnsi="Arial"/>
          <w:sz w:val="19"/>
          <w:szCs w:val="19"/>
          <w:color w:val="auto"/>
        </w:rPr>
        <w:t>(Registrant’s telephone number, including area code)</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(Former Name, former address and former fiscal year, if changed since last report.)</w:t>
      </w:r>
    </w:p>
    <w:p>
      <w:pPr>
        <w:spacing w:after="0" w:line="187" w:lineRule="exact"/>
        <w:rPr>
          <w:sz w:val="24"/>
          <w:szCs w:val="24"/>
          <w:color w:val="auto"/>
        </w:rPr>
      </w:pPr>
    </w:p>
    <w:p>
      <w:pPr>
        <w:ind w:right="120"/>
        <w:spacing w:after="0" w:line="236" w:lineRule="auto"/>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6" w:lineRule="exact"/>
        <w:rPr>
          <w:sz w:val="24"/>
          <w:szCs w:val="24"/>
          <w:color w:val="auto"/>
        </w:rPr>
      </w:pPr>
    </w:p>
    <w:p>
      <w:pPr>
        <w:ind w:right="20"/>
        <w:spacing w:after="0" w:line="236"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6" w:lineRule="exact"/>
        <w:rPr>
          <w:sz w:val="24"/>
          <w:szCs w:val="24"/>
          <w:color w:val="auto"/>
        </w:rPr>
      </w:pPr>
    </w:p>
    <w:p>
      <w:pPr>
        <w:jc w:val="both"/>
        <w:ind w:right="80"/>
        <w:spacing w:after="0" w:line="236"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18" w:right="239" w:bottom="1440" w:gutter="0" w:footer="0" w:header="0"/>
        </w:sectPr>
      </w:pPr>
    </w:p>
    <w:p>
      <w:pPr>
        <w:spacing w:after="0" w:line="160"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Large Accelerated Filer </w:t>
      </w:r>
      <w:r>
        <w:rPr>
          <w:rFonts w:ascii="Arial" w:cs="Arial" w:eastAsia="Arial" w:hAnsi="Arial"/>
          <w:sz w:val="19"/>
          <w:szCs w:val="19"/>
          <w:b w:val="1"/>
          <w:bCs w:val="1"/>
          <w:color w:val="auto"/>
        </w:rPr>
        <w:t>S</w:t>
      </w:r>
    </w:p>
    <w:p>
      <w:pPr>
        <w:spacing w:after="0" w:line="229" w:lineRule="auto"/>
        <w:rPr>
          <w:sz w:val="20"/>
          <w:szCs w:val="20"/>
          <w:color w:val="auto"/>
        </w:rPr>
      </w:pPr>
      <w:r>
        <w:rPr>
          <w:rFonts w:ascii="Arial" w:cs="Arial" w:eastAsia="Arial" w:hAnsi="Arial"/>
          <w:sz w:val="19"/>
          <w:szCs w:val="19"/>
          <w:color w:val="auto"/>
        </w:rPr>
        <w:t xml:space="preserve">Non-Accelerated Filer </w:t>
      </w:r>
      <w:r>
        <w:rPr>
          <w:rFonts w:ascii="Arial" w:cs="Arial" w:eastAsia="Arial" w:hAnsi="Arial"/>
          <w:sz w:val="19"/>
          <w:szCs w:val="19"/>
          <w:b w:val="1"/>
          <w:bCs w:val="1"/>
          <w:color w:val="auto"/>
        </w:rPr>
        <w:t>£</w:t>
      </w:r>
    </w:p>
    <w:p>
      <w:pPr>
        <w:spacing w:after="0"/>
        <w:rPr>
          <w:sz w:val="20"/>
          <w:szCs w:val="20"/>
          <w:color w:val="auto"/>
        </w:rPr>
      </w:pPr>
      <w:r>
        <w:rPr>
          <w:rFonts w:ascii="Arial" w:cs="Arial" w:eastAsia="Arial" w:hAnsi="Arial"/>
          <w:sz w:val="17"/>
          <w:szCs w:val="17"/>
          <w:color w:val="auto"/>
        </w:rPr>
        <w:t xml:space="preserve">Emerging Growth Company </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Accelerated Filer </w:t>
      </w:r>
      <w:r>
        <w:rPr>
          <w:rFonts w:ascii="Arial" w:cs="Arial" w:eastAsia="Arial" w:hAnsi="Arial"/>
          <w:sz w:val="19"/>
          <w:szCs w:val="19"/>
          <w:b w:val="1"/>
          <w:bCs w:val="1"/>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Smaller Reporting Company </w:t>
      </w:r>
      <w:r>
        <w:rPr>
          <w:rFonts w:ascii="Arial" w:cs="Arial" w:eastAsia="Arial" w:hAnsi="Arial"/>
          <w:sz w:val="17"/>
          <w:szCs w:val="17"/>
          <w:b w:val="1"/>
          <w:bCs w:val="1"/>
          <w:color w:val="auto"/>
        </w:rPr>
        <w:t>£</w:t>
      </w:r>
    </w:p>
    <w:p>
      <w:pPr>
        <w:spacing w:after="0" w:line="396" w:lineRule="exact"/>
        <w:rPr>
          <w:sz w:val="24"/>
          <w:szCs w:val="24"/>
          <w:color w:val="auto"/>
        </w:rPr>
      </w:pPr>
    </w:p>
    <w:p>
      <w:pPr>
        <w:sectPr>
          <w:pgSz w:w="11900" w:h="16838" w:orient="portrait"/>
          <w:cols w:equalWidth="0" w:num="2">
            <w:col w:w="6860" w:space="720"/>
            <w:col w:w="3840"/>
          </w:cols>
          <w:pgMar w:left="240" w:top="218" w:right="239" w:bottom="1440" w:gutter="0" w:footer="0" w:header="0"/>
          <w:type w:val="continuous"/>
        </w:sectPr>
      </w:pPr>
    </w:p>
    <w:p>
      <w:pPr>
        <w:ind w:right="140"/>
        <w:spacing w:after="0" w:line="246"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b w:val="1"/>
          <w:bCs w:val="1"/>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Arial" w:cs="Arial" w:eastAsia="Arial" w:hAnsi="Arial"/>
          <w:sz w:val="19"/>
          <w:szCs w:val="19"/>
          <w:b w:val="1"/>
          <w:bCs w:val="1"/>
          <w:color w:val="auto"/>
        </w:rPr>
        <w:t>£</w:t>
      </w:r>
      <w:r>
        <w:rPr>
          <w:rFonts w:ascii="Arial" w:cs="Arial" w:eastAsia="Arial" w:hAnsi="Arial"/>
          <w:sz w:val="19"/>
          <w:szCs w:val="19"/>
          <w:color w:val="auto"/>
        </w:rPr>
        <w:t xml:space="preserve"> No </w:t>
      </w:r>
      <w:r>
        <w:rPr>
          <w:rFonts w:ascii="Arial" w:cs="Arial" w:eastAsia="Arial" w:hAnsi="Arial"/>
          <w:sz w:val="19"/>
          <w:szCs w:val="19"/>
          <w:b w:val="1"/>
          <w:bCs w:val="1"/>
          <w:color w:val="auto"/>
        </w:rPr>
        <w:t>S</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20" w:type="dxa"/>
            <w:vAlign w:val="bottom"/>
          </w:tcPr>
          <w:p>
            <w:pPr>
              <w:spacing w:after="0"/>
              <w:rPr>
                <w:sz w:val="19"/>
                <w:szCs w:val="19"/>
                <w:color w:val="auto"/>
              </w:rPr>
            </w:pPr>
          </w:p>
        </w:tc>
        <w:tc>
          <w:tcPr>
            <w:tcW w:w="8000" w:type="dxa"/>
            <w:vAlign w:val="bottom"/>
            <w:gridSpan w:val="5"/>
          </w:tcPr>
          <w:p>
            <w:pPr>
              <w:ind w:left="120"/>
              <w:spacing w:after="0"/>
              <w:rPr>
                <w:sz w:val="20"/>
                <w:szCs w:val="20"/>
                <w:color w:val="auto"/>
              </w:rPr>
            </w:pPr>
            <w:r>
              <w:rPr>
                <w:rFonts w:ascii="Arial" w:cs="Arial" w:eastAsia="Arial" w:hAnsi="Arial"/>
                <w:sz w:val="19"/>
                <w:szCs w:val="19"/>
                <w:color w:val="auto"/>
              </w:rPr>
              <w:t>Securities registered pursuant to Section 12(b) of the Act:</w:t>
            </w:r>
          </w:p>
        </w:tc>
      </w:tr>
      <w:tr>
        <w:trPr>
          <w:trHeight w:val="225"/>
        </w:trPr>
        <w:tc>
          <w:tcPr>
            <w:tcW w:w="3420" w:type="dxa"/>
            <w:vAlign w:val="bottom"/>
          </w:tcPr>
          <w:p>
            <w:pPr>
              <w:jc w:val="center"/>
              <w:ind w:left="725"/>
              <w:spacing w:after="0"/>
              <w:rPr>
                <w:sz w:val="20"/>
                <w:szCs w:val="20"/>
                <w:color w:val="auto"/>
              </w:rPr>
            </w:pPr>
            <w:r>
              <w:rPr>
                <w:rFonts w:ascii="Arial" w:cs="Arial" w:eastAsia="Arial" w:hAnsi="Arial"/>
                <w:sz w:val="19"/>
                <w:szCs w:val="19"/>
                <w:color w:val="auto"/>
                <w:w w:val="89"/>
              </w:rPr>
              <w:t>Title of each class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2"/>
          </w:tcPr>
          <w:p>
            <w:pPr>
              <w:jc w:val="center"/>
              <w:ind w:right="240"/>
              <w:spacing w:after="0"/>
              <w:rPr>
                <w:sz w:val="20"/>
                <w:szCs w:val="20"/>
                <w:color w:val="auto"/>
              </w:rPr>
            </w:pPr>
            <w:r>
              <w:rPr>
                <w:rFonts w:ascii="Arial" w:cs="Arial" w:eastAsia="Arial" w:hAnsi="Arial"/>
                <w:sz w:val="19"/>
                <w:szCs w:val="19"/>
                <w:color w:val="auto"/>
                <w:w w:val="91"/>
              </w:rPr>
              <w:t>Trading Symbol(s)</w:t>
            </w:r>
          </w:p>
        </w:tc>
        <w:tc>
          <w:tcPr>
            <w:tcW w:w="4600" w:type="dxa"/>
            <w:vAlign w:val="bottom"/>
          </w:tcPr>
          <w:p>
            <w:pPr>
              <w:jc w:val="center"/>
              <w:spacing w:after="0"/>
              <w:rPr>
                <w:sz w:val="20"/>
                <w:szCs w:val="20"/>
                <w:color w:val="auto"/>
              </w:rPr>
            </w:pPr>
            <w:r>
              <w:rPr>
                <w:rFonts w:ascii="Arial" w:cs="Arial" w:eastAsia="Arial" w:hAnsi="Arial"/>
                <w:sz w:val="19"/>
                <w:szCs w:val="19"/>
                <w:color w:val="auto"/>
                <w:w w:val="89"/>
              </w:rPr>
              <w:t>Name of each exchange on which registered</w:t>
            </w:r>
          </w:p>
        </w:tc>
      </w:tr>
      <w:tr>
        <w:trPr>
          <w:trHeight w:val="174"/>
        </w:trPr>
        <w:tc>
          <w:tcPr>
            <w:tcW w:w="3420" w:type="dxa"/>
            <w:vAlign w:val="bottom"/>
            <w:tcBorders>
              <w:top w:val="single" w:sz="8" w:color="auto"/>
            </w:tcBorders>
          </w:tcPr>
          <w:p>
            <w:pPr>
              <w:jc w:val="center"/>
              <w:ind w:left="705"/>
              <w:spacing w:after="0" w:line="173" w:lineRule="exact"/>
              <w:rPr>
                <w:sz w:val="20"/>
                <w:szCs w:val="20"/>
                <w:color w:val="auto"/>
              </w:rPr>
            </w:pPr>
            <w:r>
              <w:rPr>
                <w:rFonts w:ascii="Arial" w:cs="Arial" w:eastAsia="Arial" w:hAnsi="Arial"/>
                <w:sz w:val="19"/>
                <w:szCs w:val="19"/>
                <w:color w:val="auto"/>
                <w:w w:val="90"/>
              </w:rPr>
              <w:t>Common stock, $0.50 par value</w:t>
            </w: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9"/>
                <w:szCs w:val="19"/>
                <w:color w:val="auto"/>
                <w:w w:val="96"/>
              </w:rPr>
              <w:t>WTR</w:t>
            </w:r>
          </w:p>
        </w:tc>
        <w:tc>
          <w:tcPr>
            <w:tcW w:w="240" w:type="dxa"/>
            <w:vAlign w:val="bottom"/>
          </w:tcPr>
          <w:p>
            <w:pPr>
              <w:spacing w:after="0"/>
              <w:rPr>
                <w:sz w:val="15"/>
                <w:szCs w:val="15"/>
                <w:color w:val="auto"/>
              </w:rPr>
            </w:pPr>
          </w:p>
        </w:tc>
        <w:tc>
          <w:tcPr>
            <w:tcW w:w="46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9"/>
                <w:szCs w:val="19"/>
                <w:color w:val="auto"/>
                <w:w w:val="90"/>
              </w:rPr>
              <w:t>New York Stock Exchange</w:t>
            </w:r>
          </w:p>
        </w:tc>
      </w:tr>
      <w:tr>
        <w:trPr>
          <w:trHeight w:val="240"/>
        </w:trPr>
        <w:tc>
          <w:tcPr>
            <w:tcW w:w="3420" w:type="dxa"/>
            <w:vAlign w:val="bottom"/>
          </w:tcPr>
          <w:p>
            <w:pPr>
              <w:jc w:val="center"/>
              <w:ind w:left="725"/>
              <w:spacing w:after="0"/>
              <w:rPr>
                <w:sz w:val="20"/>
                <w:szCs w:val="20"/>
                <w:color w:val="auto"/>
              </w:rPr>
            </w:pPr>
            <w:r>
              <w:rPr>
                <w:rFonts w:ascii="Arial" w:cs="Arial" w:eastAsia="Arial" w:hAnsi="Arial"/>
                <w:sz w:val="19"/>
                <w:szCs w:val="19"/>
                <w:color w:val="auto"/>
                <w:w w:val="92"/>
              </w:rPr>
              <w:t>6.00% Tangible Equity Units</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9"/>
                <w:szCs w:val="19"/>
                <w:color w:val="auto"/>
                <w:w w:val="98"/>
              </w:rPr>
              <w:t>WTRU</w:t>
            </w:r>
          </w:p>
        </w:tc>
        <w:tc>
          <w:tcPr>
            <w:tcW w:w="4600" w:type="dxa"/>
            <w:vAlign w:val="bottom"/>
          </w:tcPr>
          <w:p>
            <w:pPr>
              <w:jc w:val="center"/>
              <w:spacing w:after="0"/>
              <w:rPr>
                <w:sz w:val="20"/>
                <w:szCs w:val="20"/>
                <w:color w:val="auto"/>
              </w:rPr>
            </w:pPr>
            <w:r>
              <w:rPr>
                <w:rFonts w:ascii="Arial" w:cs="Arial" w:eastAsia="Arial" w:hAnsi="Arial"/>
                <w:sz w:val="19"/>
                <w:szCs w:val="19"/>
                <w:color w:val="auto"/>
                <w:w w:val="90"/>
              </w:rPr>
              <w:t>New York Stock Exchange</w:t>
            </w:r>
          </w:p>
        </w:tc>
      </w:tr>
    </w:tbl>
    <w:p>
      <w:pPr>
        <w:spacing w:after="0" w:line="165"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October 23, 2019: 215,840,774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634365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type w:val="continuous"/>
        </w:sectPr>
      </w:pPr>
    </w:p>
    <w:bookmarkStart w:id="1" w:name="page2"/>
    <w:bookmarkEnd w:id="1"/>
    <w:p>
      <w:pPr>
        <w:spacing w:after="0"/>
        <w:rPr>
          <w:rFonts w:ascii="Arial" w:cs="Arial" w:eastAsia="Arial" w:hAnsi="Arial"/>
          <w:sz w:val="22"/>
          <w:szCs w:val="22"/>
          <w:color w:val="0563C1"/>
        </w:rPr>
      </w:pPr>
      <w:hyperlink w:anchor="page2">
        <w:r>
          <w:rPr>
            <w:rFonts w:ascii="Arial" w:cs="Arial" w:eastAsia="Arial" w:hAnsi="Arial"/>
            <w:sz w:val="22"/>
            <w:szCs w:val="22"/>
            <w:color w:val="0563C1"/>
          </w:rPr>
          <w:t>Table of Contents</w:t>
        </w:r>
      </w:hyperlink>
    </w:p>
    <w:tbl>
      <w:tblPr>
        <w:tblLayout w:type="fixed"/>
        <w:tblInd w:w="0" w:type="dxa"/>
        <w:tblCellMar>
          <w:top w:w="0" w:type="dxa"/>
          <w:left w:w="0" w:type="dxa"/>
          <w:bottom w:w="0" w:type="dxa"/>
          <w:right w:w="0" w:type="dxa"/>
        </w:tblCellMar>
      </w:tblPr>
      <w:tr>
        <w:trPr>
          <w:trHeight w:val="295"/>
        </w:trPr>
        <w:tc>
          <w:tcPr>
            <w:tcW w:w="20" w:type="dxa"/>
            <w:vAlign w:val="bottom"/>
          </w:tcPr>
          <w:p>
            <w:pPr>
              <w:spacing w:after="0"/>
              <w:rPr>
                <w:sz w:val="24"/>
                <w:szCs w:val="24"/>
                <w:color w:val="auto"/>
              </w:rPr>
            </w:pPr>
          </w:p>
        </w:tc>
        <w:tc>
          <w:tcPr>
            <w:tcW w:w="64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80" w:type="dxa"/>
            <w:vAlign w:val="bottom"/>
            <w:gridSpan w:val="20"/>
          </w:tcPr>
          <w:p>
            <w:pPr>
              <w:jc w:val="center"/>
              <w:ind w:right="1080"/>
              <w:spacing w:after="0"/>
              <w:rPr>
                <w:sz w:val="20"/>
                <w:szCs w:val="20"/>
                <w:color w:val="auto"/>
              </w:rPr>
            </w:pPr>
            <w:r>
              <w:rPr>
                <w:rFonts w:ascii="Arial" w:cs="Arial" w:eastAsia="Arial" w:hAnsi="Arial"/>
                <w:sz w:val="22"/>
                <w:szCs w:val="22"/>
                <w:color w:val="auto"/>
                <w:w w:val="97"/>
              </w:rPr>
              <w:t>AQUA AMERICA, INC. AND SUBSIDIARIES</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gridSpan w:val="15"/>
          </w:tcPr>
          <w:p>
            <w:pPr>
              <w:jc w:val="center"/>
              <w:ind w:right="2800"/>
              <w:spacing w:after="0"/>
              <w:rPr>
                <w:sz w:val="20"/>
                <w:szCs w:val="20"/>
                <w:color w:val="auto"/>
              </w:rPr>
            </w:pPr>
            <w:r>
              <w:rPr>
                <w:rFonts w:ascii="Arial" w:cs="Arial" w:eastAsia="Arial" w:hAnsi="Arial"/>
                <w:sz w:val="22"/>
                <w:szCs w:val="22"/>
                <w:color w:val="auto"/>
                <w:w w:val="93"/>
              </w:rPr>
              <w:t>TABLE OF CONTENTS</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gridSpan w:val="3"/>
          </w:tcPr>
          <w:p>
            <w:pPr>
              <w:ind w:left="1360"/>
              <w:spacing w:after="0"/>
              <w:rPr>
                <w:sz w:val="20"/>
                <w:szCs w:val="20"/>
                <w:color w:val="auto"/>
              </w:rPr>
            </w:pPr>
            <w:r>
              <w:rPr>
                <w:rFonts w:ascii="Arial" w:cs="Arial" w:eastAsia="Arial" w:hAnsi="Arial"/>
                <w:sz w:val="22"/>
                <w:szCs w:val="22"/>
                <w:color w:val="auto"/>
                <w:w w:val="81"/>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20" w:type="dxa"/>
            <w:vAlign w:val="bottom"/>
            <w:gridSpan w:val="19"/>
            <w:shd w:val="clear" w:color="auto" w:fill="CCEEFF"/>
          </w:tcPr>
          <w:p>
            <w:pPr>
              <w:jc w:val="center"/>
              <w:ind w:right="2040"/>
              <w:spacing w:after="0" w:line="203" w:lineRule="exact"/>
              <w:rPr>
                <w:rFonts w:ascii="Arial" w:cs="Arial" w:eastAsia="Arial" w:hAnsi="Arial"/>
                <w:sz w:val="22"/>
                <w:szCs w:val="22"/>
                <w:color w:val="0563C1"/>
                <w:w w:val="91"/>
              </w:rPr>
            </w:pPr>
            <w:hyperlink w:anchor="page3">
              <w:r>
                <w:rPr>
                  <w:rFonts w:ascii="Arial" w:cs="Arial" w:eastAsia="Arial" w:hAnsi="Arial"/>
                  <w:sz w:val="22"/>
                  <w:szCs w:val="22"/>
                  <w:color w:val="0563C1"/>
                  <w:w w:val="91"/>
                </w:rPr>
                <w:t>Part I – Financial Information</w:t>
              </w:r>
            </w:hyperlink>
          </w:p>
        </w:tc>
        <w:tc>
          <w:tcPr>
            <w:tcW w:w="13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9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 w:type="dxa"/>
            <w:vAlign w:val="bottom"/>
            <w:tcBorders>
              <w:right w:val="single" w:sz="8" w:color="CCEEFF"/>
            </w:tcBorders>
            <w:shd w:val="clear" w:color="auto" w:fill="CCEEFF"/>
          </w:tcPr>
          <w:p>
            <w:pPr>
              <w:spacing w:after="0" w:line="203" w:lineRule="exact"/>
              <w:rPr>
                <w:rFonts w:ascii="Arial" w:cs="Arial" w:eastAsia="Arial" w:hAnsi="Arial"/>
                <w:sz w:val="22"/>
                <w:szCs w:val="22"/>
                <w:color w:val="0563C1"/>
                <w:w w:val="89"/>
              </w:rPr>
            </w:pPr>
            <w:hyperlink w:anchor="page3">
              <w:r>
                <w:rPr>
                  <w:rFonts w:ascii="Arial" w:cs="Arial" w:eastAsia="Arial" w:hAnsi="Arial"/>
                  <w:sz w:val="22"/>
                  <w:szCs w:val="22"/>
                  <w:color w:val="0563C1"/>
                  <w:w w:val="89"/>
                </w:rPr>
                <w:t>Item 1.</w:t>
              </w:r>
            </w:hyperlink>
          </w:p>
        </w:tc>
        <w:tc>
          <w:tcPr>
            <w:tcW w:w="898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3">
              <w:r>
                <w:rPr>
                  <w:rFonts w:ascii="Arial" w:cs="Arial" w:eastAsia="Arial" w:hAnsi="Arial"/>
                  <w:sz w:val="22"/>
                  <w:szCs w:val="22"/>
                  <w:color w:val="0563C1"/>
                </w:rPr>
                <w:t>Financial Statements:</w:t>
              </w:r>
            </w:hyperlink>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980" w:type="dxa"/>
            <w:vAlign w:val="bottom"/>
            <w:gridSpan w:val="29"/>
            <w:shd w:val="clear" w:color="auto" w:fill="CCEEFF"/>
          </w:tcPr>
          <w:p>
            <w:pPr>
              <w:spacing w:after="0" w:line="203" w:lineRule="exact"/>
              <w:rPr>
                <w:rFonts w:ascii="Arial" w:cs="Arial" w:eastAsia="Arial" w:hAnsi="Arial"/>
                <w:sz w:val="22"/>
                <w:szCs w:val="22"/>
                <w:color w:val="0563C1"/>
              </w:rPr>
            </w:pPr>
            <w:hyperlink w:anchor="page2">
              <w:r>
                <w:rPr>
                  <w:rFonts w:ascii="Arial" w:cs="Arial" w:eastAsia="Arial" w:hAnsi="Arial"/>
                  <w:sz w:val="22"/>
                  <w:szCs w:val="22"/>
                  <w:color w:val="0563C1"/>
                </w:rPr>
                <w:t>Consolidated Balance Sheets (unaudited) – September 30, 2019 and December 31, 2018</w:t>
              </w:r>
            </w:hyperlink>
          </w:p>
        </w:tc>
        <w:tc>
          <w:tcPr>
            <w:tcW w:w="1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9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72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8980" w:type="dxa"/>
            <w:vAlign w:val="bottom"/>
            <w:gridSpan w:val="29"/>
            <w:shd w:val="clear" w:color="auto" w:fill="CCEEFF"/>
          </w:tcPr>
          <w:p>
            <w:pPr>
              <w:spacing w:after="0" w:line="203" w:lineRule="exact"/>
              <w:rPr>
                <w:rFonts w:ascii="Arial" w:cs="Arial" w:eastAsia="Arial" w:hAnsi="Arial"/>
                <w:sz w:val="22"/>
                <w:szCs w:val="22"/>
                <w:color w:val="0563C1"/>
              </w:rPr>
            </w:pPr>
            <w:hyperlink w:anchor="page4">
              <w:r>
                <w:rPr>
                  <w:rFonts w:ascii="Arial" w:cs="Arial" w:eastAsia="Arial" w:hAnsi="Arial"/>
                  <w:sz w:val="22"/>
                  <w:szCs w:val="22"/>
                  <w:color w:val="0563C1"/>
                </w:rPr>
                <w:t>Consolidated Statements of Operations and Comprehensive Income (unaudited) –</w:t>
              </w:r>
            </w:hyperlink>
          </w:p>
        </w:tc>
        <w:tc>
          <w:tcPr>
            <w:tcW w:w="17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800" w:type="dxa"/>
            <w:vAlign w:val="bottom"/>
            <w:tcBorders>
              <w:top w:val="single" w:sz="8" w:color="0563C1"/>
            </w:tcBorders>
            <w:gridSpan w:val="26"/>
            <w:shd w:val="clear" w:color="auto" w:fill="CCEEFF"/>
          </w:tcPr>
          <w:p>
            <w:pPr>
              <w:ind w:left="60"/>
              <w:spacing w:after="0" w:line="209" w:lineRule="exact"/>
              <w:rPr>
                <w:rFonts w:ascii="Arial" w:cs="Arial" w:eastAsia="Arial" w:hAnsi="Arial"/>
                <w:sz w:val="22"/>
                <w:szCs w:val="22"/>
                <w:color w:val="0563C1"/>
              </w:rPr>
            </w:pPr>
            <w:hyperlink w:anchor="page4">
              <w:r>
                <w:rPr>
                  <w:rFonts w:ascii="Arial" w:cs="Arial" w:eastAsia="Arial" w:hAnsi="Arial"/>
                  <w:sz w:val="22"/>
                  <w:szCs w:val="22"/>
                  <w:color w:val="0563C1"/>
                </w:rPr>
                <w:t>Three Months Ended September 30, 2019 and 2018</w:t>
              </w:r>
            </w:hyperlink>
          </w:p>
        </w:tc>
        <w:tc>
          <w:tcPr>
            <w:tcW w:w="1920" w:type="dxa"/>
            <w:vAlign w:val="bottom"/>
            <w:tcBorders>
              <w:top w:val="single" w:sz="8" w:color="CCEEFF"/>
            </w:tcBorders>
            <w:gridSpan w:val="2"/>
            <w:shd w:val="clear" w:color="auto" w:fill="CCEEFF"/>
          </w:tcPr>
          <w:p>
            <w:pPr>
              <w:spacing w:after="0"/>
              <w:rPr>
                <w:sz w:val="18"/>
                <w:szCs w:val="18"/>
                <w:color w:val="auto"/>
              </w:rPr>
            </w:pPr>
          </w:p>
        </w:tc>
        <w:tc>
          <w:tcPr>
            <w:tcW w:w="17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8980" w:type="dxa"/>
            <w:vAlign w:val="bottom"/>
            <w:gridSpan w:val="29"/>
            <w:shd w:val="clear" w:color="auto" w:fill="CCEEFF"/>
          </w:tcPr>
          <w:p>
            <w:pPr>
              <w:spacing w:after="0" w:line="203" w:lineRule="exact"/>
              <w:rPr>
                <w:rFonts w:ascii="Arial" w:cs="Arial" w:eastAsia="Arial" w:hAnsi="Arial"/>
                <w:sz w:val="22"/>
                <w:szCs w:val="22"/>
                <w:color w:val="0563C1"/>
              </w:rPr>
            </w:pPr>
            <w:hyperlink w:anchor="page4">
              <w:r>
                <w:rPr>
                  <w:rFonts w:ascii="Arial" w:cs="Arial" w:eastAsia="Arial" w:hAnsi="Arial"/>
                  <w:sz w:val="22"/>
                  <w:szCs w:val="22"/>
                  <w:color w:val="0563C1"/>
                </w:rPr>
                <w:t>Consolidated Statements of Operations and Comprehensive Income (unaudited) –</w:t>
              </w:r>
            </w:hyperlink>
          </w:p>
        </w:tc>
        <w:tc>
          <w:tcPr>
            <w:tcW w:w="17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6740" w:type="dxa"/>
            <w:vAlign w:val="bottom"/>
            <w:tcBorders>
              <w:top w:val="single" w:sz="8" w:color="0563C1"/>
            </w:tcBorders>
            <w:gridSpan w:val="25"/>
            <w:shd w:val="clear" w:color="auto" w:fill="CCEEFF"/>
          </w:tcPr>
          <w:p>
            <w:pPr>
              <w:ind w:left="60"/>
              <w:spacing w:after="0" w:line="209" w:lineRule="exact"/>
              <w:rPr>
                <w:rFonts w:ascii="Arial" w:cs="Arial" w:eastAsia="Arial" w:hAnsi="Arial"/>
                <w:sz w:val="22"/>
                <w:szCs w:val="22"/>
                <w:color w:val="0563C1"/>
              </w:rPr>
            </w:pPr>
            <w:hyperlink w:anchor="page4">
              <w:r>
                <w:rPr>
                  <w:rFonts w:ascii="Arial" w:cs="Arial" w:eastAsia="Arial" w:hAnsi="Arial"/>
                  <w:sz w:val="22"/>
                  <w:szCs w:val="22"/>
                  <w:color w:val="0563C1"/>
                </w:rPr>
                <w:t>Nine Months Ended September 30, 2019 and 2018</w:t>
              </w:r>
            </w:hyperlink>
          </w:p>
        </w:tc>
        <w:tc>
          <w:tcPr>
            <w:tcW w:w="1920" w:type="dxa"/>
            <w:vAlign w:val="bottom"/>
            <w:tcBorders>
              <w:top w:val="single" w:sz="8" w:color="CCEEFF"/>
            </w:tcBorders>
            <w:gridSpan w:val="2"/>
            <w:shd w:val="clear" w:color="auto" w:fill="CCEEFF"/>
          </w:tcPr>
          <w:p>
            <w:pPr>
              <w:spacing w:after="0"/>
              <w:rPr>
                <w:sz w:val="18"/>
                <w:szCs w:val="18"/>
                <w:color w:val="auto"/>
              </w:rPr>
            </w:pPr>
          </w:p>
        </w:tc>
        <w:tc>
          <w:tcPr>
            <w:tcW w:w="17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8980" w:type="dxa"/>
            <w:vAlign w:val="bottom"/>
            <w:gridSpan w:val="29"/>
            <w:shd w:val="clear" w:color="auto" w:fill="CCEEFF"/>
          </w:tcPr>
          <w:p>
            <w:pPr>
              <w:spacing w:after="0" w:line="203" w:lineRule="exact"/>
              <w:rPr>
                <w:rFonts w:ascii="Arial" w:cs="Arial" w:eastAsia="Arial" w:hAnsi="Arial"/>
                <w:sz w:val="22"/>
                <w:szCs w:val="22"/>
                <w:color w:val="0563C1"/>
              </w:rPr>
            </w:pPr>
            <w:hyperlink w:anchor="page6">
              <w:r>
                <w:rPr>
                  <w:rFonts w:ascii="Arial" w:cs="Arial" w:eastAsia="Arial" w:hAnsi="Arial"/>
                  <w:sz w:val="22"/>
                  <w:szCs w:val="22"/>
                  <w:color w:val="0563C1"/>
                </w:rPr>
                <w:t>Consolidated Statements of Capitalization (unaudited) –</w:t>
              </w:r>
            </w:hyperlink>
          </w:p>
        </w:tc>
        <w:tc>
          <w:tcPr>
            <w:tcW w:w="17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4600" w:type="dxa"/>
            <w:vAlign w:val="bottom"/>
            <w:tcBorders>
              <w:top w:val="single" w:sz="8" w:color="0563C1"/>
            </w:tcBorders>
            <w:gridSpan w:val="21"/>
            <w:shd w:val="clear" w:color="auto" w:fill="CCEEFF"/>
          </w:tcPr>
          <w:p>
            <w:pPr>
              <w:ind w:left="60"/>
              <w:spacing w:after="0" w:line="209" w:lineRule="exact"/>
              <w:rPr>
                <w:rFonts w:ascii="Arial" w:cs="Arial" w:eastAsia="Arial" w:hAnsi="Arial"/>
                <w:sz w:val="22"/>
                <w:szCs w:val="22"/>
                <w:color w:val="0563C1"/>
              </w:rPr>
            </w:pPr>
            <w:hyperlink w:anchor="page6">
              <w:r>
                <w:rPr>
                  <w:rFonts w:ascii="Arial" w:cs="Arial" w:eastAsia="Arial" w:hAnsi="Arial"/>
                  <w:sz w:val="22"/>
                  <w:szCs w:val="22"/>
                  <w:color w:val="0563C1"/>
                </w:rPr>
                <w:t>September 30, 2019 and December 31, 2018</w:t>
              </w:r>
            </w:hyperlink>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gridSpan w:val="4"/>
            <w:shd w:val="clear" w:color="auto" w:fill="CCEEFF"/>
          </w:tcPr>
          <w:p>
            <w:pPr>
              <w:spacing w:after="0"/>
              <w:rPr>
                <w:sz w:val="18"/>
                <w:szCs w:val="18"/>
                <w:color w:val="auto"/>
              </w:rPr>
            </w:pPr>
          </w:p>
        </w:tc>
        <w:tc>
          <w:tcPr>
            <w:tcW w:w="17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8980" w:type="dxa"/>
            <w:vAlign w:val="bottom"/>
            <w:gridSpan w:val="29"/>
            <w:shd w:val="clear" w:color="auto" w:fill="CCEEFF"/>
          </w:tcPr>
          <w:p>
            <w:pPr>
              <w:spacing w:after="0" w:line="203" w:lineRule="exact"/>
              <w:rPr>
                <w:rFonts w:ascii="Arial" w:cs="Arial" w:eastAsia="Arial" w:hAnsi="Arial"/>
                <w:sz w:val="22"/>
                <w:szCs w:val="22"/>
                <w:color w:val="0563C1"/>
              </w:rPr>
            </w:pPr>
            <w:hyperlink w:anchor="page7">
              <w:r>
                <w:rPr>
                  <w:rFonts w:ascii="Arial" w:cs="Arial" w:eastAsia="Arial" w:hAnsi="Arial"/>
                  <w:sz w:val="22"/>
                  <w:szCs w:val="22"/>
                  <w:color w:val="0563C1"/>
                </w:rPr>
                <w:t>Consolidated Statements of Equity (unaudited) –</w:t>
              </w:r>
            </w:hyperlink>
          </w:p>
        </w:tc>
        <w:tc>
          <w:tcPr>
            <w:tcW w:w="17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3960" w:type="dxa"/>
            <w:vAlign w:val="bottom"/>
            <w:tcBorders>
              <w:top w:val="single" w:sz="8" w:color="0563C1"/>
            </w:tcBorders>
            <w:gridSpan w:val="15"/>
            <w:shd w:val="clear" w:color="auto" w:fill="CCEEFF"/>
          </w:tcPr>
          <w:p>
            <w:pPr>
              <w:ind w:left="60"/>
              <w:spacing w:after="0" w:line="209" w:lineRule="exact"/>
              <w:rPr>
                <w:rFonts w:ascii="Arial" w:cs="Arial" w:eastAsia="Arial" w:hAnsi="Arial"/>
                <w:sz w:val="22"/>
                <w:szCs w:val="22"/>
                <w:color w:val="0563C1"/>
                <w:w w:val="97"/>
              </w:rPr>
            </w:pPr>
            <w:hyperlink w:anchor="page7">
              <w:r>
                <w:rPr>
                  <w:rFonts w:ascii="Arial" w:cs="Arial" w:eastAsia="Arial" w:hAnsi="Arial"/>
                  <w:sz w:val="22"/>
                  <w:szCs w:val="22"/>
                  <w:color w:val="0563C1"/>
                  <w:w w:val="97"/>
                </w:rPr>
                <w:t>Nine Months Ended September 30, 2019</w:t>
              </w:r>
            </w:hyperlink>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gridSpan w:val="4"/>
            <w:shd w:val="clear" w:color="auto" w:fill="CCEEFF"/>
          </w:tcPr>
          <w:p>
            <w:pPr>
              <w:spacing w:after="0"/>
              <w:rPr>
                <w:sz w:val="18"/>
                <w:szCs w:val="18"/>
                <w:color w:val="auto"/>
              </w:rPr>
            </w:pPr>
          </w:p>
        </w:tc>
        <w:tc>
          <w:tcPr>
            <w:tcW w:w="17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8980" w:type="dxa"/>
            <w:vAlign w:val="bottom"/>
            <w:gridSpan w:val="29"/>
            <w:shd w:val="clear" w:color="auto" w:fill="CCEEFF"/>
          </w:tcPr>
          <w:p>
            <w:pPr>
              <w:spacing w:after="0" w:line="203" w:lineRule="exact"/>
              <w:rPr>
                <w:rFonts w:ascii="Arial" w:cs="Arial" w:eastAsia="Arial" w:hAnsi="Arial"/>
                <w:sz w:val="22"/>
                <w:szCs w:val="22"/>
                <w:color w:val="0563C1"/>
              </w:rPr>
            </w:pPr>
            <w:hyperlink w:anchor="page8">
              <w:r>
                <w:rPr>
                  <w:rFonts w:ascii="Arial" w:cs="Arial" w:eastAsia="Arial" w:hAnsi="Arial"/>
                  <w:sz w:val="22"/>
                  <w:szCs w:val="22"/>
                  <w:color w:val="0563C1"/>
                </w:rPr>
                <w:t>Consolidated Statements of Equity (unaudited) –</w:t>
              </w:r>
            </w:hyperlink>
          </w:p>
        </w:tc>
        <w:tc>
          <w:tcPr>
            <w:tcW w:w="17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3900" w:type="dxa"/>
            <w:vAlign w:val="bottom"/>
            <w:tcBorders>
              <w:top w:val="single" w:sz="8" w:color="0563C1"/>
            </w:tcBorders>
            <w:gridSpan w:val="14"/>
            <w:shd w:val="clear" w:color="auto" w:fill="CCEEFF"/>
          </w:tcPr>
          <w:p>
            <w:pPr>
              <w:ind w:left="60"/>
              <w:spacing w:after="0" w:line="209" w:lineRule="exact"/>
              <w:rPr>
                <w:rFonts w:ascii="Arial" w:cs="Arial" w:eastAsia="Arial" w:hAnsi="Arial"/>
                <w:sz w:val="22"/>
                <w:szCs w:val="22"/>
                <w:color w:val="0563C1"/>
                <w:w w:val="95"/>
              </w:rPr>
            </w:pPr>
            <w:hyperlink w:anchor="page8">
              <w:r>
                <w:rPr>
                  <w:rFonts w:ascii="Arial" w:cs="Arial" w:eastAsia="Arial" w:hAnsi="Arial"/>
                  <w:sz w:val="22"/>
                  <w:szCs w:val="22"/>
                  <w:color w:val="0563C1"/>
                  <w:w w:val="95"/>
                </w:rPr>
                <w:t>Nine Months Ended September 30, 2018</w:t>
              </w:r>
            </w:hyperlink>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gridSpan w:val="4"/>
            <w:shd w:val="clear" w:color="auto" w:fill="CCEEFF"/>
          </w:tcPr>
          <w:p>
            <w:pPr>
              <w:spacing w:after="0"/>
              <w:rPr>
                <w:sz w:val="18"/>
                <w:szCs w:val="18"/>
                <w:color w:val="auto"/>
              </w:rPr>
            </w:pPr>
          </w:p>
        </w:tc>
        <w:tc>
          <w:tcPr>
            <w:tcW w:w="17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8980" w:type="dxa"/>
            <w:vAlign w:val="bottom"/>
            <w:gridSpan w:val="29"/>
            <w:shd w:val="clear" w:color="auto" w:fill="CCEEFF"/>
          </w:tcPr>
          <w:p>
            <w:pPr>
              <w:spacing w:after="0" w:line="203" w:lineRule="exact"/>
              <w:rPr>
                <w:rFonts w:ascii="Arial" w:cs="Arial" w:eastAsia="Arial" w:hAnsi="Arial"/>
                <w:sz w:val="22"/>
                <w:szCs w:val="22"/>
                <w:color w:val="0563C1"/>
              </w:rPr>
            </w:pPr>
            <w:hyperlink w:anchor="page9">
              <w:r>
                <w:rPr>
                  <w:rFonts w:ascii="Arial" w:cs="Arial" w:eastAsia="Arial" w:hAnsi="Arial"/>
                  <w:sz w:val="22"/>
                  <w:szCs w:val="22"/>
                  <w:color w:val="0563C1"/>
                </w:rPr>
                <w:t>Consolidated Statements of Cash Flow (unaudited) –</w:t>
              </w:r>
            </w:hyperlink>
          </w:p>
        </w:tc>
        <w:tc>
          <w:tcPr>
            <w:tcW w:w="17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720" w:type="dxa"/>
            <w:vAlign w:val="bottom"/>
            <w:gridSpan w:val="3"/>
            <w:shd w:val="clear" w:color="auto" w:fill="0563C1"/>
          </w:tcPr>
          <w:p>
            <w:pPr>
              <w:spacing w:after="0" w:line="20" w:lineRule="exact"/>
              <w:rPr>
                <w:sz w:val="1"/>
                <w:szCs w:val="1"/>
                <w:color w:val="auto"/>
              </w:rPr>
            </w:pPr>
          </w:p>
        </w:tc>
        <w:tc>
          <w:tcPr>
            <w:tcW w:w="740" w:type="dxa"/>
            <w:vAlign w:val="bottom"/>
            <w:tcBorders>
              <w:right w:val="single" w:sz="8" w:color="0000EE"/>
            </w:tcBorders>
            <w:gridSpan w:val="4"/>
            <w:shd w:val="clear" w:color="auto" w:fill="0563C1"/>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760" w:type="dxa"/>
            <w:vAlign w:val="bottom"/>
            <w:gridSpan w:val="4"/>
            <w:shd w:val="clear" w:color="auto" w:fill="CCEEFF"/>
          </w:tcPr>
          <w:p>
            <w:pPr>
              <w:spacing w:after="0" w:line="20" w:lineRule="exact"/>
              <w:rPr>
                <w:sz w:val="1"/>
                <w:szCs w:val="1"/>
                <w:color w:val="auto"/>
              </w:rPr>
            </w:pPr>
          </w:p>
        </w:tc>
        <w:tc>
          <w:tcPr>
            <w:tcW w:w="1780" w:type="dxa"/>
            <w:vAlign w:val="bottom"/>
            <w:gridSpan w:val="2"/>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720" w:type="dxa"/>
            <w:vAlign w:val="bottom"/>
            <w:gridSpan w:val="28"/>
            <w:shd w:val="clear" w:color="auto" w:fill="CCEEFF"/>
          </w:tcPr>
          <w:p>
            <w:pPr>
              <w:ind w:left="60"/>
              <w:spacing w:after="0" w:line="209" w:lineRule="exact"/>
              <w:rPr>
                <w:rFonts w:ascii="Arial" w:cs="Arial" w:eastAsia="Arial" w:hAnsi="Arial"/>
                <w:sz w:val="22"/>
                <w:szCs w:val="22"/>
                <w:color w:val="0563C1"/>
              </w:rPr>
            </w:pPr>
            <w:hyperlink w:anchor="page9">
              <w:r>
                <w:rPr>
                  <w:rFonts w:ascii="Arial" w:cs="Arial" w:eastAsia="Arial" w:hAnsi="Arial"/>
                  <w:sz w:val="22"/>
                  <w:szCs w:val="22"/>
                  <w:color w:val="0563C1"/>
                </w:rPr>
                <w:t>Nine Months Ended September 30, 2019 and 2018</w:t>
              </w:r>
            </w:hyperlink>
          </w:p>
        </w:tc>
        <w:tc>
          <w:tcPr>
            <w:tcW w:w="1780" w:type="dxa"/>
            <w:vAlign w:val="bottom"/>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980" w:type="dxa"/>
            <w:vAlign w:val="bottom"/>
            <w:gridSpan w:val="29"/>
            <w:shd w:val="clear" w:color="auto" w:fill="CCEEFF"/>
          </w:tcPr>
          <w:p>
            <w:pPr>
              <w:spacing w:after="0" w:line="203" w:lineRule="exact"/>
              <w:rPr>
                <w:rFonts w:ascii="Arial" w:cs="Arial" w:eastAsia="Arial" w:hAnsi="Arial"/>
                <w:sz w:val="22"/>
                <w:szCs w:val="22"/>
                <w:color w:val="0563C1"/>
              </w:rPr>
            </w:pPr>
            <w:hyperlink w:anchor="page10">
              <w:r>
                <w:rPr>
                  <w:rFonts w:ascii="Arial" w:cs="Arial" w:eastAsia="Arial" w:hAnsi="Arial"/>
                  <w:sz w:val="22"/>
                  <w:szCs w:val="22"/>
                  <w:color w:val="0563C1"/>
                </w:rPr>
                <w:t>Notes to Consolidated Financial Statements (unaudited)</w:t>
              </w:r>
            </w:hyperlink>
          </w:p>
        </w:tc>
        <w:tc>
          <w:tcPr>
            <w:tcW w:w="1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620" w:type="dxa"/>
            <w:vAlign w:val="bottom"/>
            <w:gridSpan w:val="30"/>
            <w:shd w:val="clear" w:color="auto" w:fill="CCEEFF"/>
          </w:tcPr>
          <w:p>
            <w:pPr>
              <w:spacing w:after="0" w:line="203" w:lineRule="exact"/>
              <w:rPr>
                <w:rFonts w:ascii="Arial" w:cs="Arial" w:eastAsia="Arial" w:hAnsi="Arial"/>
                <w:sz w:val="22"/>
                <w:szCs w:val="22"/>
                <w:color w:val="0563C1"/>
              </w:rPr>
            </w:pPr>
            <w:hyperlink w:anchor="page35">
              <w:r>
                <w:rPr>
                  <w:rFonts w:ascii="Arial" w:cs="Arial" w:eastAsia="Arial" w:hAnsi="Arial"/>
                  <w:sz w:val="22"/>
                  <w:szCs w:val="22"/>
                  <w:color w:val="0563C1"/>
                </w:rPr>
                <w:t>Item 2. Management’s Discussion and Analysis of Financial</w:t>
              </w:r>
            </w:hyperlink>
          </w:p>
        </w:tc>
        <w:tc>
          <w:tcPr>
            <w:tcW w:w="178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Borders>
              <w:top w:val="single" w:sz="8" w:color="0563C1"/>
              <w:right w:val="single" w:sz="8" w:color="CCEEFF"/>
            </w:tcBorders>
            <w:shd w:val="clear" w:color="auto" w:fill="CCEEFF"/>
          </w:tcPr>
          <w:p>
            <w:pPr>
              <w:spacing w:after="0"/>
              <w:rPr>
                <w:sz w:val="18"/>
                <w:szCs w:val="18"/>
                <w:color w:val="auto"/>
              </w:rPr>
            </w:pPr>
          </w:p>
        </w:tc>
        <w:tc>
          <w:tcPr>
            <w:tcW w:w="4620" w:type="dxa"/>
            <w:vAlign w:val="bottom"/>
            <w:tcBorders>
              <w:top w:val="single" w:sz="8" w:color="0563C1"/>
              <w:right w:val="single" w:sz="8" w:color="CCEEFF"/>
            </w:tcBorders>
            <w:gridSpan w:val="17"/>
            <w:shd w:val="clear" w:color="auto" w:fill="CCEEFF"/>
          </w:tcPr>
          <w:p>
            <w:pPr>
              <w:spacing w:after="0" w:line="209" w:lineRule="exact"/>
              <w:rPr>
                <w:rFonts w:ascii="Arial" w:cs="Arial" w:eastAsia="Arial" w:hAnsi="Arial"/>
                <w:sz w:val="22"/>
                <w:szCs w:val="22"/>
                <w:color w:val="0563C1"/>
              </w:rPr>
            </w:pPr>
            <w:hyperlink w:anchor="page35">
              <w:r>
                <w:rPr>
                  <w:rFonts w:ascii="Arial" w:cs="Arial" w:eastAsia="Arial" w:hAnsi="Arial"/>
                  <w:sz w:val="22"/>
                  <w:szCs w:val="22"/>
                  <w:color w:val="0563C1"/>
                </w:rPr>
                <w:t>Condition and Results of Operations</w:t>
              </w:r>
            </w:hyperlink>
          </w:p>
        </w:tc>
        <w:tc>
          <w:tcPr>
            <w:tcW w:w="660" w:type="dxa"/>
            <w:vAlign w:val="bottom"/>
            <w:tcBorders>
              <w:top w:val="single" w:sz="8" w:color="CCEEFF"/>
            </w:tcBorders>
            <w:gridSpan w:val="6"/>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gridSpan w:val="4"/>
            <w:shd w:val="clear" w:color="auto" w:fill="CCEEFF"/>
          </w:tcPr>
          <w:p>
            <w:pPr>
              <w:spacing w:after="0"/>
              <w:rPr>
                <w:sz w:val="18"/>
                <w:szCs w:val="18"/>
                <w:color w:val="auto"/>
              </w:rPr>
            </w:pPr>
          </w:p>
        </w:tc>
        <w:tc>
          <w:tcPr>
            <w:tcW w:w="1780" w:type="dxa"/>
            <w:vAlign w:val="bottom"/>
            <w:tcBorders>
              <w:top w:val="single" w:sz="8" w:color="CCEEFF"/>
            </w:tcBorders>
            <w:gridSpan w:val="2"/>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 w:type="dxa"/>
            <w:vAlign w:val="bottom"/>
            <w:tcBorders>
              <w:right w:val="single" w:sz="8" w:color="CCEEFF"/>
            </w:tcBorders>
            <w:shd w:val="clear" w:color="auto" w:fill="CCEEFF"/>
          </w:tcPr>
          <w:p>
            <w:pPr>
              <w:spacing w:after="0" w:line="203" w:lineRule="exact"/>
              <w:rPr>
                <w:rFonts w:ascii="Arial" w:cs="Arial" w:eastAsia="Arial" w:hAnsi="Arial"/>
                <w:sz w:val="22"/>
                <w:szCs w:val="22"/>
                <w:color w:val="0563C1"/>
                <w:w w:val="89"/>
              </w:rPr>
            </w:pPr>
            <w:hyperlink w:anchor="page43">
              <w:r>
                <w:rPr>
                  <w:rFonts w:ascii="Arial" w:cs="Arial" w:eastAsia="Arial" w:hAnsi="Arial"/>
                  <w:sz w:val="22"/>
                  <w:szCs w:val="22"/>
                  <w:color w:val="0563C1"/>
                  <w:w w:val="89"/>
                </w:rPr>
                <w:t>Item 3.</w:t>
              </w:r>
            </w:hyperlink>
          </w:p>
        </w:tc>
        <w:tc>
          <w:tcPr>
            <w:tcW w:w="898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43">
              <w:r>
                <w:rPr>
                  <w:rFonts w:ascii="Arial" w:cs="Arial" w:eastAsia="Arial" w:hAnsi="Arial"/>
                  <w:sz w:val="22"/>
                  <w:szCs w:val="22"/>
                  <w:color w:val="0563C1"/>
                </w:rPr>
                <w:t>Quantitative and Qualitative Disclosures About Market Risk</w:t>
              </w:r>
            </w:hyperlink>
          </w:p>
        </w:tc>
        <w:tc>
          <w:tcPr>
            <w:tcW w:w="1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 w:type="dxa"/>
            <w:vAlign w:val="bottom"/>
            <w:tcBorders>
              <w:right w:val="single" w:sz="8" w:color="CCEEFF"/>
            </w:tcBorders>
            <w:shd w:val="clear" w:color="auto" w:fill="CCEEFF"/>
          </w:tcPr>
          <w:p>
            <w:pPr>
              <w:spacing w:after="0" w:line="203" w:lineRule="exact"/>
              <w:rPr>
                <w:rFonts w:ascii="Arial" w:cs="Arial" w:eastAsia="Arial" w:hAnsi="Arial"/>
                <w:sz w:val="22"/>
                <w:szCs w:val="22"/>
                <w:color w:val="0563C1"/>
                <w:w w:val="89"/>
              </w:rPr>
            </w:pPr>
            <w:hyperlink w:anchor="page43">
              <w:r>
                <w:rPr>
                  <w:rFonts w:ascii="Arial" w:cs="Arial" w:eastAsia="Arial" w:hAnsi="Arial"/>
                  <w:sz w:val="22"/>
                  <w:szCs w:val="22"/>
                  <w:color w:val="0563C1"/>
                  <w:w w:val="89"/>
                </w:rPr>
                <w:t>Item 4.</w:t>
              </w:r>
            </w:hyperlink>
          </w:p>
        </w:tc>
        <w:tc>
          <w:tcPr>
            <w:tcW w:w="898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43">
              <w:r>
                <w:rPr>
                  <w:rFonts w:ascii="Arial" w:cs="Arial" w:eastAsia="Arial" w:hAnsi="Arial"/>
                  <w:sz w:val="22"/>
                  <w:szCs w:val="22"/>
                  <w:color w:val="0563C1"/>
                </w:rPr>
                <w:t>Controls and Procedures</w:t>
              </w:r>
            </w:hyperlink>
          </w:p>
        </w:tc>
        <w:tc>
          <w:tcPr>
            <w:tcW w:w="1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40" w:type="dxa"/>
            <w:vAlign w:val="bottom"/>
            <w:gridSpan w:val="17"/>
            <w:shd w:val="clear" w:color="auto" w:fill="CCEEFF"/>
          </w:tcPr>
          <w:p>
            <w:pPr>
              <w:jc w:val="center"/>
              <w:ind w:right="2720"/>
              <w:spacing w:after="0" w:line="203" w:lineRule="exact"/>
              <w:rPr>
                <w:rFonts w:ascii="Arial" w:cs="Arial" w:eastAsia="Arial" w:hAnsi="Arial"/>
                <w:sz w:val="22"/>
                <w:szCs w:val="22"/>
                <w:color w:val="0563C1"/>
                <w:w w:val="91"/>
              </w:rPr>
            </w:pPr>
            <w:hyperlink w:anchor="page43">
              <w:r>
                <w:rPr>
                  <w:rFonts w:ascii="Arial" w:cs="Arial" w:eastAsia="Arial" w:hAnsi="Arial"/>
                  <w:sz w:val="22"/>
                  <w:szCs w:val="22"/>
                  <w:color w:val="0563C1"/>
                  <w:w w:val="91"/>
                </w:rPr>
                <w:t>Part II – Other Information</w:t>
              </w:r>
            </w:hyperlink>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920" w:type="dxa"/>
            <w:vAlign w:val="bottom"/>
            <w:tcBorders>
              <w:top w:val="single" w:sz="8" w:color="0563C1"/>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 w:type="dxa"/>
            <w:vAlign w:val="bottom"/>
            <w:tcBorders>
              <w:right w:val="single" w:sz="8" w:color="CCEEFF"/>
            </w:tcBorders>
            <w:shd w:val="clear" w:color="auto" w:fill="CCEEFF"/>
          </w:tcPr>
          <w:p>
            <w:pPr>
              <w:spacing w:after="0" w:line="203" w:lineRule="exact"/>
              <w:rPr>
                <w:rFonts w:ascii="Arial" w:cs="Arial" w:eastAsia="Arial" w:hAnsi="Arial"/>
                <w:sz w:val="22"/>
                <w:szCs w:val="22"/>
                <w:color w:val="0563C1"/>
                <w:w w:val="89"/>
              </w:rPr>
            </w:pPr>
            <w:hyperlink w:anchor="page43">
              <w:r>
                <w:rPr>
                  <w:rFonts w:ascii="Arial" w:cs="Arial" w:eastAsia="Arial" w:hAnsi="Arial"/>
                  <w:sz w:val="22"/>
                  <w:szCs w:val="22"/>
                  <w:color w:val="0563C1"/>
                  <w:w w:val="89"/>
                </w:rPr>
                <w:t>Item 1.</w:t>
              </w:r>
            </w:hyperlink>
          </w:p>
        </w:tc>
        <w:tc>
          <w:tcPr>
            <w:tcW w:w="898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43">
              <w:r>
                <w:rPr>
                  <w:rFonts w:ascii="Arial" w:cs="Arial" w:eastAsia="Arial" w:hAnsi="Arial"/>
                  <w:sz w:val="22"/>
                  <w:szCs w:val="22"/>
                  <w:color w:val="0563C1"/>
                </w:rPr>
                <w:t>Legal Proceedings</w:t>
              </w:r>
            </w:hyperlink>
          </w:p>
        </w:tc>
        <w:tc>
          <w:tcPr>
            <w:tcW w:w="1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20" w:type="dxa"/>
            <w:vAlign w:val="bottom"/>
            <w:gridSpan w:val="30"/>
            <w:shd w:val="clear" w:color="auto" w:fill="CCEEFF"/>
          </w:tcPr>
          <w:p>
            <w:pPr>
              <w:spacing w:after="0" w:line="203" w:lineRule="exact"/>
              <w:rPr>
                <w:rFonts w:ascii="Arial" w:cs="Arial" w:eastAsia="Arial" w:hAnsi="Arial"/>
                <w:sz w:val="22"/>
                <w:szCs w:val="22"/>
                <w:color w:val="0563C1"/>
              </w:rPr>
            </w:pPr>
            <w:hyperlink w:anchor="page44">
              <w:r>
                <w:rPr>
                  <w:rFonts w:ascii="Arial" w:cs="Arial" w:eastAsia="Arial" w:hAnsi="Arial"/>
                  <w:sz w:val="22"/>
                  <w:szCs w:val="22"/>
                  <w:color w:val="0563C1"/>
                </w:rPr>
                <w:t>Item 1A. Risk Factors</w:t>
              </w:r>
            </w:hyperlink>
          </w:p>
        </w:tc>
        <w:tc>
          <w:tcPr>
            <w:tcW w:w="1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 w:type="dxa"/>
            <w:vAlign w:val="bottom"/>
            <w:tcBorders>
              <w:right w:val="single" w:sz="8" w:color="CCEEFF"/>
            </w:tcBorders>
            <w:shd w:val="clear" w:color="auto" w:fill="CCEEFF"/>
          </w:tcPr>
          <w:p>
            <w:pPr>
              <w:spacing w:after="0" w:line="203" w:lineRule="exact"/>
              <w:rPr>
                <w:rFonts w:ascii="Arial" w:cs="Arial" w:eastAsia="Arial" w:hAnsi="Arial"/>
                <w:sz w:val="22"/>
                <w:szCs w:val="22"/>
                <w:color w:val="0563C1"/>
                <w:w w:val="89"/>
              </w:rPr>
            </w:pPr>
            <w:hyperlink w:anchor="page47">
              <w:r>
                <w:rPr>
                  <w:rFonts w:ascii="Arial" w:cs="Arial" w:eastAsia="Arial" w:hAnsi="Arial"/>
                  <w:sz w:val="22"/>
                  <w:szCs w:val="22"/>
                  <w:color w:val="0563C1"/>
                  <w:w w:val="89"/>
                </w:rPr>
                <w:t>Item 2.</w:t>
              </w:r>
            </w:hyperlink>
          </w:p>
        </w:tc>
        <w:tc>
          <w:tcPr>
            <w:tcW w:w="898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47">
              <w:r>
                <w:rPr>
                  <w:rFonts w:ascii="Arial" w:cs="Arial" w:eastAsia="Arial" w:hAnsi="Arial"/>
                  <w:sz w:val="22"/>
                  <w:szCs w:val="22"/>
                  <w:color w:val="0563C1"/>
                </w:rPr>
                <w:t>Unregistered Sales of Equity Securities and Use of Proceeds</w:t>
              </w:r>
            </w:hyperlink>
          </w:p>
        </w:tc>
        <w:tc>
          <w:tcPr>
            <w:tcW w:w="1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3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6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 w:type="dxa"/>
            <w:vAlign w:val="bottom"/>
            <w:tcBorders>
              <w:right w:val="single" w:sz="8" w:color="CCEEFF"/>
            </w:tcBorders>
            <w:shd w:val="clear" w:color="auto" w:fill="CCEEFF"/>
          </w:tcPr>
          <w:p>
            <w:pPr>
              <w:spacing w:after="0" w:line="203" w:lineRule="exact"/>
              <w:rPr>
                <w:rFonts w:ascii="Arial" w:cs="Arial" w:eastAsia="Arial" w:hAnsi="Arial"/>
                <w:sz w:val="22"/>
                <w:szCs w:val="22"/>
                <w:color w:val="0563C1"/>
                <w:w w:val="89"/>
              </w:rPr>
            </w:pPr>
            <w:hyperlink w:anchor="page48">
              <w:r>
                <w:rPr>
                  <w:rFonts w:ascii="Arial" w:cs="Arial" w:eastAsia="Arial" w:hAnsi="Arial"/>
                  <w:sz w:val="22"/>
                  <w:szCs w:val="22"/>
                  <w:color w:val="0563C1"/>
                  <w:w w:val="89"/>
                </w:rPr>
                <w:t>Item 6.</w:t>
              </w:r>
            </w:hyperlink>
          </w:p>
        </w:tc>
        <w:tc>
          <w:tcPr>
            <w:tcW w:w="8980" w:type="dxa"/>
            <w:vAlign w:val="bottom"/>
            <w:gridSpan w:val="29"/>
            <w:shd w:val="clear" w:color="auto" w:fill="CCEEFF"/>
          </w:tcPr>
          <w:p>
            <w:pPr>
              <w:ind w:left="60"/>
              <w:spacing w:after="0" w:line="203" w:lineRule="exact"/>
              <w:rPr>
                <w:rFonts w:ascii="Arial" w:cs="Arial" w:eastAsia="Arial" w:hAnsi="Arial"/>
                <w:sz w:val="22"/>
                <w:szCs w:val="22"/>
                <w:color w:val="0563C1"/>
              </w:rPr>
            </w:pPr>
            <w:hyperlink w:anchor="page48">
              <w:r>
                <w:rPr>
                  <w:rFonts w:ascii="Arial" w:cs="Arial" w:eastAsia="Arial" w:hAnsi="Arial"/>
                  <w:sz w:val="22"/>
                  <w:szCs w:val="22"/>
                  <w:color w:val="0563C1"/>
                </w:rPr>
                <w:t>Exhibits</w:t>
              </w:r>
            </w:hyperlink>
          </w:p>
        </w:tc>
        <w:tc>
          <w:tcPr>
            <w:tcW w:w="1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20" w:type="dxa"/>
            <w:vAlign w:val="bottom"/>
            <w:gridSpan w:val="30"/>
            <w:shd w:val="clear" w:color="auto" w:fill="CCEEFF"/>
          </w:tcPr>
          <w:p>
            <w:pPr>
              <w:spacing w:after="0" w:line="203" w:lineRule="exact"/>
              <w:rPr>
                <w:rFonts w:ascii="Arial" w:cs="Arial" w:eastAsia="Arial" w:hAnsi="Arial"/>
                <w:sz w:val="22"/>
                <w:szCs w:val="22"/>
                <w:color w:val="0563C1"/>
              </w:rPr>
            </w:pPr>
            <w:hyperlink w:anchor="page49">
              <w:r>
                <w:rPr>
                  <w:rFonts w:ascii="Arial" w:cs="Arial" w:eastAsia="Arial" w:hAnsi="Arial"/>
                  <w:sz w:val="22"/>
                  <w:szCs w:val="22"/>
                  <w:color w:val="0563C1"/>
                </w:rPr>
                <w:t>Signatures</w:t>
              </w:r>
            </w:hyperlink>
          </w:p>
        </w:tc>
        <w:tc>
          <w:tcPr>
            <w:tcW w:w="1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07"/>
        </w:trPr>
        <w:tc>
          <w:tcPr>
            <w:tcW w:w="20" w:type="dxa"/>
            <w:vAlign w:val="bottom"/>
          </w:tcPr>
          <w:p>
            <w:pPr>
              <w:spacing w:after="0"/>
              <w:rPr>
                <w:sz w:val="24"/>
                <w:szCs w:val="24"/>
                <w:color w:val="auto"/>
              </w:rPr>
            </w:pPr>
          </w:p>
        </w:tc>
        <w:tc>
          <w:tcPr>
            <w:tcW w:w="64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5020" w:type="dxa"/>
            <w:vAlign w:val="bottom"/>
            <w:tcBorders>
              <w:top w:val="single" w:sz="8" w:color="CCEEFF"/>
            </w:tcBorders>
            <w:gridSpan w:val="22"/>
          </w:tcPr>
          <w:p>
            <w:pPr>
              <w:jc w:val="center"/>
              <w:ind w:left="4452"/>
              <w:spacing w:after="0"/>
              <w:rPr>
                <w:sz w:val="20"/>
                <w:szCs w:val="20"/>
                <w:color w:val="auto"/>
              </w:rPr>
            </w:pPr>
            <w:r>
              <w:rPr>
                <w:rFonts w:ascii="Arial" w:cs="Arial" w:eastAsia="Arial" w:hAnsi="Arial"/>
                <w:sz w:val="22"/>
                <w:szCs w:val="22"/>
                <w:color w:val="auto"/>
                <w:w w:val="81"/>
              </w:rPr>
              <w:t>1</w:t>
            </w:r>
          </w:p>
        </w:tc>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2" w:name="page3"/>
    <w:bookmarkEnd w:id="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CONSOLIDATED BALANCE SHEETS</w:t>
      </w:r>
    </w:p>
    <w:p>
      <w:pPr>
        <w:jc w:val="center"/>
        <w:ind w:right="4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80" w:type="dxa"/>
            <w:vAlign w:val="bottom"/>
            <w:vMerge w:val="restart"/>
          </w:tcPr>
          <w:p>
            <w:pPr>
              <w:ind w:left="4120"/>
              <w:spacing w:after="0"/>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September 30,</w:t>
            </w:r>
          </w:p>
        </w:tc>
        <w:tc>
          <w:tcPr>
            <w:tcW w:w="10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8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Property, plant and equipment, at cost</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7,998,861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7,648,469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Less: accumulated depreciation</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1,801,909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1,718,143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property, plant and equipment</w:t>
            </w: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6,196,952</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5,930,326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assets: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ind w:left="100"/>
              <w:spacing w:after="0" w:line="162" w:lineRule="exact"/>
              <w:rPr>
                <w:sz w:val="20"/>
                <w:szCs w:val="20"/>
                <w:color w:val="auto"/>
              </w:rPr>
            </w:pPr>
            <w:r>
              <w:rPr>
                <w:rFonts w:ascii="Arial" w:cs="Arial" w:eastAsia="Arial" w:hAnsi="Arial"/>
                <w:sz w:val="16"/>
                <w:szCs w:val="16"/>
                <w:color w:val="auto"/>
              </w:rPr>
              <w:t>Cash and cash equivalents</w:t>
            </w:r>
          </w:p>
        </w:tc>
        <w:tc>
          <w:tcPr>
            <w:tcW w:w="1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color w:val="auto"/>
              </w:rPr>
              <w:t>2,030,568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Accounts receivable, net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75,573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65,825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ind w:left="100"/>
              <w:spacing w:after="0" w:line="162" w:lineRule="exact"/>
              <w:rPr>
                <w:sz w:val="20"/>
                <w:szCs w:val="20"/>
                <w:color w:val="auto"/>
              </w:rPr>
            </w:pPr>
            <w:r>
              <w:rPr>
                <w:rFonts w:ascii="Arial" w:cs="Arial" w:eastAsia="Arial" w:hAnsi="Arial"/>
                <w:sz w:val="16"/>
                <w:szCs w:val="16"/>
                <w:color w:val="auto"/>
              </w:rPr>
              <w:t>Unbilled revenues</w:t>
            </w:r>
          </w:p>
        </w:tc>
        <w:tc>
          <w:tcPr>
            <w:tcW w:w="1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color w:val="auto"/>
              </w:rPr>
              <w:t>41,406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35,400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Inventory, materials and supplies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17,035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15,844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ind w:left="100"/>
              <w:spacing w:after="0" w:line="162" w:lineRule="exact"/>
              <w:rPr>
                <w:sz w:val="20"/>
                <w:szCs w:val="20"/>
                <w:color w:val="auto"/>
              </w:rPr>
            </w:pPr>
            <w:r>
              <w:rPr>
                <w:rFonts w:ascii="Arial" w:cs="Arial" w:eastAsia="Arial" w:hAnsi="Arial"/>
                <w:sz w:val="16"/>
                <w:szCs w:val="16"/>
                <w:color w:val="auto"/>
              </w:rPr>
              <w:t>Prepayments and other current assets</w:t>
            </w:r>
          </w:p>
        </w:tc>
        <w:tc>
          <w:tcPr>
            <w:tcW w:w="1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color w:val="auto"/>
              </w:rPr>
              <w:t>12,753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23,337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Assets held for sale</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1,558</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Total current assets</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2,178,893</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147,172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80" w:type="dxa"/>
            <w:vAlign w:val="bottom"/>
          </w:tcPr>
          <w:p>
            <w:pPr>
              <w:spacing w:after="0" w:line="162" w:lineRule="exact"/>
              <w:rPr>
                <w:sz w:val="20"/>
                <w:szCs w:val="20"/>
                <w:color w:val="auto"/>
              </w:rPr>
            </w:pPr>
            <w:r>
              <w:rPr>
                <w:rFonts w:ascii="Arial" w:cs="Arial" w:eastAsia="Arial" w:hAnsi="Arial"/>
                <w:sz w:val="16"/>
                <w:szCs w:val="16"/>
                <w:color w:val="auto"/>
              </w:rPr>
              <w:t>Regulatory assets</w:t>
            </w:r>
          </w:p>
        </w:tc>
        <w:tc>
          <w:tcPr>
            <w:tcW w:w="1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color w:val="auto"/>
              </w:rPr>
              <w:t>851,061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788,076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charges and other assets, net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42,227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39,237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spacing w:after="0" w:line="162" w:lineRule="exact"/>
              <w:rPr>
                <w:sz w:val="20"/>
                <w:szCs w:val="20"/>
                <w:color w:val="auto"/>
              </w:rPr>
            </w:pPr>
            <w:r>
              <w:rPr>
                <w:rFonts w:ascii="Arial" w:cs="Arial" w:eastAsia="Arial" w:hAnsi="Arial"/>
                <w:sz w:val="16"/>
                <w:szCs w:val="16"/>
                <w:color w:val="auto"/>
              </w:rPr>
              <w:t>Investment in joint venture</w:t>
            </w:r>
          </w:p>
        </w:tc>
        <w:tc>
          <w:tcPr>
            <w:tcW w:w="1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color w:val="auto"/>
              </w:rPr>
              <w:t>6,253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6,959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52,701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52,726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Operating lease right-of-use assets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12,883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9,340,970</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6,964,496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3620"/>
              <w:spacing w:after="0" w:line="159" w:lineRule="exact"/>
              <w:rPr>
                <w:sz w:val="20"/>
                <w:szCs w:val="20"/>
                <w:color w:val="auto"/>
              </w:rPr>
            </w:pPr>
            <w:r>
              <w:rPr>
                <w:rFonts w:ascii="Arial" w:cs="Arial" w:eastAsia="Arial" w:hAnsi="Arial"/>
                <w:sz w:val="16"/>
                <w:szCs w:val="16"/>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8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90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880" w:type="dxa"/>
            <w:vAlign w:val="bottom"/>
            <w:shd w:val="clear" w:color="auto" w:fill="CCEEFF"/>
          </w:tcPr>
          <w:p>
            <w:pPr>
              <w:ind w:left="100"/>
              <w:spacing w:after="0" w:line="138" w:lineRule="exact"/>
              <w:rPr>
                <w:sz w:val="20"/>
                <w:szCs w:val="20"/>
                <w:color w:val="auto"/>
              </w:rPr>
            </w:pPr>
            <w:r>
              <w:rPr>
                <w:rFonts w:ascii="Arial" w:cs="Arial" w:eastAsia="Arial" w:hAnsi="Arial"/>
                <w:sz w:val="16"/>
                <w:szCs w:val="16"/>
                <w:color w:val="auto"/>
                <w:w w:val="94"/>
              </w:rPr>
              <w:t>Common stock at $0.50 par value, authorized 300,000,000 shares, issued 218,940,681 and 181,151,827 as of September 30, 2019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109,471</w:t>
            </w:r>
          </w:p>
        </w:tc>
        <w:tc>
          <w:tcPr>
            <w:tcW w:w="1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90,576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and December 31, 2018</w:t>
            </w:r>
          </w:p>
        </w:tc>
        <w:tc>
          <w:tcPr>
            <w:tcW w:w="10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ind w:left="100"/>
              <w:spacing w:after="0" w:line="162" w:lineRule="exact"/>
              <w:rPr>
                <w:sz w:val="20"/>
                <w:szCs w:val="20"/>
                <w:color w:val="auto"/>
              </w:rPr>
            </w:pPr>
            <w:r>
              <w:rPr>
                <w:rFonts w:ascii="Arial" w:cs="Arial" w:eastAsia="Arial" w:hAnsi="Arial"/>
                <w:sz w:val="16"/>
                <w:szCs w:val="16"/>
                <w:color w:val="auto"/>
              </w:rPr>
              <w:t>Capital in excess of par value</w:t>
            </w:r>
          </w:p>
        </w:tc>
        <w:tc>
          <w:tcPr>
            <w:tcW w:w="1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color w:val="auto"/>
              </w:rPr>
              <w:t>2,633,193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820,378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Retained earnings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1,197,600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1,174,245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ind w:left="100"/>
              <w:spacing w:after="0" w:line="162" w:lineRule="exact"/>
              <w:rPr>
                <w:sz w:val="20"/>
                <w:szCs w:val="20"/>
                <w:color w:val="auto"/>
              </w:rPr>
            </w:pPr>
            <w:r>
              <w:rPr>
                <w:rFonts w:ascii="Arial" w:cs="Arial" w:eastAsia="Arial" w:hAnsi="Arial"/>
                <w:sz w:val="16"/>
                <w:szCs w:val="16"/>
                <w:color w:val="auto"/>
              </w:rPr>
              <w:t>Treasury stock, at cost, 3,112,565 and 3,060,206 shares as of September 30, 2019 and December 31, 2018</w:t>
            </w:r>
          </w:p>
        </w:tc>
        <w:tc>
          <w:tcPr>
            <w:tcW w:w="100" w:type="dxa"/>
            <w:vAlign w:val="bottom"/>
          </w:tcPr>
          <w:p>
            <w:pPr>
              <w:spacing w:after="0"/>
              <w:rPr>
                <w:sz w:val="14"/>
                <w:szCs w:val="14"/>
                <w:color w:val="auto"/>
              </w:rPr>
            </w:pPr>
          </w:p>
        </w:tc>
        <w:tc>
          <w:tcPr>
            <w:tcW w:w="126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(77,702)</w:t>
            </w: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(75,835)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3,862,562</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2,009,364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Long-term debt, excluding current portion</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2,933,905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2,419,115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Less: debt issuance costs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35,607</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20,651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Long-term debt, excluding current portion, net of debt issuance costs</w:t>
            </w: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2,898,298</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2,398,464</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6"/>
                <w:szCs w:val="16"/>
                <w:color w:val="auto"/>
              </w:rPr>
              <w:t>Commitments and contingencies (See Note 15)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80" w:type="dxa"/>
            <w:vAlign w:val="bottom"/>
          </w:tcPr>
          <w:p>
            <w:pPr>
              <w:spacing w:after="0" w:line="162" w:lineRule="exact"/>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Current portion of long-term debt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178,116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144,545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ind w:left="100"/>
              <w:spacing w:after="0" w:line="162" w:lineRule="exact"/>
              <w:rPr>
                <w:sz w:val="20"/>
                <w:szCs w:val="20"/>
                <w:color w:val="auto"/>
              </w:rPr>
            </w:pPr>
            <w:r>
              <w:rPr>
                <w:rFonts w:ascii="Arial" w:cs="Arial" w:eastAsia="Arial" w:hAnsi="Arial"/>
                <w:sz w:val="16"/>
                <w:szCs w:val="16"/>
                <w:color w:val="auto"/>
              </w:rPr>
              <w:t>Loans payable</w:t>
            </w:r>
          </w:p>
        </w:tc>
        <w:tc>
          <w:tcPr>
            <w:tcW w:w="1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color w:val="auto"/>
              </w:rPr>
              <w:t>10,000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15,449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57,589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77,331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ind w:left="100"/>
              <w:spacing w:after="0" w:line="162" w:lineRule="exact"/>
              <w:rPr>
                <w:sz w:val="20"/>
                <w:szCs w:val="20"/>
                <w:color w:val="auto"/>
              </w:rPr>
            </w:pPr>
            <w:r>
              <w:rPr>
                <w:rFonts w:ascii="Arial" w:cs="Arial" w:eastAsia="Arial" w:hAnsi="Arial"/>
                <w:sz w:val="16"/>
                <w:szCs w:val="16"/>
                <w:color w:val="auto"/>
              </w:rPr>
              <w:t>Book overdraft</w:t>
            </w:r>
          </w:p>
        </w:tc>
        <w:tc>
          <w:tcPr>
            <w:tcW w:w="1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color w:val="auto"/>
              </w:rPr>
              <w:t>5,068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8,950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Accrued interest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38,251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23,300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ind w:left="100"/>
              <w:spacing w:after="0" w:line="162" w:lineRule="exact"/>
              <w:rPr>
                <w:sz w:val="20"/>
                <w:szCs w:val="20"/>
                <w:color w:val="auto"/>
              </w:rPr>
            </w:pPr>
            <w:r>
              <w:rPr>
                <w:rFonts w:ascii="Arial" w:cs="Arial" w:eastAsia="Arial" w:hAnsi="Arial"/>
                <w:sz w:val="16"/>
                <w:szCs w:val="16"/>
                <w:color w:val="auto"/>
              </w:rPr>
              <w:t>Accrued taxes</w:t>
            </w:r>
          </w:p>
        </w:tc>
        <w:tc>
          <w:tcPr>
            <w:tcW w:w="1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color w:val="auto"/>
              </w:rPr>
              <w:t>17,568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22,234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Interest rate swap agreements</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59,779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6"/>
                <w:szCs w:val="16"/>
                <w:color w:val="auto"/>
              </w:rPr>
              <w:t>Other accrued liabilities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45,531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47,389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Total current liabilities</w:t>
            </w: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352,123</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398,977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credits and other liabilities: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ind w:left="100"/>
              <w:spacing w:after="0" w:line="162" w:lineRule="exact"/>
              <w:rPr>
                <w:sz w:val="20"/>
                <w:szCs w:val="20"/>
                <w:color w:val="auto"/>
              </w:rPr>
            </w:pPr>
            <w:r>
              <w:rPr>
                <w:rFonts w:ascii="Arial" w:cs="Arial" w:eastAsia="Arial" w:hAnsi="Arial"/>
                <w:sz w:val="16"/>
                <w:szCs w:val="16"/>
                <w:color w:val="auto"/>
              </w:rPr>
              <w:t>Deferred income taxes and investment tax credits</w:t>
            </w:r>
          </w:p>
        </w:tc>
        <w:tc>
          <w:tcPr>
            <w:tcW w:w="1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color w:val="auto"/>
              </w:rPr>
              <w:t>909,232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845,403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Customers' advances for construction</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104,393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93,343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ind w:left="100"/>
              <w:spacing w:after="0" w:line="162" w:lineRule="exact"/>
              <w:rPr>
                <w:sz w:val="20"/>
                <w:szCs w:val="20"/>
                <w:color w:val="auto"/>
              </w:rPr>
            </w:pPr>
            <w:r>
              <w:rPr>
                <w:rFonts w:ascii="Arial" w:cs="Arial" w:eastAsia="Arial" w:hAnsi="Arial"/>
                <w:sz w:val="16"/>
                <w:szCs w:val="16"/>
                <w:color w:val="auto"/>
              </w:rPr>
              <w:t>Regulatory liabilities</w:t>
            </w:r>
          </w:p>
        </w:tc>
        <w:tc>
          <w:tcPr>
            <w:tcW w:w="1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color w:val="auto"/>
              </w:rPr>
              <w:t>520,213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6"/>
                <w:szCs w:val="16"/>
                <w:color w:val="auto"/>
              </w:rPr>
              <w:t>531,027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Operating lease liabilities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11,700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100,025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97,182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Total deferred credits and other liabilities</w:t>
            </w: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1,645,563</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1,566,955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8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Contributions in aid of construction</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582,424</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590,736</w:t>
            </w:r>
          </w:p>
        </w:tc>
        <w:tc>
          <w:tcPr>
            <w:tcW w:w="0" w:type="dxa"/>
            <w:vAlign w:val="bottom"/>
          </w:tcPr>
          <w:p>
            <w:pPr>
              <w:spacing w:after="0"/>
              <w:rPr>
                <w:sz w:val="1"/>
                <w:szCs w:val="1"/>
                <w:color w:val="auto"/>
              </w:rPr>
            </w:pPr>
          </w:p>
        </w:tc>
      </w:tr>
      <w:tr>
        <w:trPr>
          <w:trHeight w:val="156"/>
        </w:trPr>
        <w:tc>
          <w:tcPr>
            <w:tcW w:w="8900" w:type="dxa"/>
            <w:vAlign w:val="bottom"/>
            <w:gridSpan w:val="2"/>
          </w:tcPr>
          <w:p>
            <w:pPr>
              <w:spacing w:after="0" w:line="155" w:lineRule="exact"/>
              <w:rPr>
                <w:sz w:val="20"/>
                <w:szCs w:val="20"/>
                <w:color w:val="auto"/>
              </w:rPr>
            </w:pPr>
            <w:r>
              <w:rPr>
                <w:rFonts w:ascii="Arial" w:cs="Arial" w:eastAsia="Arial" w:hAnsi="Arial"/>
                <w:sz w:val="16"/>
                <w:szCs w:val="16"/>
                <w:color w:val="auto"/>
              </w:rPr>
              <w:t>Total liabilities and equity</w:t>
            </w: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9,340,970</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6,964,496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9 of this report.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3" w:name="page4"/>
    <w:bookmarkEnd w:id="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183"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CONSOLIDATED STATEMENTS OF OPERATIONS AND COMPREHENSIVE INCOME</w:t>
      </w:r>
    </w:p>
    <w:p>
      <w:pPr>
        <w:ind w:left="4060"/>
        <w:spacing w:after="0" w:line="217" w:lineRule="auto"/>
        <w:rPr>
          <w:sz w:val="20"/>
          <w:szCs w:val="20"/>
          <w:color w:val="auto"/>
        </w:rPr>
      </w:pPr>
      <w:r>
        <w:rPr>
          <w:rFonts w:ascii="Arial" w:cs="Arial" w:eastAsia="Arial" w:hAnsi="Arial"/>
          <w:sz w:val="22"/>
          <w:szCs w:val="22"/>
          <w:color w:val="auto"/>
        </w:rPr>
        <w:t>(In thousands, except per share amounts)</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60" w:type="dxa"/>
            <w:vAlign w:val="bottom"/>
            <w:gridSpan w:val="4"/>
          </w:tcPr>
          <w:p>
            <w:pPr>
              <w:jc w:val="right"/>
              <w:ind w:right="812"/>
              <w:spacing w:after="0"/>
              <w:rPr>
                <w:sz w:val="20"/>
                <w:szCs w:val="20"/>
                <w:color w:val="auto"/>
              </w:rPr>
            </w:pPr>
            <w:r>
              <w:rPr>
                <w:rFonts w:ascii="Arial" w:cs="Arial" w:eastAsia="Arial" w:hAnsi="Arial"/>
                <w:sz w:val="22"/>
                <w:szCs w:val="22"/>
                <w:color w:val="auto"/>
              </w:rPr>
              <w:t>Three Months Ended</w:t>
            </w:r>
          </w:p>
        </w:tc>
      </w:tr>
      <w:tr>
        <w:trPr>
          <w:trHeight w:val="260"/>
        </w:trPr>
        <w:tc>
          <w:tcPr>
            <w:tcW w:w="7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September 30,</w:t>
            </w:r>
          </w:p>
        </w:tc>
        <w:tc>
          <w:tcPr>
            <w:tcW w:w="1120" w:type="dxa"/>
            <w:vAlign w:val="bottom"/>
            <w:tcBorders>
              <w:bottom w:val="single" w:sz="8" w:color="auto"/>
            </w:tcBorders>
          </w:tcPr>
          <w:p>
            <w:pPr>
              <w:spacing w:after="0"/>
              <w:rPr>
                <w:sz w:val="22"/>
                <w:szCs w:val="22"/>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color w:val="auto"/>
              </w:rPr>
              <w:t>2019</w:t>
            </w:r>
          </w:p>
        </w:tc>
        <w:tc>
          <w:tcPr>
            <w:tcW w:w="2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color w:val="auto"/>
                <w:w w:val="98"/>
              </w:rPr>
              <w:t>2018</w:t>
            </w:r>
          </w:p>
        </w:tc>
      </w:tr>
      <w:tr>
        <w:trPr>
          <w:trHeight w:val="264"/>
        </w:trPr>
        <w:tc>
          <w:tcPr>
            <w:tcW w:w="7780" w:type="dxa"/>
            <w:vAlign w:val="bottom"/>
            <w:shd w:val="clear" w:color="auto" w:fill="CCEEFF"/>
          </w:tcPr>
          <w:p>
            <w:pPr>
              <w:spacing w:after="0"/>
              <w:rPr>
                <w:sz w:val="20"/>
                <w:szCs w:val="20"/>
                <w:color w:val="auto"/>
              </w:rPr>
            </w:pPr>
            <w:r>
              <w:rPr>
                <w:rFonts w:ascii="Arial" w:cs="Arial" w:eastAsia="Arial" w:hAnsi="Arial"/>
                <w:sz w:val="22"/>
                <w:szCs w:val="22"/>
                <w:color w:val="auto"/>
              </w:rPr>
              <w:t>Operating revenues</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243,626</w:t>
            </w: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32"/>
              <w:spacing w:after="0"/>
              <w:rPr>
                <w:sz w:val="20"/>
                <w:szCs w:val="20"/>
                <w:color w:val="auto"/>
              </w:rPr>
            </w:pPr>
            <w:r>
              <w:rPr>
                <w:rFonts w:ascii="Arial" w:cs="Arial" w:eastAsia="Arial" w:hAnsi="Arial"/>
                <w:sz w:val="22"/>
                <w:szCs w:val="22"/>
                <w:color w:val="auto"/>
                <w:w w:val="8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226,137</w:t>
            </w:r>
          </w:p>
        </w:tc>
      </w:tr>
      <w:tr>
        <w:trPr>
          <w:trHeight w:val="284"/>
        </w:trPr>
        <w:tc>
          <w:tcPr>
            <w:tcW w:w="7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4"/>
        </w:trPr>
        <w:tc>
          <w:tcPr>
            <w:tcW w:w="7780" w:type="dxa"/>
            <w:vAlign w:val="bottom"/>
            <w:shd w:val="clear" w:color="auto" w:fill="CCEEFF"/>
          </w:tcPr>
          <w:p>
            <w:pPr>
              <w:spacing w:after="0"/>
              <w:rPr>
                <w:sz w:val="20"/>
                <w:szCs w:val="20"/>
                <w:color w:val="auto"/>
              </w:rPr>
            </w:pPr>
            <w:r>
              <w:rPr>
                <w:rFonts w:ascii="Arial" w:cs="Arial" w:eastAsia="Arial" w:hAnsi="Arial"/>
                <w:sz w:val="22"/>
                <w:szCs w:val="22"/>
                <w:color w:val="auto"/>
              </w:rPr>
              <w:t>Operating expenses:</w:t>
            </w: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84"/>
        </w:trPr>
        <w:tc>
          <w:tcPr>
            <w:tcW w:w="7780" w:type="dxa"/>
            <w:vAlign w:val="bottom"/>
          </w:tcPr>
          <w:p>
            <w:pPr>
              <w:ind w:left="120"/>
              <w:spacing w:after="0"/>
              <w:rPr>
                <w:sz w:val="20"/>
                <w:szCs w:val="20"/>
                <w:color w:val="auto"/>
              </w:rPr>
            </w:pPr>
            <w:r>
              <w:rPr>
                <w:rFonts w:ascii="Arial" w:cs="Arial" w:eastAsia="Arial" w:hAnsi="Arial"/>
                <w:sz w:val="22"/>
                <w:szCs w:val="22"/>
                <w:color w:val="auto"/>
              </w:rPr>
              <w:t>Operations and maintenance</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82,022</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68,624</w:t>
            </w:r>
          </w:p>
        </w:tc>
      </w:tr>
      <w:tr>
        <w:trPr>
          <w:trHeight w:val="284"/>
        </w:trPr>
        <w:tc>
          <w:tcPr>
            <w:tcW w:w="77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Depreciation</w:t>
            </w: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39,489</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37,457</w:t>
            </w:r>
          </w:p>
        </w:tc>
      </w:tr>
      <w:tr>
        <w:trPr>
          <w:trHeight w:val="284"/>
        </w:trPr>
        <w:tc>
          <w:tcPr>
            <w:tcW w:w="7780" w:type="dxa"/>
            <w:vAlign w:val="bottom"/>
          </w:tcPr>
          <w:p>
            <w:pPr>
              <w:ind w:left="120"/>
              <w:spacing w:after="0"/>
              <w:rPr>
                <w:sz w:val="20"/>
                <w:szCs w:val="20"/>
                <w:color w:val="auto"/>
              </w:rPr>
            </w:pPr>
            <w:r>
              <w:rPr>
                <w:rFonts w:ascii="Arial" w:cs="Arial" w:eastAsia="Arial" w:hAnsi="Arial"/>
                <w:sz w:val="22"/>
                <w:szCs w:val="22"/>
                <w:color w:val="auto"/>
              </w:rPr>
              <w:t>Amortization</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444</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199</w:t>
            </w:r>
          </w:p>
        </w:tc>
      </w:tr>
      <w:tr>
        <w:trPr>
          <w:trHeight w:val="284"/>
        </w:trPr>
        <w:tc>
          <w:tcPr>
            <w:tcW w:w="77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Taxes other than income taxes</w:t>
            </w:r>
          </w:p>
        </w:tc>
        <w:tc>
          <w:tcPr>
            <w:tcW w:w="3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15,201</w:t>
            </w:r>
          </w:p>
        </w:tc>
        <w:tc>
          <w:tcPr>
            <w:tcW w:w="22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15,564</w:t>
            </w:r>
          </w:p>
        </w:tc>
      </w:tr>
      <w:tr>
        <w:trPr>
          <w:trHeight w:val="264"/>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Total operating expenses</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137,156</w:t>
            </w:r>
          </w:p>
        </w:tc>
        <w:tc>
          <w:tcPr>
            <w:tcW w:w="2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121,844</w:t>
            </w:r>
          </w:p>
        </w:tc>
      </w:tr>
      <w:tr>
        <w:trPr>
          <w:trHeight w:val="264"/>
        </w:trPr>
        <w:tc>
          <w:tcPr>
            <w:tcW w:w="77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84"/>
        </w:trPr>
        <w:tc>
          <w:tcPr>
            <w:tcW w:w="7780" w:type="dxa"/>
            <w:vAlign w:val="bottom"/>
          </w:tcPr>
          <w:p>
            <w:pPr>
              <w:spacing w:after="0"/>
              <w:rPr>
                <w:sz w:val="20"/>
                <w:szCs w:val="20"/>
                <w:color w:val="auto"/>
              </w:rPr>
            </w:pPr>
            <w:r>
              <w:rPr>
                <w:rFonts w:ascii="Arial" w:cs="Arial" w:eastAsia="Arial" w:hAnsi="Arial"/>
                <w:sz w:val="22"/>
                <w:szCs w:val="22"/>
                <w:color w:val="auto"/>
              </w:rPr>
              <w:t>Operating income</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106,470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104,293</w:t>
            </w:r>
          </w:p>
        </w:tc>
      </w:tr>
      <w:tr>
        <w:trPr>
          <w:trHeight w:val="284"/>
        </w:trPr>
        <w:tc>
          <w:tcPr>
            <w:tcW w:w="7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84"/>
        </w:trPr>
        <w:tc>
          <w:tcPr>
            <w:tcW w:w="7780" w:type="dxa"/>
            <w:vAlign w:val="bottom"/>
          </w:tcPr>
          <w:p>
            <w:pPr>
              <w:spacing w:after="0"/>
              <w:rPr>
                <w:sz w:val="20"/>
                <w:szCs w:val="20"/>
                <w:color w:val="auto"/>
              </w:rPr>
            </w:pPr>
            <w:r>
              <w:rPr>
                <w:rFonts w:ascii="Arial" w:cs="Arial" w:eastAsia="Arial" w:hAnsi="Arial"/>
                <w:sz w:val="22"/>
                <w:szCs w:val="22"/>
                <w:color w:val="auto"/>
              </w:rPr>
              <w:t>Other expense (income):</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4"/>
        </w:trPr>
        <w:tc>
          <w:tcPr>
            <w:tcW w:w="77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Interest expense</w:t>
            </w: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32,643</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25,403</w:t>
            </w:r>
          </w:p>
        </w:tc>
      </w:tr>
      <w:tr>
        <w:trPr>
          <w:trHeight w:val="284"/>
        </w:trPr>
        <w:tc>
          <w:tcPr>
            <w:tcW w:w="7780" w:type="dxa"/>
            <w:vAlign w:val="bottom"/>
          </w:tcPr>
          <w:p>
            <w:pPr>
              <w:ind w:left="120"/>
              <w:spacing w:after="0"/>
              <w:rPr>
                <w:sz w:val="20"/>
                <w:szCs w:val="20"/>
                <w:color w:val="auto"/>
              </w:rPr>
            </w:pPr>
            <w:r>
              <w:rPr>
                <w:rFonts w:ascii="Arial" w:cs="Arial" w:eastAsia="Arial" w:hAnsi="Arial"/>
                <w:sz w:val="22"/>
                <w:szCs w:val="22"/>
                <w:color w:val="auto"/>
              </w:rPr>
              <w:t>Interest income</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(9,680)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84"/>
        </w:trPr>
        <w:tc>
          <w:tcPr>
            <w:tcW w:w="77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Allowance for funds used during construction</w:t>
            </w: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(4,613)</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(3,066)</w:t>
            </w:r>
          </w:p>
        </w:tc>
      </w:tr>
      <w:tr>
        <w:trPr>
          <w:trHeight w:val="284"/>
        </w:trPr>
        <w:tc>
          <w:tcPr>
            <w:tcW w:w="7780" w:type="dxa"/>
            <w:vAlign w:val="bottom"/>
          </w:tcPr>
          <w:p>
            <w:pPr>
              <w:ind w:left="120"/>
              <w:spacing w:after="0"/>
              <w:rPr>
                <w:sz w:val="20"/>
                <w:szCs w:val="20"/>
                <w:color w:val="auto"/>
              </w:rPr>
            </w:pPr>
            <w:r>
              <w:rPr>
                <w:rFonts w:ascii="Arial" w:cs="Arial" w:eastAsia="Arial" w:hAnsi="Arial"/>
                <w:sz w:val="22"/>
                <w:szCs w:val="22"/>
                <w:color w:val="auto"/>
              </w:rPr>
              <w:t>Gain on sale of other assets</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(175)</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(261)</w:t>
            </w:r>
          </w:p>
        </w:tc>
      </w:tr>
      <w:tr>
        <w:trPr>
          <w:trHeight w:val="284"/>
        </w:trPr>
        <w:tc>
          <w:tcPr>
            <w:tcW w:w="77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Equity earnings in joint venture</w:t>
            </w: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(135)</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(215)</w:t>
            </w:r>
          </w:p>
        </w:tc>
      </w:tr>
      <w:tr>
        <w:trPr>
          <w:trHeight w:val="284"/>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Other</w:t>
            </w: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1,494</w:t>
            </w:r>
          </w:p>
        </w:tc>
        <w:tc>
          <w:tcPr>
            <w:tcW w:w="2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325</w:t>
            </w:r>
          </w:p>
        </w:tc>
      </w:tr>
      <w:tr>
        <w:trPr>
          <w:trHeight w:val="264"/>
        </w:trPr>
        <w:tc>
          <w:tcPr>
            <w:tcW w:w="7780" w:type="dxa"/>
            <w:vAlign w:val="bottom"/>
            <w:shd w:val="clear" w:color="auto" w:fill="CCEEFF"/>
          </w:tcPr>
          <w:p>
            <w:pPr>
              <w:spacing w:after="0"/>
              <w:rPr>
                <w:sz w:val="20"/>
                <w:szCs w:val="20"/>
                <w:color w:val="auto"/>
              </w:rPr>
            </w:pPr>
            <w:r>
              <w:rPr>
                <w:rFonts w:ascii="Arial" w:cs="Arial" w:eastAsia="Arial" w:hAnsi="Arial"/>
                <w:sz w:val="22"/>
                <w:szCs w:val="22"/>
                <w:color w:val="auto"/>
              </w:rPr>
              <w:t>Income before income taxes</w:t>
            </w: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86,936</w:t>
            </w: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82,151</w:t>
            </w:r>
          </w:p>
        </w:tc>
      </w:tr>
      <w:tr>
        <w:trPr>
          <w:trHeight w:val="284"/>
        </w:trPr>
        <w:tc>
          <w:tcPr>
            <w:tcW w:w="778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Provision for income taxes (benefit)</w:t>
            </w: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(1,553)</w:t>
            </w:r>
          </w:p>
        </w:tc>
        <w:tc>
          <w:tcPr>
            <w:tcW w:w="2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3,935</w:t>
            </w:r>
          </w:p>
        </w:tc>
      </w:tr>
      <w:tr>
        <w:trPr>
          <w:trHeight w:val="250"/>
        </w:trPr>
        <w:tc>
          <w:tcPr>
            <w:tcW w:w="7780" w:type="dxa"/>
            <w:vAlign w:val="bottom"/>
            <w:tcBorders>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Net income</w:t>
            </w:r>
          </w:p>
        </w:tc>
        <w:tc>
          <w:tcPr>
            <w:tcW w:w="3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88,489</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32"/>
              <w:spacing w:after="0" w:line="250" w:lineRule="exact"/>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78,216</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7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Comprehensive income</w:t>
            </w:r>
          </w:p>
        </w:tc>
        <w:tc>
          <w:tcPr>
            <w:tcW w:w="3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88,489</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78,216</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7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4"/>
        </w:trPr>
        <w:tc>
          <w:tcPr>
            <w:tcW w:w="7780" w:type="dxa"/>
            <w:vAlign w:val="bottom"/>
            <w:shd w:val="clear" w:color="auto" w:fill="CCEEFF"/>
          </w:tcPr>
          <w:p>
            <w:pPr>
              <w:spacing w:after="0"/>
              <w:rPr>
                <w:sz w:val="20"/>
                <w:szCs w:val="20"/>
                <w:color w:val="auto"/>
              </w:rPr>
            </w:pPr>
            <w:r>
              <w:rPr>
                <w:rFonts w:ascii="Arial" w:cs="Arial" w:eastAsia="Arial" w:hAnsi="Arial"/>
                <w:sz w:val="22"/>
                <w:szCs w:val="22"/>
                <w:color w:val="auto"/>
              </w:rPr>
              <w:t>Net income per common share:</w:t>
            </w: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31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Basic</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w w:val="7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0.38</w:t>
            </w:r>
          </w:p>
        </w:tc>
        <w:tc>
          <w:tcPr>
            <w:tcW w:w="2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0.44</w:t>
            </w:r>
          </w:p>
        </w:tc>
      </w:tr>
      <w:tr>
        <w:trPr>
          <w:trHeight w:val="224"/>
        </w:trPr>
        <w:tc>
          <w:tcPr>
            <w:tcW w:w="7780" w:type="dxa"/>
            <w:vAlign w:val="bottom"/>
            <w:tcBorders>
              <w:bottom w:val="single" w:sz="8" w:color="CCEEFF"/>
            </w:tcBorders>
            <w:shd w:val="clear" w:color="auto" w:fill="CCEEFF"/>
          </w:tcPr>
          <w:p>
            <w:pPr>
              <w:ind w:left="120"/>
              <w:spacing w:after="0" w:line="224" w:lineRule="exact"/>
              <w:rPr>
                <w:sz w:val="20"/>
                <w:szCs w:val="20"/>
                <w:color w:val="auto"/>
              </w:rPr>
            </w:pPr>
            <w:r>
              <w:rPr>
                <w:rFonts w:ascii="Arial" w:cs="Arial" w:eastAsia="Arial" w:hAnsi="Arial"/>
                <w:sz w:val="22"/>
                <w:szCs w:val="22"/>
                <w:color w:val="auto"/>
              </w:rPr>
              <w:t>Diluted</w:t>
            </w:r>
          </w:p>
        </w:tc>
        <w:tc>
          <w:tcPr>
            <w:tcW w:w="3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60" w:type="dxa"/>
            <w:vAlign w:val="bottom"/>
            <w:tcBorders>
              <w:bottom w:val="single" w:sz="8" w:color="auto"/>
            </w:tcBorders>
            <w:shd w:val="clear" w:color="auto" w:fill="CCEEFF"/>
          </w:tcPr>
          <w:p>
            <w:pPr>
              <w:jc w:val="right"/>
              <w:spacing w:after="0" w:line="224" w:lineRule="exact"/>
              <w:rPr>
                <w:sz w:val="20"/>
                <w:szCs w:val="20"/>
                <w:color w:val="auto"/>
              </w:rPr>
            </w:pPr>
            <w:r>
              <w:rPr>
                <w:rFonts w:ascii="Arial" w:cs="Arial" w:eastAsia="Arial" w:hAnsi="Arial"/>
                <w:sz w:val="22"/>
                <w:szCs w:val="22"/>
                <w:color w:val="auto"/>
              </w:rPr>
              <w:t>0.38</w:t>
            </w: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32"/>
              <w:spacing w:after="0" w:line="224" w:lineRule="exact"/>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shd w:val="clear" w:color="auto" w:fill="CCEEFF"/>
          </w:tcPr>
          <w:p>
            <w:pPr>
              <w:jc w:val="right"/>
              <w:spacing w:after="0" w:line="224" w:lineRule="exact"/>
              <w:rPr>
                <w:sz w:val="20"/>
                <w:szCs w:val="20"/>
                <w:color w:val="auto"/>
              </w:rPr>
            </w:pPr>
            <w:r>
              <w:rPr>
                <w:rFonts w:ascii="Arial" w:cs="Arial" w:eastAsia="Arial" w:hAnsi="Arial"/>
                <w:sz w:val="22"/>
                <w:szCs w:val="22"/>
                <w:color w:val="auto"/>
              </w:rPr>
              <w:t>0.44</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Average common shares outstanding during the period: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Basic</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232,053</w:t>
            </w:r>
          </w:p>
        </w:tc>
        <w:tc>
          <w:tcPr>
            <w:tcW w:w="2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177,923</w:t>
            </w:r>
          </w:p>
        </w:tc>
      </w:tr>
      <w:tr>
        <w:trPr>
          <w:trHeight w:val="224"/>
        </w:trPr>
        <w:tc>
          <w:tcPr>
            <w:tcW w:w="7780" w:type="dxa"/>
            <w:vAlign w:val="bottom"/>
            <w:tcBorders>
              <w:bottom w:val="single" w:sz="8" w:color="CCEEFF"/>
            </w:tcBorders>
            <w:shd w:val="clear" w:color="auto" w:fill="CCEEFF"/>
          </w:tcPr>
          <w:p>
            <w:pPr>
              <w:ind w:left="120"/>
              <w:spacing w:after="0" w:line="224" w:lineRule="exact"/>
              <w:rPr>
                <w:sz w:val="20"/>
                <w:szCs w:val="20"/>
                <w:color w:val="auto"/>
              </w:rPr>
            </w:pPr>
            <w:r>
              <w:rPr>
                <w:rFonts w:ascii="Arial" w:cs="Arial" w:eastAsia="Arial" w:hAnsi="Arial"/>
                <w:sz w:val="22"/>
                <w:szCs w:val="22"/>
                <w:color w:val="auto"/>
              </w:rPr>
              <w:t>Diluted</w:t>
            </w:r>
          </w:p>
        </w:tc>
        <w:tc>
          <w:tcPr>
            <w:tcW w:w="1740" w:type="dxa"/>
            <w:vAlign w:val="bottom"/>
            <w:tcBorders>
              <w:bottom w:val="single" w:sz="8" w:color="auto"/>
            </w:tcBorders>
            <w:shd w:val="clear" w:color="auto" w:fill="CCEEFF"/>
          </w:tcPr>
          <w:p>
            <w:pPr>
              <w:jc w:val="right"/>
              <w:spacing w:after="0" w:line="224" w:lineRule="exact"/>
              <w:rPr>
                <w:sz w:val="20"/>
                <w:szCs w:val="20"/>
                <w:color w:val="auto"/>
              </w:rPr>
            </w:pPr>
            <w:r>
              <w:rPr>
                <w:rFonts w:ascii="Arial" w:cs="Arial" w:eastAsia="Arial" w:hAnsi="Arial"/>
                <w:sz w:val="22"/>
                <w:szCs w:val="22"/>
                <w:color w:val="auto"/>
              </w:rPr>
              <w:t>232,464</w:t>
            </w:r>
          </w:p>
        </w:tc>
        <w:tc>
          <w:tcPr>
            <w:tcW w:w="2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2"/>
              <w:spacing w:after="0" w:line="224" w:lineRule="exact"/>
              <w:rPr>
                <w:sz w:val="20"/>
                <w:szCs w:val="20"/>
                <w:color w:val="auto"/>
              </w:rPr>
            </w:pPr>
            <w:r>
              <w:rPr>
                <w:rFonts w:ascii="Arial" w:cs="Arial" w:eastAsia="Arial" w:hAnsi="Arial"/>
                <w:sz w:val="22"/>
                <w:szCs w:val="22"/>
                <w:color w:val="auto"/>
              </w:rPr>
              <w:t>178,357</w:t>
            </w:r>
          </w:p>
        </w:tc>
      </w:tr>
      <w:tr>
        <w:trPr>
          <w:trHeight w:val="20"/>
        </w:trPr>
        <w:tc>
          <w:tcPr>
            <w:tcW w:w="77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4" w:name="page5"/>
    <w:bookmarkEnd w:id="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183"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CONSOLIDATED STATEMENTS OF OPERATIONS AND COMPREHENSIVE INCOME</w:t>
      </w:r>
    </w:p>
    <w:p>
      <w:pPr>
        <w:ind w:left="4060"/>
        <w:spacing w:after="0" w:line="217" w:lineRule="auto"/>
        <w:rPr>
          <w:sz w:val="20"/>
          <w:szCs w:val="20"/>
          <w:color w:val="auto"/>
        </w:rPr>
      </w:pPr>
      <w:r>
        <w:rPr>
          <w:rFonts w:ascii="Arial" w:cs="Arial" w:eastAsia="Arial" w:hAnsi="Arial"/>
          <w:sz w:val="22"/>
          <w:szCs w:val="22"/>
          <w:color w:val="auto"/>
        </w:rPr>
        <w:t>(In thousands, except per share amounts)</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93" w:lineRule="exact"/>
        <w:rPr>
          <w:sz w:val="20"/>
          <w:szCs w:val="20"/>
          <w:color w:val="auto"/>
        </w:rPr>
      </w:pPr>
    </w:p>
    <w:p>
      <w:pPr>
        <w:jc w:val="center"/>
        <w:ind w:left="8040"/>
        <w:spacing w:after="0"/>
        <w:rPr>
          <w:sz w:val="20"/>
          <w:szCs w:val="20"/>
          <w:color w:val="auto"/>
        </w:rPr>
      </w:pPr>
      <w:r>
        <w:rPr>
          <w:rFonts w:ascii="Arial" w:cs="Arial" w:eastAsia="Arial" w:hAnsi="Arial"/>
          <w:sz w:val="22"/>
          <w:szCs w:val="22"/>
          <w:color w:val="auto"/>
        </w:rPr>
        <w:t>Nine Months Ended</w:t>
      </w:r>
    </w:p>
    <w:p>
      <w:pPr>
        <w:jc w:val="center"/>
        <w:ind w:left="8040"/>
        <w:spacing w:after="0"/>
        <w:rPr>
          <w:sz w:val="20"/>
          <w:szCs w:val="20"/>
          <w:color w:val="auto"/>
        </w:rPr>
      </w:pPr>
      <w:r>
        <w:rPr>
          <w:rFonts w:ascii="Arial" w:cs="Arial" w:eastAsia="Arial" w:hAnsi="Arial"/>
          <w:sz w:val="22"/>
          <w:szCs w:val="22"/>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-12065</wp:posOffset>
            </wp:positionV>
            <wp:extent cx="21437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0"/>
        </w:trPr>
        <w:tc>
          <w:tcPr>
            <w:tcW w:w="642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2"/>
              <w:spacing w:after="0" w:line="250" w:lineRule="exact"/>
              <w:rPr>
                <w:sz w:val="20"/>
                <w:szCs w:val="20"/>
                <w:color w:val="auto"/>
              </w:rPr>
            </w:pPr>
            <w:r>
              <w:rPr>
                <w:rFonts w:ascii="Arial" w:cs="Arial" w:eastAsia="Arial" w:hAnsi="Arial"/>
                <w:sz w:val="22"/>
                <w:szCs w:val="22"/>
                <w:color w:val="auto"/>
              </w:rPr>
              <w:t>2019</w:t>
            </w:r>
          </w:p>
        </w:tc>
        <w:tc>
          <w:tcPr>
            <w:tcW w:w="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2"/>
              <w:spacing w:after="0" w:line="250" w:lineRule="exact"/>
              <w:rPr>
                <w:sz w:val="20"/>
                <w:szCs w:val="20"/>
                <w:color w:val="auto"/>
              </w:rPr>
            </w:pPr>
            <w:r>
              <w:rPr>
                <w:rFonts w:ascii="Arial" w:cs="Arial" w:eastAsia="Arial" w:hAnsi="Arial"/>
                <w:sz w:val="22"/>
                <w:szCs w:val="22"/>
                <w:color w:val="auto"/>
              </w:rPr>
              <w:t>2018</w:t>
            </w:r>
          </w:p>
        </w:tc>
      </w:tr>
      <w:tr>
        <w:trPr>
          <w:trHeight w:val="250"/>
        </w:trPr>
        <w:tc>
          <w:tcPr>
            <w:tcW w:w="6420" w:type="dxa"/>
            <w:vAlign w:val="bottom"/>
            <w:shd w:val="clear" w:color="auto" w:fill="CCEEFF"/>
          </w:tcPr>
          <w:p>
            <w:pPr>
              <w:spacing w:after="0" w:line="250" w:lineRule="exact"/>
              <w:rPr>
                <w:sz w:val="20"/>
                <w:szCs w:val="20"/>
                <w:color w:val="auto"/>
              </w:rPr>
            </w:pPr>
            <w:r>
              <w:rPr>
                <w:rFonts w:ascii="Arial" w:cs="Arial" w:eastAsia="Arial" w:hAnsi="Arial"/>
                <w:sz w:val="22"/>
                <w:szCs w:val="22"/>
                <w:color w:val="auto"/>
              </w:rPr>
              <w:t>Operating revenues</w:t>
            </w:r>
          </w:p>
        </w:tc>
        <w:tc>
          <w:tcPr>
            <w:tcW w:w="1960" w:type="dxa"/>
            <w:vAlign w:val="bottom"/>
            <w:gridSpan w:val="2"/>
            <w:shd w:val="clear" w:color="auto" w:fill="CCEEFF"/>
          </w:tcPr>
          <w:p>
            <w:pPr>
              <w:jc w:val="right"/>
              <w:ind w:right="112"/>
              <w:spacing w:after="0" w:line="250" w:lineRule="exact"/>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663,650</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32"/>
              <w:spacing w:after="0" w:line="250" w:lineRule="exact"/>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632,344</w:t>
            </w:r>
          </w:p>
        </w:tc>
      </w:tr>
      <w:tr>
        <w:trPr>
          <w:trHeight w:val="270"/>
        </w:trPr>
        <w:tc>
          <w:tcPr>
            <w:tcW w:w="64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6420" w:type="dxa"/>
            <w:vAlign w:val="bottom"/>
            <w:shd w:val="clear" w:color="auto" w:fill="CCEEFF"/>
          </w:tcPr>
          <w:p>
            <w:pPr>
              <w:spacing w:after="0"/>
              <w:rPr>
                <w:sz w:val="20"/>
                <w:szCs w:val="20"/>
                <w:color w:val="auto"/>
              </w:rPr>
            </w:pPr>
            <w:r>
              <w:rPr>
                <w:rFonts w:ascii="Arial" w:cs="Arial" w:eastAsia="Arial" w:hAnsi="Arial"/>
                <w:sz w:val="22"/>
                <w:szCs w:val="22"/>
                <w:color w:val="auto"/>
              </w:rPr>
              <w:t>Operating expenses:</w:t>
            </w:r>
          </w:p>
        </w:tc>
        <w:tc>
          <w:tcPr>
            <w:tcW w:w="1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6420" w:type="dxa"/>
            <w:vAlign w:val="bottom"/>
          </w:tcPr>
          <w:p>
            <w:pPr>
              <w:ind w:left="120"/>
              <w:spacing w:after="0"/>
              <w:rPr>
                <w:sz w:val="20"/>
                <w:szCs w:val="20"/>
                <w:color w:val="auto"/>
              </w:rPr>
            </w:pPr>
            <w:r>
              <w:rPr>
                <w:rFonts w:ascii="Arial" w:cs="Arial" w:eastAsia="Arial" w:hAnsi="Arial"/>
                <w:sz w:val="22"/>
                <w:szCs w:val="22"/>
                <w:color w:val="auto"/>
              </w:rPr>
              <w:t>Operations and maintenance</w:t>
            </w:r>
          </w:p>
        </w:tc>
        <w:tc>
          <w:tcPr>
            <w:tcW w:w="1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247,781</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216,085</w:t>
            </w:r>
          </w:p>
        </w:tc>
      </w:tr>
      <w:tr>
        <w:trPr>
          <w:trHeight w:val="270"/>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Depreciation</w:t>
            </w:r>
          </w:p>
        </w:tc>
        <w:tc>
          <w:tcPr>
            <w:tcW w:w="1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118,113</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110,037</w:t>
            </w:r>
          </w:p>
        </w:tc>
      </w:tr>
      <w:tr>
        <w:trPr>
          <w:trHeight w:val="270"/>
        </w:trPr>
        <w:tc>
          <w:tcPr>
            <w:tcW w:w="6420" w:type="dxa"/>
            <w:vAlign w:val="bottom"/>
          </w:tcPr>
          <w:p>
            <w:pPr>
              <w:ind w:left="120"/>
              <w:spacing w:after="0"/>
              <w:rPr>
                <w:sz w:val="20"/>
                <w:szCs w:val="20"/>
                <w:color w:val="auto"/>
              </w:rPr>
            </w:pPr>
            <w:r>
              <w:rPr>
                <w:rFonts w:ascii="Arial" w:cs="Arial" w:eastAsia="Arial" w:hAnsi="Arial"/>
                <w:sz w:val="22"/>
                <w:szCs w:val="22"/>
                <w:color w:val="auto"/>
              </w:rPr>
              <w:t>Amortization</w:t>
            </w:r>
          </w:p>
        </w:tc>
        <w:tc>
          <w:tcPr>
            <w:tcW w:w="1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(2,140)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478</w:t>
            </w:r>
          </w:p>
        </w:tc>
      </w:tr>
      <w:tr>
        <w:trPr>
          <w:trHeight w:val="270"/>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Taxes other than income taxes</w:t>
            </w:r>
          </w:p>
        </w:tc>
        <w:tc>
          <w:tcPr>
            <w:tcW w:w="16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45,038</w:t>
            </w:r>
          </w:p>
        </w:tc>
        <w:tc>
          <w:tcPr>
            <w:tcW w:w="2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45,360</w:t>
            </w:r>
          </w:p>
        </w:tc>
      </w:tr>
      <w:tr>
        <w:trPr>
          <w:trHeight w:val="250"/>
        </w:trPr>
        <w:tc>
          <w:tcPr>
            <w:tcW w:w="6420" w:type="dxa"/>
            <w:vAlign w:val="bottom"/>
            <w:tcBorders>
              <w:bottom w:val="single" w:sz="8" w:color="CCEEFF"/>
            </w:tcBorders>
          </w:tcPr>
          <w:p>
            <w:pPr>
              <w:spacing w:after="0" w:line="250" w:lineRule="exact"/>
              <w:rPr>
                <w:sz w:val="20"/>
                <w:szCs w:val="20"/>
                <w:color w:val="auto"/>
              </w:rPr>
            </w:pPr>
            <w:r>
              <w:rPr>
                <w:rFonts w:ascii="Arial" w:cs="Arial" w:eastAsia="Arial" w:hAnsi="Arial"/>
                <w:sz w:val="22"/>
                <w:szCs w:val="22"/>
                <w:color w:val="auto"/>
              </w:rPr>
              <w:t>Total operating expenses</w:t>
            </w:r>
          </w:p>
        </w:tc>
        <w:tc>
          <w:tcPr>
            <w:tcW w:w="16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408,792</w:t>
            </w:r>
          </w:p>
        </w:tc>
        <w:tc>
          <w:tcPr>
            <w:tcW w:w="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371,960</w:t>
            </w:r>
          </w:p>
        </w:tc>
      </w:tr>
      <w:tr>
        <w:trPr>
          <w:trHeight w:val="223"/>
        </w:trPr>
        <w:tc>
          <w:tcPr>
            <w:tcW w:w="64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70"/>
        </w:trPr>
        <w:tc>
          <w:tcPr>
            <w:tcW w:w="6420" w:type="dxa"/>
            <w:vAlign w:val="bottom"/>
          </w:tcPr>
          <w:p>
            <w:pPr>
              <w:spacing w:after="0"/>
              <w:rPr>
                <w:sz w:val="20"/>
                <w:szCs w:val="20"/>
                <w:color w:val="auto"/>
              </w:rPr>
            </w:pPr>
            <w:r>
              <w:rPr>
                <w:rFonts w:ascii="Arial" w:cs="Arial" w:eastAsia="Arial" w:hAnsi="Arial"/>
                <w:sz w:val="22"/>
                <w:szCs w:val="22"/>
                <w:color w:val="auto"/>
              </w:rPr>
              <w:t>Operating income</w:t>
            </w:r>
          </w:p>
        </w:tc>
        <w:tc>
          <w:tcPr>
            <w:tcW w:w="1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254,858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260,384</w:t>
            </w:r>
          </w:p>
        </w:tc>
      </w:tr>
      <w:tr>
        <w:trPr>
          <w:trHeight w:val="230"/>
        </w:trPr>
        <w:tc>
          <w:tcPr>
            <w:tcW w:w="64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70"/>
        </w:trPr>
        <w:tc>
          <w:tcPr>
            <w:tcW w:w="6420" w:type="dxa"/>
            <w:vAlign w:val="bottom"/>
          </w:tcPr>
          <w:p>
            <w:pPr>
              <w:spacing w:after="0"/>
              <w:rPr>
                <w:sz w:val="20"/>
                <w:szCs w:val="20"/>
                <w:color w:val="auto"/>
              </w:rPr>
            </w:pPr>
            <w:r>
              <w:rPr>
                <w:rFonts w:ascii="Arial" w:cs="Arial" w:eastAsia="Arial" w:hAnsi="Arial"/>
                <w:sz w:val="22"/>
                <w:szCs w:val="22"/>
                <w:color w:val="auto"/>
              </w:rPr>
              <w:t>Other expense (income):</w:t>
            </w:r>
          </w:p>
        </w:tc>
        <w:tc>
          <w:tcPr>
            <w:tcW w:w="1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Interest expense</w:t>
            </w:r>
          </w:p>
        </w:tc>
        <w:tc>
          <w:tcPr>
            <w:tcW w:w="1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92,239</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72,664</w:t>
            </w:r>
          </w:p>
        </w:tc>
      </w:tr>
      <w:tr>
        <w:trPr>
          <w:trHeight w:val="270"/>
        </w:trPr>
        <w:tc>
          <w:tcPr>
            <w:tcW w:w="6420" w:type="dxa"/>
            <w:vAlign w:val="bottom"/>
          </w:tcPr>
          <w:p>
            <w:pPr>
              <w:ind w:left="120"/>
              <w:spacing w:after="0"/>
              <w:rPr>
                <w:sz w:val="20"/>
                <w:szCs w:val="20"/>
                <w:color w:val="auto"/>
              </w:rPr>
            </w:pPr>
            <w:r>
              <w:rPr>
                <w:rFonts w:ascii="Arial" w:cs="Arial" w:eastAsia="Arial" w:hAnsi="Arial"/>
                <w:sz w:val="22"/>
                <w:szCs w:val="22"/>
                <w:color w:val="auto"/>
              </w:rPr>
              <w:t>Interest income</w:t>
            </w:r>
          </w:p>
        </w:tc>
        <w:tc>
          <w:tcPr>
            <w:tcW w:w="1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(18,117)</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70"/>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Allowance for funds used during construction</w:t>
            </w:r>
          </w:p>
        </w:tc>
        <w:tc>
          <w:tcPr>
            <w:tcW w:w="1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(12,280)</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(8,510)</w:t>
            </w:r>
          </w:p>
        </w:tc>
      </w:tr>
      <w:tr>
        <w:trPr>
          <w:trHeight w:val="270"/>
        </w:trPr>
        <w:tc>
          <w:tcPr>
            <w:tcW w:w="6420" w:type="dxa"/>
            <w:vAlign w:val="bottom"/>
          </w:tcPr>
          <w:p>
            <w:pPr>
              <w:ind w:left="120"/>
              <w:spacing w:after="0"/>
              <w:rPr>
                <w:sz w:val="20"/>
                <w:szCs w:val="20"/>
                <w:color w:val="auto"/>
              </w:rPr>
            </w:pPr>
            <w:r>
              <w:rPr>
                <w:rFonts w:ascii="Arial" w:cs="Arial" w:eastAsia="Arial" w:hAnsi="Arial"/>
                <w:sz w:val="22"/>
                <w:szCs w:val="22"/>
                <w:color w:val="auto"/>
              </w:rPr>
              <w:t>Change in fair value of interest rate swap agreements</w:t>
            </w:r>
          </w:p>
        </w:tc>
        <w:tc>
          <w:tcPr>
            <w:tcW w:w="1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23,742</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Loss on debt extinguishment</w:t>
            </w:r>
          </w:p>
        </w:tc>
        <w:tc>
          <w:tcPr>
            <w:tcW w:w="1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18,920</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6420" w:type="dxa"/>
            <w:vAlign w:val="bottom"/>
          </w:tcPr>
          <w:p>
            <w:pPr>
              <w:ind w:left="120"/>
              <w:spacing w:after="0"/>
              <w:rPr>
                <w:sz w:val="20"/>
                <w:szCs w:val="20"/>
                <w:color w:val="auto"/>
              </w:rPr>
            </w:pPr>
            <w:r>
              <w:rPr>
                <w:rFonts w:ascii="Arial" w:cs="Arial" w:eastAsia="Arial" w:hAnsi="Arial"/>
                <w:sz w:val="22"/>
                <w:szCs w:val="22"/>
                <w:color w:val="auto"/>
              </w:rPr>
              <w:t>Gain on sale of other assets</w:t>
            </w:r>
          </w:p>
        </w:tc>
        <w:tc>
          <w:tcPr>
            <w:tcW w:w="1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(443)</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(598)</w:t>
            </w:r>
          </w:p>
        </w:tc>
      </w:tr>
      <w:tr>
        <w:trPr>
          <w:trHeight w:val="270"/>
        </w:trPr>
        <w:tc>
          <w:tcPr>
            <w:tcW w:w="6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Equity earnings in joint venture</w:t>
            </w:r>
          </w:p>
        </w:tc>
        <w:tc>
          <w:tcPr>
            <w:tcW w:w="1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(1,918)</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(1,508)</w:t>
            </w:r>
          </w:p>
        </w:tc>
      </w:tr>
      <w:tr>
        <w:trPr>
          <w:trHeight w:val="270"/>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Other</w:t>
            </w:r>
          </w:p>
        </w:tc>
        <w:tc>
          <w:tcPr>
            <w:tcW w:w="16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4,293</w:t>
            </w:r>
          </w:p>
        </w:tc>
        <w:tc>
          <w:tcPr>
            <w:tcW w:w="2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1,365</w:t>
            </w:r>
          </w:p>
        </w:tc>
      </w:tr>
      <w:tr>
        <w:trPr>
          <w:trHeight w:val="250"/>
        </w:trPr>
        <w:tc>
          <w:tcPr>
            <w:tcW w:w="6420" w:type="dxa"/>
            <w:vAlign w:val="bottom"/>
            <w:shd w:val="clear" w:color="auto" w:fill="CCEEFF"/>
          </w:tcPr>
          <w:p>
            <w:pPr>
              <w:spacing w:after="0" w:line="250" w:lineRule="exact"/>
              <w:rPr>
                <w:sz w:val="20"/>
                <w:szCs w:val="20"/>
                <w:color w:val="auto"/>
              </w:rPr>
            </w:pPr>
            <w:r>
              <w:rPr>
                <w:rFonts w:ascii="Arial" w:cs="Arial" w:eastAsia="Arial" w:hAnsi="Arial"/>
                <w:sz w:val="22"/>
                <w:szCs w:val="22"/>
                <w:color w:val="auto"/>
              </w:rPr>
              <w:t>Income before income taxes</w:t>
            </w:r>
          </w:p>
        </w:tc>
        <w:tc>
          <w:tcPr>
            <w:tcW w:w="16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148,422</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197,082</w:t>
            </w:r>
          </w:p>
        </w:tc>
      </w:tr>
      <w:tr>
        <w:trPr>
          <w:trHeight w:val="270"/>
        </w:trPr>
        <w:tc>
          <w:tcPr>
            <w:tcW w:w="642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Provision for income taxes (benefit)</w:t>
            </w:r>
          </w:p>
        </w:tc>
        <w:tc>
          <w:tcPr>
            <w:tcW w:w="16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(11,894)</w:t>
            </w:r>
          </w:p>
        </w:tc>
        <w:tc>
          <w:tcPr>
            <w:tcW w:w="2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1,437</w:t>
            </w:r>
          </w:p>
        </w:tc>
      </w:tr>
      <w:tr>
        <w:trPr>
          <w:trHeight w:val="237"/>
        </w:trPr>
        <w:tc>
          <w:tcPr>
            <w:tcW w:w="6420" w:type="dxa"/>
            <w:vAlign w:val="bottom"/>
            <w:tcBorders>
              <w:bottom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Net income</w:t>
            </w:r>
          </w:p>
        </w:tc>
        <w:tc>
          <w:tcPr>
            <w:tcW w:w="16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12"/>
              <w:spacing w:after="0" w:line="237" w:lineRule="exact"/>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160,316</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32"/>
              <w:spacing w:after="0" w:line="237" w:lineRule="exact"/>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195,645</w:t>
            </w:r>
          </w:p>
        </w:tc>
      </w:tr>
      <w:tr>
        <w:trPr>
          <w:trHeight w:val="20"/>
        </w:trPr>
        <w:tc>
          <w:tcPr>
            <w:tcW w:w="6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6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6420" w:type="dxa"/>
            <w:vAlign w:val="bottom"/>
            <w:shd w:val="clear" w:color="auto" w:fill="CCEEFF"/>
          </w:tcPr>
          <w:p>
            <w:pPr>
              <w:spacing w:after="0"/>
              <w:rPr>
                <w:sz w:val="20"/>
                <w:szCs w:val="20"/>
                <w:color w:val="auto"/>
              </w:rPr>
            </w:pPr>
            <w:r>
              <w:rPr>
                <w:rFonts w:ascii="Arial" w:cs="Arial" w:eastAsia="Arial" w:hAnsi="Arial"/>
                <w:sz w:val="22"/>
                <w:szCs w:val="22"/>
                <w:color w:val="auto"/>
              </w:rPr>
              <w:t>Comprehensive income</w:t>
            </w:r>
          </w:p>
        </w:tc>
        <w:tc>
          <w:tcPr>
            <w:tcW w:w="1960" w:type="dxa"/>
            <w:vAlign w:val="bottom"/>
            <w:gridSpan w:val="2"/>
            <w:shd w:val="clear" w:color="auto" w:fill="CCEEFF"/>
          </w:tcPr>
          <w:p>
            <w:pPr>
              <w:jc w:val="right"/>
              <w:ind w:right="112"/>
              <w:spacing w:after="0"/>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160,316</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195,645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0"/>
        </w:trPr>
        <w:tc>
          <w:tcPr>
            <w:tcW w:w="6420" w:type="dxa"/>
            <w:vAlign w:val="bottom"/>
            <w:shd w:val="clear" w:color="auto" w:fill="CCEEFF"/>
          </w:tcPr>
          <w:p>
            <w:pPr>
              <w:spacing w:after="0"/>
              <w:rPr>
                <w:sz w:val="20"/>
                <w:szCs w:val="20"/>
                <w:color w:val="auto"/>
              </w:rPr>
            </w:pPr>
            <w:r>
              <w:rPr>
                <w:rFonts w:ascii="Arial" w:cs="Arial" w:eastAsia="Arial" w:hAnsi="Arial"/>
                <w:sz w:val="22"/>
                <w:szCs w:val="22"/>
                <w:color w:val="auto"/>
              </w:rPr>
              <w:t>Net income per common share:</w:t>
            </w:r>
          </w:p>
        </w:tc>
        <w:tc>
          <w:tcPr>
            <w:tcW w:w="1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97"/>
        </w:trPr>
        <w:tc>
          <w:tcPr>
            <w:tcW w:w="6420" w:type="dxa"/>
            <w:vAlign w:val="bottom"/>
          </w:tcPr>
          <w:p>
            <w:pPr>
              <w:ind w:left="120"/>
              <w:spacing w:after="0"/>
              <w:rPr>
                <w:sz w:val="20"/>
                <w:szCs w:val="20"/>
                <w:color w:val="auto"/>
              </w:rPr>
            </w:pPr>
            <w:r>
              <w:rPr>
                <w:rFonts w:ascii="Arial" w:cs="Arial" w:eastAsia="Arial" w:hAnsi="Arial"/>
                <w:sz w:val="22"/>
                <w:szCs w:val="22"/>
                <w:color w:val="auto"/>
              </w:rPr>
              <w:t>Basic</w:t>
            </w:r>
          </w:p>
        </w:tc>
        <w:tc>
          <w:tcPr>
            <w:tcW w:w="1960" w:type="dxa"/>
            <w:vAlign w:val="bottom"/>
            <w:gridSpan w:val="2"/>
          </w:tcPr>
          <w:p>
            <w:pPr>
              <w:jc w:val="right"/>
              <w:ind w:right="11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0.76</w:t>
            </w:r>
          </w:p>
        </w:tc>
        <w:tc>
          <w:tcPr>
            <w:tcW w:w="20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10"/>
        </w:trPr>
        <w:tc>
          <w:tcPr>
            <w:tcW w:w="6420" w:type="dxa"/>
            <w:vAlign w:val="bottom"/>
            <w:tcBorders>
              <w:top w:val="single" w:sz="8" w:color="CCEEFF"/>
              <w:bottom w:val="single" w:sz="8" w:color="CCEEFF"/>
            </w:tcBorders>
            <w:shd w:val="clear" w:color="auto" w:fill="CCEEFF"/>
          </w:tcPr>
          <w:p>
            <w:pPr>
              <w:ind w:left="120"/>
              <w:spacing w:after="0" w:line="210" w:lineRule="exact"/>
              <w:rPr>
                <w:sz w:val="20"/>
                <w:szCs w:val="20"/>
                <w:color w:val="auto"/>
              </w:rPr>
            </w:pPr>
            <w:r>
              <w:rPr>
                <w:rFonts w:ascii="Arial" w:cs="Arial" w:eastAsia="Arial" w:hAnsi="Arial"/>
                <w:sz w:val="22"/>
                <w:szCs w:val="22"/>
                <w:color w:val="auto"/>
              </w:rPr>
              <w:t>Diluted</w:t>
            </w: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12"/>
              <w:spacing w:after="0" w:line="210" w:lineRule="exact"/>
              <w:rPr>
                <w:sz w:val="20"/>
                <w:szCs w:val="20"/>
                <w:color w:val="auto"/>
              </w:rPr>
            </w:pPr>
            <w:r>
              <w:rPr>
                <w:rFonts w:ascii="Arial" w:cs="Arial" w:eastAsia="Arial" w:hAnsi="Arial"/>
                <w:sz w:val="22"/>
                <w:szCs w:val="22"/>
                <w:color w:val="auto"/>
                <w:w w:val="81"/>
              </w:rPr>
              <w:t>$</w:t>
            </w:r>
          </w:p>
        </w:tc>
        <w:tc>
          <w:tcPr>
            <w:tcW w:w="12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0.76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32"/>
              <w:spacing w:after="0" w:line="210" w:lineRule="exact"/>
              <w:rPr>
                <w:sz w:val="20"/>
                <w:szCs w:val="20"/>
                <w:color w:val="auto"/>
              </w:rPr>
            </w:pPr>
            <w:r>
              <w:rPr>
                <w:rFonts w:ascii="Arial" w:cs="Arial" w:eastAsia="Arial" w:hAnsi="Arial"/>
                <w:sz w:val="22"/>
                <w:szCs w:val="22"/>
                <w:color w:val="auto"/>
                <w:w w:val="81"/>
              </w:rPr>
              <w:t>$</w:t>
            </w:r>
          </w:p>
        </w:tc>
        <w:tc>
          <w:tcPr>
            <w:tcW w:w="12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1.10</w:t>
            </w:r>
          </w:p>
        </w:tc>
      </w:tr>
      <w:tr>
        <w:trPr>
          <w:trHeight w:val="20"/>
        </w:trPr>
        <w:tc>
          <w:tcPr>
            <w:tcW w:w="6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6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70"/>
        </w:trPr>
        <w:tc>
          <w:tcPr>
            <w:tcW w:w="6420" w:type="dxa"/>
            <w:vAlign w:val="bottom"/>
            <w:shd w:val="clear" w:color="auto" w:fill="CCEEFF"/>
          </w:tcPr>
          <w:p>
            <w:pPr>
              <w:spacing w:after="0"/>
              <w:rPr>
                <w:sz w:val="20"/>
                <w:szCs w:val="20"/>
                <w:color w:val="auto"/>
              </w:rPr>
            </w:pPr>
            <w:r>
              <w:rPr>
                <w:rFonts w:ascii="Arial" w:cs="Arial" w:eastAsia="Arial" w:hAnsi="Arial"/>
                <w:sz w:val="22"/>
                <w:szCs w:val="22"/>
                <w:color w:val="auto"/>
              </w:rPr>
              <w:t>Average common shares outstanding during the period:</w:t>
            </w:r>
          </w:p>
        </w:tc>
        <w:tc>
          <w:tcPr>
            <w:tcW w:w="16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97"/>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Basic</w:t>
            </w:r>
          </w:p>
        </w:tc>
        <w:tc>
          <w:tcPr>
            <w:tcW w:w="16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209,971</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177,876</w:t>
            </w:r>
          </w:p>
        </w:tc>
      </w:tr>
      <w:tr>
        <w:trPr>
          <w:trHeight w:val="210"/>
        </w:trPr>
        <w:tc>
          <w:tcPr>
            <w:tcW w:w="6420" w:type="dxa"/>
            <w:vAlign w:val="bottom"/>
            <w:tcBorders>
              <w:bottom w:val="single" w:sz="8" w:color="CCEEFF"/>
            </w:tcBorders>
            <w:shd w:val="clear" w:color="auto" w:fill="CCEEFF"/>
          </w:tcPr>
          <w:p>
            <w:pPr>
              <w:ind w:left="120"/>
              <w:spacing w:after="0" w:line="210" w:lineRule="exact"/>
              <w:rPr>
                <w:sz w:val="20"/>
                <w:szCs w:val="20"/>
                <w:color w:val="auto"/>
              </w:rPr>
            </w:pPr>
            <w:r>
              <w:rPr>
                <w:rFonts w:ascii="Arial" w:cs="Arial" w:eastAsia="Arial" w:hAnsi="Arial"/>
                <w:sz w:val="22"/>
                <w:szCs w:val="22"/>
                <w:color w:val="auto"/>
              </w:rPr>
              <w:t>Diluted</w:t>
            </w:r>
          </w:p>
        </w:tc>
        <w:tc>
          <w:tcPr>
            <w:tcW w:w="16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210,335</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178,347</w:t>
            </w:r>
          </w:p>
        </w:tc>
      </w:tr>
      <w:tr>
        <w:trPr>
          <w:trHeight w:val="20"/>
        </w:trPr>
        <w:tc>
          <w:tcPr>
            <w:tcW w:w="6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5" w:name="page6"/>
    <w:bookmarkEnd w:id="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75"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September 30,</w:t>
            </w:r>
          </w:p>
        </w:tc>
        <w:tc>
          <w:tcPr>
            <w:tcW w:w="280" w:type="dxa"/>
            <w:vAlign w:val="bottom"/>
          </w:tcPr>
          <w:p>
            <w:pPr>
              <w:spacing w:after="0"/>
              <w:rPr>
                <w:sz w:val="17"/>
                <w:szCs w:val="17"/>
                <w:color w:val="auto"/>
              </w:rPr>
            </w:pPr>
          </w:p>
        </w:tc>
        <w:tc>
          <w:tcPr>
            <w:tcW w:w="1540" w:type="dxa"/>
            <w:vAlign w:val="bottom"/>
          </w:tcPr>
          <w:p>
            <w:pPr>
              <w:jc w:val="right"/>
              <w:ind w:right="371"/>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6"/>
        </w:trPr>
        <w:tc>
          <w:tcPr>
            <w:tcW w:w="744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83"/>
        </w:trPr>
        <w:tc>
          <w:tcPr>
            <w:tcW w:w="74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Common stock, $0.50 par value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109,471</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90,576</w:t>
            </w:r>
          </w:p>
        </w:tc>
        <w:tc>
          <w:tcPr>
            <w:tcW w:w="0" w:type="dxa"/>
            <w:vAlign w:val="bottom"/>
          </w:tcPr>
          <w:p>
            <w:pPr>
              <w:spacing w:after="0"/>
              <w:rPr>
                <w:sz w:val="1"/>
                <w:szCs w:val="1"/>
                <w:color w:val="auto"/>
              </w:rPr>
            </w:pPr>
          </w:p>
        </w:tc>
      </w:tr>
      <w:tr>
        <w:trPr>
          <w:trHeight w:val="189"/>
        </w:trPr>
        <w:tc>
          <w:tcPr>
            <w:tcW w:w="7440" w:type="dxa"/>
            <w:vAlign w:val="bottom"/>
          </w:tcPr>
          <w:p>
            <w:pPr>
              <w:ind w:left="240"/>
              <w:spacing w:after="0" w:line="189" w:lineRule="exact"/>
              <w:rPr>
                <w:sz w:val="20"/>
                <w:szCs w:val="20"/>
                <w:color w:val="auto"/>
              </w:rPr>
            </w:pPr>
            <w:r>
              <w:rPr>
                <w:rFonts w:ascii="Arial" w:cs="Arial" w:eastAsia="Arial" w:hAnsi="Arial"/>
                <w:sz w:val="18"/>
                <w:szCs w:val="18"/>
                <w:color w:val="auto"/>
              </w:rPr>
              <w:t>Capital in excess of par value</w:t>
            </w:r>
          </w:p>
        </w:tc>
        <w:tc>
          <w:tcPr>
            <w:tcW w:w="26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Arial" w:cs="Arial" w:eastAsia="Arial" w:hAnsi="Arial"/>
                <w:sz w:val="18"/>
                <w:szCs w:val="18"/>
                <w:color w:val="auto"/>
              </w:rPr>
              <w:t>2,633,193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820,378</w:t>
            </w: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1,197,600</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1,174,245</w:t>
            </w:r>
          </w:p>
        </w:tc>
        <w:tc>
          <w:tcPr>
            <w:tcW w:w="0" w:type="dxa"/>
            <w:vAlign w:val="bottom"/>
          </w:tcPr>
          <w:p>
            <w:pPr>
              <w:spacing w:after="0"/>
              <w:rPr>
                <w:sz w:val="1"/>
                <w:szCs w:val="1"/>
                <w:color w:val="auto"/>
              </w:rPr>
            </w:pPr>
          </w:p>
        </w:tc>
      </w:tr>
      <w:tr>
        <w:trPr>
          <w:trHeight w:val="189"/>
        </w:trPr>
        <w:tc>
          <w:tcPr>
            <w:tcW w:w="7440" w:type="dxa"/>
            <w:vAlign w:val="bottom"/>
          </w:tcPr>
          <w:p>
            <w:pPr>
              <w:ind w:left="240"/>
              <w:spacing w:after="0" w:line="189" w:lineRule="exact"/>
              <w:rPr>
                <w:sz w:val="20"/>
                <w:szCs w:val="20"/>
                <w:color w:val="auto"/>
              </w:rPr>
            </w:pPr>
            <w:r>
              <w:rPr>
                <w:rFonts w:ascii="Arial" w:cs="Arial" w:eastAsia="Arial" w:hAnsi="Arial"/>
                <w:sz w:val="18"/>
                <w:szCs w:val="18"/>
                <w:color w:val="auto"/>
              </w:rPr>
              <w:t>Treasury stock, at cost</w:t>
            </w:r>
          </w:p>
        </w:tc>
        <w:tc>
          <w:tcPr>
            <w:tcW w:w="260" w:type="dxa"/>
            <w:vAlign w:val="bottom"/>
          </w:tcPr>
          <w:p>
            <w:pPr>
              <w:spacing w:after="0"/>
              <w:rPr>
                <w:sz w:val="16"/>
                <w:szCs w:val="16"/>
                <w:color w:val="auto"/>
              </w:rPr>
            </w:pPr>
          </w:p>
        </w:tc>
        <w:tc>
          <w:tcPr>
            <w:tcW w:w="190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(77,702)</w:t>
            </w:r>
          </w:p>
        </w:tc>
        <w:tc>
          <w:tcPr>
            <w:tcW w:w="28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(75,835)</w:t>
            </w:r>
          </w:p>
        </w:tc>
        <w:tc>
          <w:tcPr>
            <w:tcW w:w="0" w:type="dxa"/>
            <w:vAlign w:val="bottom"/>
          </w:tcPr>
          <w:p>
            <w:pPr>
              <w:spacing w:after="0"/>
              <w:rPr>
                <w:sz w:val="1"/>
                <w:szCs w:val="1"/>
                <w:color w:val="auto"/>
              </w:rPr>
            </w:pPr>
          </w:p>
        </w:tc>
      </w:tr>
      <w:tr>
        <w:trPr>
          <w:trHeight w:val="183"/>
        </w:trPr>
        <w:tc>
          <w:tcPr>
            <w:tcW w:w="7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3,862,562</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2,009,364</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20" w:type="dxa"/>
            <w:vAlign w:val="bottom"/>
            <w:gridSpan w:val="2"/>
          </w:tcPr>
          <w:p>
            <w:pPr>
              <w:jc w:val="center"/>
              <w:ind w:right="2100"/>
              <w:spacing w:after="0" w:line="186" w:lineRule="exact"/>
              <w:rPr>
                <w:sz w:val="20"/>
                <w:szCs w:val="20"/>
                <w:color w:val="auto"/>
              </w:rPr>
            </w:pPr>
            <w:r>
              <w:rPr>
                <w:rFonts w:ascii="Arial" w:cs="Arial" w:eastAsia="Arial" w:hAnsi="Arial"/>
                <w:sz w:val="18"/>
                <w:szCs w:val="18"/>
                <w:color w:val="auto"/>
                <w:w w:val="88"/>
              </w:rPr>
              <w:t>Interest Rate Range</w:t>
            </w:r>
          </w:p>
        </w:tc>
        <w:tc>
          <w:tcPr>
            <w:tcW w:w="2540" w:type="dxa"/>
            <w:vAlign w:val="bottom"/>
            <w:gridSpan w:val="2"/>
          </w:tcPr>
          <w:p>
            <w:pPr>
              <w:jc w:val="center"/>
              <w:ind w:right="1020"/>
              <w:spacing w:after="0" w:line="186" w:lineRule="exact"/>
              <w:rPr>
                <w:sz w:val="20"/>
                <w:szCs w:val="20"/>
                <w:color w:val="auto"/>
              </w:rPr>
            </w:pPr>
            <w:r>
              <w:rPr>
                <w:rFonts w:ascii="Arial" w:cs="Arial" w:eastAsia="Arial" w:hAnsi="Arial"/>
                <w:sz w:val="18"/>
                <w:szCs w:val="18"/>
                <w:color w:val="auto"/>
                <w:w w:val="92"/>
              </w:rPr>
              <w:t>Maturity Date Range</w:t>
            </w: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0.00% to 0.99%</w:t>
            </w:r>
          </w:p>
        </w:tc>
        <w:tc>
          <w:tcPr>
            <w:tcW w:w="210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2023 to 2033</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3,472</w:t>
            </w: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20" w:type="dxa"/>
            <w:vAlign w:val="bottom"/>
            <w:gridSpan w:val="2"/>
          </w:tcPr>
          <w:p>
            <w:pPr>
              <w:jc w:val="center"/>
              <w:ind w:right="2080"/>
              <w:spacing w:after="0" w:line="189" w:lineRule="exact"/>
              <w:rPr>
                <w:sz w:val="20"/>
                <w:szCs w:val="20"/>
                <w:color w:val="auto"/>
              </w:rPr>
            </w:pPr>
            <w:r>
              <w:rPr>
                <w:rFonts w:ascii="Arial" w:cs="Arial" w:eastAsia="Arial" w:hAnsi="Arial"/>
                <w:sz w:val="18"/>
                <w:szCs w:val="18"/>
                <w:color w:val="auto"/>
                <w:w w:val="94"/>
              </w:rPr>
              <w:t>1.00% to 1.99%</w:t>
            </w:r>
          </w:p>
        </w:tc>
        <w:tc>
          <w:tcPr>
            <w:tcW w:w="2540" w:type="dxa"/>
            <w:vAlign w:val="bottom"/>
            <w:gridSpan w:val="2"/>
          </w:tcPr>
          <w:p>
            <w:pPr>
              <w:jc w:val="center"/>
              <w:ind w:right="1020"/>
              <w:spacing w:after="0" w:line="189" w:lineRule="exact"/>
              <w:rPr>
                <w:sz w:val="20"/>
                <w:szCs w:val="20"/>
                <w:color w:val="auto"/>
              </w:rPr>
            </w:pPr>
            <w:r>
              <w:rPr>
                <w:rFonts w:ascii="Arial" w:cs="Arial" w:eastAsia="Arial" w:hAnsi="Arial"/>
                <w:sz w:val="18"/>
                <w:szCs w:val="18"/>
                <w:color w:val="auto"/>
                <w:w w:val="91"/>
              </w:rPr>
              <w:t>2020 to 2035</w:t>
            </w:r>
          </w:p>
        </w:tc>
        <w:tc>
          <w:tcPr>
            <w:tcW w:w="600" w:type="dxa"/>
            <w:vAlign w:val="bottom"/>
          </w:tcPr>
          <w:p>
            <w:pPr>
              <w:spacing w:after="0"/>
              <w:rPr>
                <w:sz w:val="16"/>
                <w:szCs w:val="16"/>
                <w:color w:val="auto"/>
              </w:rPr>
            </w:pPr>
          </w:p>
        </w:tc>
        <w:tc>
          <w:tcPr>
            <w:tcW w:w="15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10,985</w:t>
            </w:r>
          </w:p>
        </w:tc>
        <w:tc>
          <w:tcPr>
            <w:tcW w:w="5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jc w:val="center"/>
              <w:ind w:right="2080"/>
              <w:spacing w:after="0" w:line="189" w:lineRule="exact"/>
              <w:rPr>
                <w:sz w:val="20"/>
                <w:szCs w:val="20"/>
                <w:color w:val="auto"/>
              </w:rPr>
            </w:pPr>
            <w:r>
              <w:rPr>
                <w:rFonts w:ascii="Arial" w:cs="Arial" w:eastAsia="Arial" w:hAnsi="Arial"/>
                <w:sz w:val="18"/>
                <w:szCs w:val="18"/>
                <w:color w:val="auto"/>
                <w:w w:val="94"/>
              </w:rPr>
              <w:t>2.00% to 2.99%</w:t>
            </w:r>
          </w:p>
        </w:tc>
        <w:tc>
          <w:tcPr>
            <w:tcW w:w="2540" w:type="dxa"/>
            <w:vAlign w:val="bottom"/>
            <w:gridSpan w:val="2"/>
            <w:shd w:val="clear" w:color="auto" w:fill="CCEEFF"/>
          </w:tcPr>
          <w:p>
            <w:pPr>
              <w:jc w:val="center"/>
              <w:ind w:right="1020"/>
              <w:spacing w:after="0" w:line="189" w:lineRule="exact"/>
              <w:rPr>
                <w:sz w:val="20"/>
                <w:szCs w:val="20"/>
                <w:color w:val="auto"/>
              </w:rPr>
            </w:pPr>
            <w:r>
              <w:rPr>
                <w:rFonts w:ascii="Arial" w:cs="Arial" w:eastAsia="Arial" w:hAnsi="Arial"/>
                <w:sz w:val="18"/>
                <w:szCs w:val="18"/>
                <w:color w:val="auto"/>
                <w:w w:val="91"/>
              </w:rPr>
              <w:t>2024 to 2033</w:t>
            </w:r>
          </w:p>
        </w:tc>
        <w:tc>
          <w:tcPr>
            <w:tcW w:w="6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16,132</w:t>
            </w: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20" w:type="dxa"/>
            <w:vAlign w:val="bottom"/>
            <w:gridSpan w:val="2"/>
          </w:tcPr>
          <w:p>
            <w:pPr>
              <w:jc w:val="center"/>
              <w:ind w:right="2080"/>
              <w:spacing w:after="0" w:line="189" w:lineRule="exact"/>
              <w:rPr>
                <w:sz w:val="20"/>
                <w:szCs w:val="20"/>
                <w:color w:val="auto"/>
              </w:rPr>
            </w:pPr>
            <w:r>
              <w:rPr>
                <w:rFonts w:ascii="Arial" w:cs="Arial" w:eastAsia="Arial" w:hAnsi="Arial"/>
                <w:sz w:val="18"/>
                <w:szCs w:val="18"/>
                <w:color w:val="auto"/>
                <w:w w:val="94"/>
              </w:rPr>
              <w:t>3.00% to 3.99%</w:t>
            </w:r>
          </w:p>
        </w:tc>
        <w:tc>
          <w:tcPr>
            <w:tcW w:w="2540" w:type="dxa"/>
            <w:vAlign w:val="bottom"/>
            <w:gridSpan w:val="2"/>
          </w:tcPr>
          <w:p>
            <w:pPr>
              <w:jc w:val="center"/>
              <w:ind w:right="1020"/>
              <w:spacing w:after="0" w:line="189" w:lineRule="exact"/>
              <w:rPr>
                <w:sz w:val="20"/>
                <w:szCs w:val="20"/>
                <w:color w:val="auto"/>
              </w:rPr>
            </w:pPr>
            <w:r>
              <w:rPr>
                <w:rFonts w:ascii="Arial" w:cs="Arial" w:eastAsia="Arial" w:hAnsi="Arial"/>
                <w:sz w:val="18"/>
                <w:szCs w:val="18"/>
                <w:color w:val="auto"/>
                <w:w w:val="91"/>
              </w:rPr>
              <w:t>2019 to 2056</w:t>
            </w:r>
          </w:p>
        </w:tc>
        <w:tc>
          <w:tcPr>
            <w:tcW w:w="600" w:type="dxa"/>
            <w:vAlign w:val="bottom"/>
          </w:tcPr>
          <w:p>
            <w:pPr>
              <w:spacing w:after="0"/>
              <w:rPr>
                <w:sz w:val="16"/>
                <w:szCs w:val="16"/>
                <w:color w:val="auto"/>
              </w:rPr>
            </w:pPr>
          </w:p>
        </w:tc>
        <w:tc>
          <w:tcPr>
            <w:tcW w:w="15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496,295</w:t>
            </w:r>
          </w:p>
        </w:tc>
        <w:tc>
          <w:tcPr>
            <w:tcW w:w="5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497,426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jc w:val="center"/>
              <w:ind w:right="2080"/>
              <w:spacing w:after="0" w:line="189" w:lineRule="exact"/>
              <w:rPr>
                <w:sz w:val="20"/>
                <w:szCs w:val="20"/>
                <w:color w:val="auto"/>
              </w:rPr>
            </w:pPr>
            <w:r>
              <w:rPr>
                <w:rFonts w:ascii="Arial" w:cs="Arial" w:eastAsia="Arial" w:hAnsi="Arial"/>
                <w:sz w:val="18"/>
                <w:szCs w:val="18"/>
                <w:color w:val="auto"/>
                <w:w w:val="94"/>
              </w:rPr>
              <w:t>4.00% to 4.99%</w:t>
            </w:r>
          </w:p>
        </w:tc>
        <w:tc>
          <w:tcPr>
            <w:tcW w:w="2540" w:type="dxa"/>
            <w:vAlign w:val="bottom"/>
            <w:gridSpan w:val="2"/>
            <w:shd w:val="clear" w:color="auto" w:fill="CCEEFF"/>
          </w:tcPr>
          <w:p>
            <w:pPr>
              <w:jc w:val="center"/>
              <w:ind w:right="1020"/>
              <w:spacing w:after="0" w:line="189" w:lineRule="exact"/>
              <w:rPr>
                <w:sz w:val="20"/>
                <w:szCs w:val="20"/>
                <w:color w:val="auto"/>
              </w:rPr>
            </w:pPr>
            <w:r>
              <w:rPr>
                <w:rFonts w:ascii="Arial" w:cs="Arial" w:eastAsia="Arial" w:hAnsi="Arial"/>
                <w:sz w:val="18"/>
                <w:szCs w:val="18"/>
                <w:color w:val="auto"/>
                <w:w w:val="91"/>
              </w:rPr>
              <w:t>2020 to 2059</w:t>
            </w:r>
          </w:p>
        </w:tc>
        <w:tc>
          <w:tcPr>
            <w:tcW w:w="6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1,129,571</w:t>
            </w: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831,066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20" w:type="dxa"/>
            <w:vAlign w:val="bottom"/>
            <w:gridSpan w:val="2"/>
          </w:tcPr>
          <w:p>
            <w:pPr>
              <w:jc w:val="center"/>
              <w:ind w:right="2080"/>
              <w:spacing w:after="0" w:line="189" w:lineRule="exact"/>
              <w:rPr>
                <w:sz w:val="20"/>
                <w:szCs w:val="20"/>
                <w:color w:val="auto"/>
              </w:rPr>
            </w:pPr>
            <w:r>
              <w:rPr>
                <w:rFonts w:ascii="Arial" w:cs="Arial" w:eastAsia="Arial" w:hAnsi="Arial"/>
                <w:sz w:val="18"/>
                <w:szCs w:val="18"/>
                <w:color w:val="auto"/>
                <w:w w:val="94"/>
              </w:rPr>
              <w:t>5.00% to 5.99%</w:t>
            </w:r>
          </w:p>
        </w:tc>
        <w:tc>
          <w:tcPr>
            <w:tcW w:w="2540" w:type="dxa"/>
            <w:vAlign w:val="bottom"/>
            <w:gridSpan w:val="2"/>
          </w:tcPr>
          <w:p>
            <w:pPr>
              <w:jc w:val="center"/>
              <w:ind w:right="1020"/>
              <w:spacing w:after="0" w:line="189" w:lineRule="exact"/>
              <w:rPr>
                <w:sz w:val="20"/>
                <w:szCs w:val="20"/>
                <w:color w:val="auto"/>
              </w:rPr>
            </w:pPr>
            <w:r>
              <w:rPr>
                <w:rFonts w:ascii="Arial" w:cs="Arial" w:eastAsia="Arial" w:hAnsi="Arial"/>
                <w:sz w:val="18"/>
                <w:szCs w:val="18"/>
                <w:color w:val="auto"/>
                <w:w w:val="91"/>
              </w:rPr>
              <w:t>2019 to 2043</w:t>
            </w:r>
          </w:p>
        </w:tc>
        <w:tc>
          <w:tcPr>
            <w:tcW w:w="600" w:type="dxa"/>
            <w:vAlign w:val="bottom"/>
          </w:tcPr>
          <w:p>
            <w:pPr>
              <w:spacing w:after="0"/>
              <w:rPr>
                <w:sz w:val="16"/>
                <w:szCs w:val="16"/>
                <w:color w:val="auto"/>
              </w:rPr>
            </w:pPr>
          </w:p>
        </w:tc>
        <w:tc>
          <w:tcPr>
            <w:tcW w:w="15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134,323</w:t>
            </w:r>
          </w:p>
        </w:tc>
        <w:tc>
          <w:tcPr>
            <w:tcW w:w="5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154,788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jc w:val="center"/>
              <w:ind w:right="2080"/>
              <w:spacing w:after="0" w:line="189" w:lineRule="exact"/>
              <w:rPr>
                <w:sz w:val="20"/>
                <w:szCs w:val="20"/>
                <w:color w:val="auto"/>
              </w:rPr>
            </w:pPr>
            <w:r>
              <w:rPr>
                <w:rFonts w:ascii="Arial" w:cs="Arial" w:eastAsia="Arial" w:hAnsi="Arial"/>
                <w:sz w:val="18"/>
                <w:szCs w:val="18"/>
                <w:color w:val="auto"/>
                <w:w w:val="94"/>
              </w:rPr>
              <w:t>6.00% to 6.99%</w:t>
            </w:r>
          </w:p>
        </w:tc>
        <w:tc>
          <w:tcPr>
            <w:tcW w:w="2540" w:type="dxa"/>
            <w:vAlign w:val="bottom"/>
            <w:gridSpan w:val="2"/>
            <w:shd w:val="clear" w:color="auto" w:fill="CCEEFF"/>
          </w:tcPr>
          <w:p>
            <w:pPr>
              <w:jc w:val="center"/>
              <w:ind w:right="1020"/>
              <w:spacing w:after="0" w:line="189" w:lineRule="exact"/>
              <w:rPr>
                <w:sz w:val="20"/>
                <w:szCs w:val="20"/>
                <w:color w:val="auto"/>
              </w:rPr>
            </w:pPr>
            <w:r>
              <w:rPr>
                <w:rFonts w:ascii="Arial" w:cs="Arial" w:eastAsia="Arial" w:hAnsi="Arial"/>
                <w:sz w:val="18"/>
                <w:szCs w:val="18"/>
                <w:color w:val="auto"/>
                <w:w w:val="91"/>
              </w:rPr>
              <w:t>2026 to 2036</w:t>
            </w:r>
          </w:p>
        </w:tc>
        <w:tc>
          <w:tcPr>
            <w:tcW w:w="6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31,000</w:t>
            </w: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20" w:type="dxa"/>
            <w:vAlign w:val="bottom"/>
            <w:gridSpan w:val="2"/>
          </w:tcPr>
          <w:p>
            <w:pPr>
              <w:jc w:val="center"/>
              <w:ind w:right="2080"/>
              <w:spacing w:after="0" w:line="189" w:lineRule="exact"/>
              <w:rPr>
                <w:sz w:val="20"/>
                <w:szCs w:val="20"/>
                <w:color w:val="auto"/>
              </w:rPr>
            </w:pPr>
            <w:r>
              <w:rPr>
                <w:rFonts w:ascii="Arial" w:cs="Arial" w:eastAsia="Arial" w:hAnsi="Arial"/>
                <w:sz w:val="18"/>
                <w:szCs w:val="18"/>
                <w:color w:val="auto"/>
                <w:w w:val="94"/>
              </w:rPr>
              <w:t>7.00% to 7.99%</w:t>
            </w:r>
          </w:p>
        </w:tc>
        <w:tc>
          <w:tcPr>
            <w:tcW w:w="2540" w:type="dxa"/>
            <w:vAlign w:val="bottom"/>
            <w:gridSpan w:val="2"/>
          </w:tcPr>
          <w:p>
            <w:pPr>
              <w:jc w:val="center"/>
              <w:ind w:right="1020"/>
              <w:spacing w:after="0" w:line="189" w:lineRule="exact"/>
              <w:rPr>
                <w:sz w:val="20"/>
                <w:szCs w:val="20"/>
                <w:color w:val="auto"/>
              </w:rPr>
            </w:pPr>
            <w:r>
              <w:rPr>
                <w:rFonts w:ascii="Arial" w:cs="Arial" w:eastAsia="Arial" w:hAnsi="Arial"/>
                <w:sz w:val="18"/>
                <w:szCs w:val="18"/>
                <w:color w:val="auto"/>
                <w:w w:val="91"/>
              </w:rPr>
              <w:t>2022 to 2027</w:t>
            </w:r>
          </w:p>
        </w:tc>
        <w:tc>
          <w:tcPr>
            <w:tcW w:w="600" w:type="dxa"/>
            <w:vAlign w:val="bottom"/>
          </w:tcPr>
          <w:p>
            <w:pPr>
              <w:spacing w:after="0"/>
              <w:rPr>
                <w:sz w:val="16"/>
                <w:szCs w:val="16"/>
                <w:color w:val="auto"/>
              </w:rPr>
            </w:pPr>
          </w:p>
        </w:tc>
        <w:tc>
          <w:tcPr>
            <w:tcW w:w="15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30,958</w:t>
            </w:r>
          </w:p>
        </w:tc>
        <w:tc>
          <w:tcPr>
            <w:tcW w:w="5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31,564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520" w:type="dxa"/>
            <w:vAlign w:val="bottom"/>
            <w:gridSpan w:val="2"/>
            <w:shd w:val="clear" w:color="auto" w:fill="CCEEFF"/>
          </w:tcPr>
          <w:p>
            <w:pPr>
              <w:jc w:val="center"/>
              <w:ind w:right="2080"/>
              <w:spacing w:after="0" w:line="189" w:lineRule="exact"/>
              <w:rPr>
                <w:sz w:val="20"/>
                <w:szCs w:val="20"/>
                <w:color w:val="auto"/>
              </w:rPr>
            </w:pPr>
            <w:r>
              <w:rPr>
                <w:rFonts w:ascii="Arial" w:cs="Arial" w:eastAsia="Arial" w:hAnsi="Arial"/>
                <w:sz w:val="18"/>
                <w:szCs w:val="18"/>
                <w:color w:val="auto"/>
                <w:w w:val="94"/>
              </w:rPr>
              <w:t>8.00% to 8.99%</w:t>
            </w:r>
          </w:p>
        </w:tc>
        <w:tc>
          <w:tcPr>
            <w:tcW w:w="2540" w:type="dxa"/>
            <w:vAlign w:val="bottom"/>
            <w:gridSpan w:val="2"/>
            <w:shd w:val="clear" w:color="auto" w:fill="CCEEFF"/>
          </w:tcPr>
          <w:p>
            <w:pPr>
              <w:jc w:val="center"/>
              <w:ind w:right="1020"/>
              <w:spacing w:after="0" w:line="189" w:lineRule="exact"/>
              <w:rPr>
                <w:sz w:val="20"/>
                <w:szCs w:val="20"/>
                <w:color w:val="auto"/>
              </w:rPr>
            </w:pPr>
            <w:r>
              <w:rPr>
                <w:rFonts w:ascii="Arial" w:cs="Arial" w:eastAsia="Arial" w:hAnsi="Arial"/>
                <w:sz w:val="18"/>
                <w:szCs w:val="18"/>
                <w:color w:val="auto"/>
                <w:w w:val="91"/>
              </w:rPr>
              <w:t>2021 to 2025</w:t>
            </w:r>
          </w:p>
        </w:tc>
        <w:tc>
          <w:tcPr>
            <w:tcW w:w="6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5,169</w:t>
            </w: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20" w:type="dxa"/>
            <w:vAlign w:val="bottom"/>
            <w:gridSpan w:val="2"/>
          </w:tcPr>
          <w:p>
            <w:pPr>
              <w:jc w:val="center"/>
              <w:ind w:right="2080"/>
              <w:spacing w:after="0" w:line="189" w:lineRule="exact"/>
              <w:rPr>
                <w:sz w:val="20"/>
                <w:szCs w:val="20"/>
                <w:color w:val="auto"/>
              </w:rPr>
            </w:pPr>
            <w:r>
              <w:rPr>
                <w:rFonts w:ascii="Arial" w:cs="Arial" w:eastAsia="Arial" w:hAnsi="Arial"/>
                <w:sz w:val="18"/>
                <w:szCs w:val="18"/>
                <w:color w:val="auto"/>
                <w:w w:val="94"/>
              </w:rPr>
              <w:t>9.00% to 9.99%</w:t>
            </w:r>
          </w:p>
        </w:tc>
        <w:tc>
          <w:tcPr>
            <w:tcW w:w="2540" w:type="dxa"/>
            <w:vAlign w:val="bottom"/>
            <w:gridSpan w:val="2"/>
          </w:tcPr>
          <w:p>
            <w:pPr>
              <w:jc w:val="center"/>
              <w:ind w:right="1020"/>
              <w:spacing w:after="0" w:line="189" w:lineRule="exact"/>
              <w:rPr>
                <w:sz w:val="20"/>
                <w:szCs w:val="20"/>
                <w:color w:val="auto"/>
              </w:rPr>
            </w:pPr>
            <w:r>
              <w:rPr>
                <w:rFonts w:ascii="Arial" w:cs="Arial" w:eastAsia="Arial" w:hAnsi="Arial"/>
                <w:sz w:val="18"/>
                <w:szCs w:val="18"/>
                <w:color w:val="auto"/>
                <w:w w:val="91"/>
              </w:rPr>
              <w:t>2020 to 2026</w:t>
            </w:r>
          </w:p>
        </w:tc>
        <w:tc>
          <w:tcPr>
            <w:tcW w:w="600" w:type="dxa"/>
            <w:vAlign w:val="bottom"/>
          </w:tcPr>
          <w:p>
            <w:pPr>
              <w:spacing w:after="0"/>
              <w:rPr>
                <w:sz w:val="16"/>
                <w:szCs w:val="16"/>
                <w:color w:val="auto"/>
              </w:rPr>
            </w:pPr>
          </w:p>
        </w:tc>
        <w:tc>
          <w:tcPr>
            <w:tcW w:w="15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19,300</w:t>
            </w:r>
          </w:p>
        </w:tc>
        <w:tc>
          <w:tcPr>
            <w:tcW w:w="5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1,877,205</w:t>
            </w:r>
          </w:p>
        </w:tc>
        <w:tc>
          <w:tcPr>
            <w:tcW w:w="2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1,604,233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2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Notes payable to bank under revolving credit agreement, variable rate, due 2023</w:t>
            </w: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gridSpan w:val="3"/>
          </w:tcPr>
          <w:p>
            <w:pPr>
              <w:spacing w:after="0" w:line="189" w:lineRule="exact"/>
              <w:rPr>
                <w:sz w:val="20"/>
                <w:szCs w:val="20"/>
                <w:color w:val="auto"/>
              </w:rPr>
            </w:pPr>
            <w:r>
              <w:rPr>
                <w:rFonts w:ascii="Arial" w:cs="Arial" w:eastAsia="Arial" w:hAnsi="Arial"/>
                <w:sz w:val="18"/>
                <w:szCs w:val="18"/>
                <w:color w:val="auto"/>
              </w:rPr>
              <w:t>Unsecured notes payable:</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8"/>
                <w:szCs w:val="18"/>
                <w:color w:val="auto"/>
              </w:rPr>
              <w:t>Bank note at 3.50% due 2020</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50,000</w:t>
            </w: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gridSpan w:val="3"/>
          </w:tcPr>
          <w:p>
            <w:pPr>
              <w:ind w:left="100"/>
              <w:spacing w:after="0" w:line="189" w:lineRule="exact"/>
              <w:rPr>
                <w:sz w:val="20"/>
                <w:szCs w:val="20"/>
                <w:color w:val="auto"/>
              </w:rPr>
            </w:pPr>
            <w:r>
              <w:rPr>
                <w:rFonts w:ascii="Arial" w:cs="Arial" w:eastAsia="Arial" w:hAnsi="Arial"/>
                <w:sz w:val="18"/>
                <w:szCs w:val="18"/>
                <w:color w:val="auto"/>
              </w:rPr>
              <w:t>Amortizing notes at 3.00% due 2022</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108,889</w:t>
            </w:r>
          </w:p>
        </w:tc>
        <w:tc>
          <w:tcPr>
            <w:tcW w:w="5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8"/>
                <w:szCs w:val="18"/>
                <w:color w:val="auto"/>
                <w:w w:val="99"/>
              </w:rPr>
              <w:t>Notes ranging from 3.01% to 3.59% due 2029 through 2041</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525,000</w:t>
            </w: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gridSpan w:val="3"/>
          </w:tcPr>
          <w:p>
            <w:pPr>
              <w:ind w:left="100"/>
              <w:spacing w:after="0" w:line="189" w:lineRule="exact"/>
              <w:rPr>
                <w:sz w:val="20"/>
                <w:szCs w:val="20"/>
                <w:color w:val="auto"/>
              </w:rPr>
            </w:pPr>
            <w:r>
              <w:rPr>
                <w:rFonts w:ascii="Arial" w:cs="Arial" w:eastAsia="Arial" w:hAnsi="Arial"/>
                <w:sz w:val="18"/>
                <w:szCs w:val="18"/>
                <w:color w:val="auto"/>
              </w:rPr>
              <w:t>Notes at 4.28%, due 2049</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500,000</w:t>
            </w:r>
          </w:p>
        </w:tc>
        <w:tc>
          <w:tcPr>
            <w:tcW w:w="56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112,000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8"/>
                <w:szCs w:val="18"/>
                <w:color w:val="auto"/>
                <w:w w:val="98"/>
              </w:rPr>
              <w:t>Notes ranging from 5.64% to 5.95%, due 2020 through 2034</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50,927</w:t>
            </w: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132,427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3,112,021</w:t>
            </w:r>
          </w:p>
        </w:tc>
        <w:tc>
          <w:tcPr>
            <w:tcW w:w="2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2,563,660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8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15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178,116</w:t>
            </w:r>
          </w:p>
        </w:tc>
        <w:tc>
          <w:tcPr>
            <w:tcW w:w="2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144,545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Long-term debt, excluding current portion</w:t>
            </w:r>
          </w:p>
        </w:tc>
        <w:tc>
          <w:tcPr>
            <w:tcW w:w="1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2,933,905</w:t>
            </w: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2,419,115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Less: debt issuance costs</w:t>
            </w:r>
          </w:p>
        </w:tc>
        <w:tc>
          <w:tcPr>
            <w:tcW w:w="15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35,607</w:t>
            </w:r>
          </w:p>
        </w:tc>
        <w:tc>
          <w:tcPr>
            <w:tcW w:w="2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20,651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gridSpan w:val="5"/>
            <w:shd w:val="clear" w:color="auto" w:fill="CCEEFF"/>
          </w:tcPr>
          <w:p>
            <w:pPr>
              <w:spacing w:after="0" w:line="182" w:lineRule="exact"/>
              <w:rPr>
                <w:sz w:val="20"/>
                <w:szCs w:val="20"/>
                <w:color w:val="auto"/>
              </w:rPr>
            </w:pPr>
            <w:r>
              <w:rPr>
                <w:rFonts w:ascii="Arial" w:cs="Arial" w:eastAsia="Arial" w:hAnsi="Arial"/>
                <w:sz w:val="18"/>
                <w:szCs w:val="18"/>
                <w:color w:val="auto"/>
              </w:rPr>
              <w:t>Long-term debt, excluding current portion, net of debt issuance costs</w:t>
            </w:r>
          </w:p>
        </w:tc>
        <w:tc>
          <w:tcPr>
            <w:tcW w:w="6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2,898,298</w:t>
            </w:r>
          </w:p>
        </w:tc>
        <w:tc>
          <w:tcPr>
            <w:tcW w:w="26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2,398,464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tcBorders>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capitalization</w:t>
            </w:r>
          </w:p>
        </w:tc>
        <w:tc>
          <w:tcPr>
            <w:tcW w:w="15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6,760,860</w:t>
            </w:r>
          </w:p>
        </w:tc>
        <w:tc>
          <w:tcPr>
            <w:tcW w:w="2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4,407,828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beginning on page 9 of this report.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6" w:name="page7"/>
    <w:bookmarkEnd w:id="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75"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Capital in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line="176" w:lineRule="exact"/>
              <w:rPr>
                <w:sz w:val="20"/>
                <w:szCs w:val="20"/>
                <w:color w:val="auto"/>
              </w:rPr>
            </w:pPr>
            <w:r>
              <w:rPr>
                <w:rFonts w:ascii="Arial" w:cs="Arial" w:eastAsia="Arial" w:hAnsi="Arial"/>
                <w:sz w:val="16"/>
                <w:szCs w:val="16"/>
                <w:color w:val="auto"/>
                <w:w w:val="92"/>
              </w:rPr>
              <w:t>Common</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line="176" w:lineRule="exact"/>
              <w:rPr>
                <w:sz w:val="20"/>
                <w:szCs w:val="20"/>
                <w:color w:val="auto"/>
              </w:rPr>
            </w:pPr>
            <w:r>
              <w:rPr>
                <w:rFonts w:ascii="Arial" w:cs="Arial" w:eastAsia="Arial" w:hAnsi="Arial"/>
                <w:sz w:val="16"/>
                <w:szCs w:val="16"/>
                <w:color w:val="auto"/>
                <w:w w:val="92"/>
              </w:rPr>
              <w:t>Excess of</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40"/>
              <w:spacing w:after="0" w:line="176" w:lineRule="exact"/>
              <w:rPr>
                <w:sz w:val="20"/>
                <w:szCs w:val="20"/>
                <w:color w:val="auto"/>
              </w:rPr>
            </w:pPr>
            <w:r>
              <w:rPr>
                <w:rFonts w:ascii="Arial" w:cs="Arial" w:eastAsia="Arial" w:hAnsi="Arial"/>
                <w:sz w:val="16"/>
                <w:szCs w:val="16"/>
                <w:color w:val="auto"/>
              </w:rPr>
              <w:t>Retained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60"/>
              <w:spacing w:after="0" w:line="176" w:lineRule="exact"/>
              <w:rPr>
                <w:sz w:val="20"/>
                <w:szCs w:val="20"/>
                <w:color w:val="auto"/>
              </w:rPr>
            </w:pPr>
            <w:r>
              <w:rPr>
                <w:rFonts w:ascii="Arial" w:cs="Arial" w:eastAsia="Arial" w:hAnsi="Arial"/>
                <w:sz w:val="16"/>
                <w:szCs w:val="16"/>
                <w:color w:val="auto"/>
                <w:w w:val="91"/>
              </w:rPr>
              <w:t>Treasury</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1"/>
              </w:rPr>
              <w:t>Par Value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color w:val="auto"/>
              </w:rPr>
              <w:t>Earnings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Stock</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6"/>
        </w:trPr>
        <w:tc>
          <w:tcPr>
            <w:tcW w:w="63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December 31, 2018</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90,576</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820,378</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1,174,245</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(75,835)</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2,009,364</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16,924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16,924</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Dividends declared ($0.2190 per share)</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(39,014)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(39,014)</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Issuance of common stock under dividend reinvestment plan (117,845 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3,976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4,035</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Repurchase of stock (52,124 shares)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(1,857)</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Equity compensation plan (134,257 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(67)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Exercise of stock options (77,479 shares)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1,136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1,929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42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56"/>
        </w:trPr>
        <w:tc>
          <w:tcPr>
            <w:tcW w:w="6380" w:type="dxa"/>
            <w:vAlign w:val="bottom"/>
          </w:tcPr>
          <w:p>
            <w:pPr>
              <w:spacing w:after="0" w:line="155" w:lineRule="exact"/>
              <w:rPr>
                <w:sz w:val="20"/>
                <w:szCs w:val="20"/>
                <w:color w:val="auto"/>
              </w:rPr>
            </w:pPr>
            <w:r>
              <w:rPr>
                <w:rFonts w:ascii="Arial" w:cs="Arial" w:eastAsia="Arial" w:hAnsi="Arial"/>
                <w:sz w:val="16"/>
                <w:szCs w:val="16"/>
                <w:color w:val="auto"/>
              </w:rPr>
              <w:t>Balance at March 31, 2019</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90,741</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827,339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1,152,197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(77,692)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1,992,585</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54,903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54,903</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Dividends declared ($0.2190 per share)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(47,249)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(47,249)</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Stock issued to finance pending acquisition (37,370,017 shares)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18,685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1,245,440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1,264,125</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Proceeds from stock purchase contracts issued under tangible equity units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557,837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557,837</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Issuance of common stock under dividend reinvestment plan (10,162 shares)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380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Repurchase of stock (46 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Equity compensation plan (5,099 shares)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Exercise of stock options (21,148 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361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2,129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(98)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Other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(212)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56"/>
        </w:trPr>
        <w:tc>
          <w:tcPr>
            <w:tcW w:w="63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June 30, 2019</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109,444</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2,633,271</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1,159,753</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(77,694)</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3,824,774</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88,489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88,489</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Dividends declared ($0.2343 per share)</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(50,558)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(50,558)</w:t>
            </w:r>
          </w:p>
        </w:tc>
        <w:tc>
          <w:tcPr>
            <w:tcW w:w="0" w:type="dxa"/>
            <w:vAlign w:val="bottom"/>
          </w:tcPr>
          <w:p>
            <w:pPr>
              <w:spacing w:after="0"/>
              <w:rPr>
                <w:sz w:val="1"/>
                <w:szCs w:val="1"/>
                <w:color w:val="auto"/>
              </w:rPr>
            </w:pPr>
          </w:p>
        </w:tc>
      </w:tr>
      <w:tr>
        <w:trPr>
          <w:trHeight w:val="139"/>
        </w:trPr>
        <w:tc>
          <w:tcPr>
            <w:tcW w:w="6380" w:type="dxa"/>
            <w:vAlign w:val="bottom"/>
          </w:tcPr>
          <w:p>
            <w:pPr>
              <w:spacing w:after="0" w:line="138" w:lineRule="exact"/>
              <w:rPr>
                <w:sz w:val="20"/>
                <w:szCs w:val="20"/>
                <w:color w:val="auto"/>
              </w:rPr>
            </w:pPr>
            <w:r>
              <w:rPr>
                <w:rFonts w:ascii="Arial" w:cs="Arial" w:eastAsia="Arial" w:hAnsi="Arial"/>
                <w:sz w:val="16"/>
                <w:szCs w:val="16"/>
                <w:color w:val="auto"/>
                <w:w w:val="93"/>
              </w:rPr>
              <w:t>Expenses incurred for equity offering and stock purchase contracts issued under tangible equity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(1,474)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(1,474)</w:t>
            </w:r>
          </w:p>
        </w:tc>
        <w:tc>
          <w:tcPr>
            <w:tcW w:w="0" w:type="dxa"/>
            <w:vAlign w:val="bottom"/>
          </w:tcPr>
          <w:p>
            <w:pPr>
              <w:spacing w:after="0"/>
              <w:rPr>
                <w:sz w:val="1"/>
                <w:szCs w:val="1"/>
                <w:color w:val="auto"/>
              </w:rPr>
            </w:pPr>
          </w:p>
        </w:tc>
      </w:tr>
      <w:tr>
        <w:trPr>
          <w:trHeight w:val="185"/>
        </w:trPr>
        <w:tc>
          <w:tcPr>
            <w:tcW w:w="6380" w:type="dxa"/>
            <w:vAlign w:val="bottom"/>
          </w:tcPr>
          <w:p>
            <w:pPr>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Issuance of common stock under dividend reinvestment plan (9,334 shares)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394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Issuance of common stock from stock purchase contracts (29,484 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(15)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Repurchase of stock (189 shares)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Equity compensation plan (4,165 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6"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Exercise of stock options (9,864 shares)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184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1,774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(84)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1,690</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(939)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156"/>
        </w:trPr>
        <w:tc>
          <w:tcPr>
            <w:tcW w:w="6380" w:type="dxa"/>
            <w:vAlign w:val="bottom"/>
          </w:tcPr>
          <w:p>
            <w:pPr>
              <w:spacing w:after="0" w:line="155" w:lineRule="exact"/>
              <w:rPr>
                <w:sz w:val="20"/>
                <w:szCs w:val="20"/>
                <w:color w:val="auto"/>
              </w:rPr>
            </w:pPr>
            <w:r>
              <w:rPr>
                <w:rFonts w:ascii="Arial" w:cs="Arial" w:eastAsia="Arial" w:hAnsi="Arial"/>
                <w:sz w:val="16"/>
                <w:szCs w:val="16"/>
                <w:color w:val="auto"/>
              </w:rPr>
              <w:t>Balance at September 30, 2019</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109,471</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2,633,193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1,197,600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(77,702)</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3,862,562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7" w:name="page8"/>
    <w:bookmarkEnd w:id="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75"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CONSOLIDATED STATEMENTS OF EQUITY</w:t>
      </w:r>
    </w:p>
    <w:p>
      <w:pPr>
        <w:jc w:val="center"/>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Accumulated</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Common</w:t>
            </w:r>
          </w:p>
        </w:tc>
        <w:tc>
          <w:tcPr>
            <w:tcW w:w="12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color w:val="auto"/>
              </w:rPr>
              <w:t>Retained</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1"/>
              </w:rPr>
              <w:t>Treasury</w:t>
            </w:r>
          </w:p>
        </w:tc>
        <w:tc>
          <w:tcPr>
            <w:tcW w:w="4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color w:val="auto"/>
                <w:w w:val="96"/>
              </w:rPr>
              <w:t>Comprehensive</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5"/>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Stock</w:t>
            </w:r>
          </w:p>
        </w:tc>
        <w:tc>
          <w:tcPr>
            <w:tcW w:w="12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color w:val="auto"/>
              </w:rPr>
              <w:t>Earnings</w:t>
            </w:r>
          </w:p>
        </w:tc>
        <w:tc>
          <w:tcPr>
            <w:tcW w:w="1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Income</w:t>
            </w:r>
          </w:p>
        </w:tc>
        <w:tc>
          <w:tcPr>
            <w:tcW w:w="220" w:type="dxa"/>
            <w:vAlign w:val="bottom"/>
          </w:tcPr>
          <w:p>
            <w:pPr>
              <w:spacing w:after="0"/>
              <w:rPr>
                <w:sz w:val="16"/>
                <w:szCs w:val="16"/>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color w:val="auto"/>
              </w:rPr>
              <w:t>Total</w:t>
            </w:r>
          </w:p>
        </w:tc>
      </w:tr>
      <w:tr>
        <w:trPr>
          <w:trHeight w:val="169"/>
        </w:trPr>
        <w:tc>
          <w:tcPr>
            <w:tcW w:w="51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Balance at December 31, 2017</w:t>
            </w: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90,350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807,135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1,132,556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(73,280)</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860</w:t>
            </w: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1,957,621</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50,839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50,839</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($0.2047 per share)</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(36,386)</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(36,386)</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w w:val="94"/>
              </w:rPr>
              <w:t>Issuance of common stock under dividend reinvestment plan (11,252 shares)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Repurchase of stock (71,940 shares)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(2,491)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Equity compensation plan (181,670 shares)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 (62,688 shares)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1,402</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w w:val="99"/>
              </w:rPr>
              <w:t>Cumulative effect of change in accounting principle - financial instruments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(860)</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(197)</w:t>
            </w: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169"/>
        </w:trPr>
        <w:tc>
          <w:tcPr>
            <w:tcW w:w="51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Balance at March 31, 2018</w:t>
            </w: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90,478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809,624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1,147,828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(75,771)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1,972,159</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66,590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66,590</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($0.2047 per share)</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(36,416)</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(36,416)</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w w:val="94"/>
              </w:rPr>
              <w:t>Issuance of common stock under dividend reinvestment plan (10,918 shares)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 (3,969 shares)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Exercise of stock options (411 shares)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(206)</w:t>
            </w: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169"/>
        </w:trPr>
        <w:tc>
          <w:tcPr>
            <w:tcW w:w="51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Balance at June 30, 2018</w:t>
            </w: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90,486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811,763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1,177,874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(75,771)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2,004,352</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78,216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78,216</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($0.219 per share)</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(38,964)</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(38,964)</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w w:val="94"/>
              </w:rPr>
              <w:t>Issuance of common stock under dividend reinvestment plan (10,693 shares)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Repurchase of stock (25 shares)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Equity compensation plan (4,423 shares)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 (11,877 shares)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1,780</w:t>
            </w:r>
          </w:p>
        </w:tc>
      </w:tr>
      <w:tr>
        <w:trPr>
          <w:trHeight w:val="18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(209)</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156"/>
        </w:trPr>
        <w:tc>
          <w:tcPr>
            <w:tcW w:w="5180" w:type="dxa"/>
            <w:vAlign w:val="bottom"/>
          </w:tcPr>
          <w:p>
            <w:pPr>
              <w:spacing w:after="0" w:line="155" w:lineRule="exact"/>
              <w:rPr>
                <w:sz w:val="20"/>
                <w:szCs w:val="20"/>
                <w:color w:val="auto"/>
              </w:rPr>
            </w:pPr>
            <w:r>
              <w:rPr>
                <w:rFonts w:ascii="Arial" w:cs="Arial" w:eastAsia="Arial" w:hAnsi="Arial"/>
                <w:sz w:val="16"/>
                <w:szCs w:val="16"/>
                <w:color w:val="auto"/>
              </w:rPr>
              <w:t>Balance at September 30, 2018</w:t>
            </w: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90,499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814,004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1,217,007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(75,772)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2,045,738</w:t>
            </w: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9 of this report.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8" w:name="page9"/>
    <w:bookmarkEnd w:id="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7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CONSOLIDATED STATEMENTS OF CASH FLOW</w:t>
      </w:r>
    </w:p>
    <w:p>
      <w:pPr>
        <w:ind w:left="462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8" w:lineRule="exact"/>
        <w:rPr>
          <w:sz w:val="20"/>
          <w:szCs w:val="20"/>
          <w:color w:val="auto"/>
        </w:rPr>
      </w:pPr>
    </w:p>
    <w:p>
      <w:pPr>
        <w:jc w:val="center"/>
        <w:ind w:left="8940"/>
        <w:spacing w:after="0"/>
        <w:rPr>
          <w:sz w:val="20"/>
          <w:szCs w:val="20"/>
          <w:color w:val="auto"/>
        </w:rPr>
      </w:pPr>
      <w:r>
        <w:rPr>
          <w:rFonts w:ascii="Arial" w:cs="Arial" w:eastAsia="Arial" w:hAnsi="Arial"/>
          <w:sz w:val="16"/>
          <w:szCs w:val="16"/>
          <w:color w:val="auto"/>
        </w:rPr>
        <w:t>Nine Months Ended</w:t>
      </w:r>
    </w:p>
    <w:p>
      <w:pPr>
        <w:jc w:val="center"/>
        <w:ind w:left="8940"/>
        <w:spacing w:after="0" w:line="223" w:lineRule="auto"/>
        <w:rPr>
          <w:sz w:val="20"/>
          <w:szCs w:val="20"/>
          <w:color w:val="auto"/>
        </w:rPr>
      </w:pPr>
      <w:r>
        <w:rPr>
          <w:rFonts w:ascii="Arial" w:cs="Arial" w:eastAsia="Arial" w:hAnsi="Arial"/>
          <w:sz w:val="16"/>
          <w:szCs w:val="16"/>
          <w:color w:val="auto"/>
        </w:rPr>
        <w:t>September 30,</w:t>
      </w:r>
    </w:p>
    <w:tbl>
      <w:tblPr>
        <w:tblLayout w:type="fixed"/>
        <w:tblInd w:w="0" w:type="dxa"/>
        <w:tblCellMar>
          <w:top w:w="0" w:type="dxa"/>
          <w:left w:w="0" w:type="dxa"/>
          <w:bottom w:w="0" w:type="dxa"/>
          <w:right w:w="0" w:type="dxa"/>
        </w:tblCellMar>
      </w:tblPr>
      <w:tr>
        <w:trPr>
          <w:trHeight w:val="156"/>
        </w:trPr>
        <w:tc>
          <w:tcPr>
            <w:tcW w:w="894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6"/>
                <w:szCs w:val="16"/>
                <w:color w:val="auto"/>
              </w:rPr>
              <w:t>2019</w:t>
            </w: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56"/>
        </w:trPr>
        <w:tc>
          <w:tcPr>
            <w:tcW w:w="8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160,316</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195,645</w:t>
            </w:r>
          </w:p>
        </w:tc>
        <w:tc>
          <w:tcPr>
            <w:tcW w:w="0" w:type="dxa"/>
            <w:vAlign w:val="bottom"/>
          </w:tcPr>
          <w:p>
            <w:pPr>
              <w:spacing w:after="0"/>
              <w:rPr>
                <w:sz w:val="1"/>
                <w:szCs w:val="1"/>
                <w:color w:val="auto"/>
              </w:rPr>
            </w:pPr>
          </w:p>
        </w:tc>
      </w:tr>
      <w:tr>
        <w:trPr>
          <w:trHeight w:val="162"/>
        </w:trPr>
        <w:tc>
          <w:tcPr>
            <w:tcW w:w="8940" w:type="dxa"/>
            <w:vAlign w:val="bottom"/>
          </w:tcPr>
          <w:p>
            <w:pPr>
              <w:spacing w:after="0" w:line="162" w:lineRule="exact"/>
              <w:rPr>
                <w:sz w:val="20"/>
                <w:szCs w:val="20"/>
                <w:color w:val="auto"/>
              </w:rPr>
            </w:pPr>
            <w:r>
              <w:rPr>
                <w:rFonts w:ascii="Arial" w:cs="Arial" w:eastAsia="Arial" w:hAnsi="Arial"/>
                <w:sz w:val="16"/>
                <w:szCs w:val="16"/>
                <w:color w:val="auto"/>
              </w:rPr>
              <w:t>Adjustments to reconcile net income to net cash flows from operating activities: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6"/>
                <w:szCs w:val="16"/>
                <w:color w:val="auto"/>
              </w:rPr>
              <w:t>115,973</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110,515</w:t>
            </w:r>
          </w:p>
        </w:tc>
        <w:tc>
          <w:tcPr>
            <w:tcW w:w="0" w:type="dxa"/>
            <w:vAlign w:val="bottom"/>
          </w:tcPr>
          <w:p>
            <w:pPr>
              <w:spacing w:after="0"/>
              <w:rPr>
                <w:sz w:val="1"/>
                <w:szCs w:val="1"/>
                <w:color w:val="auto"/>
              </w:rPr>
            </w:pPr>
          </w:p>
        </w:tc>
      </w:tr>
      <w:tr>
        <w:trPr>
          <w:trHeight w:val="162"/>
        </w:trPr>
        <w:tc>
          <w:tcPr>
            <w:tcW w:w="8940" w:type="dxa"/>
            <w:vAlign w:val="bottom"/>
          </w:tcPr>
          <w:p>
            <w:pPr>
              <w:ind w:left="220"/>
              <w:spacing w:after="0" w:line="162" w:lineRule="exact"/>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4"/>
                <w:szCs w:val="14"/>
                <w:color w:val="auto"/>
              </w:rPr>
            </w:pPr>
          </w:p>
        </w:tc>
        <w:tc>
          <w:tcPr>
            <w:tcW w:w="108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(10,359)</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3,622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3,645</w:t>
            </w:r>
          </w:p>
        </w:tc>
        <w:tc>
          <w:tcPr>
            <w:tcW w:w="0" w:type="dxa"/>
            <w:vAlign w:val="bottom"/>
          </w:tcPr>
          <w:p>
            <w:pPr>
              <w:spacing w:after="0"/>
              <w:rPr>
                <w:sz w:val="1"/>
                <w:szCs w:val="1"/>
                <w:color w:val="auto"/>
              </w:rPr>
            </w:pPr>
          </w:p>
        </w:tc>
      </w:tr>
      <w:tr>
        <w:trPr>
          <w:trHeight w:val="162"/>
        </w:trPr>
        <w:tc>
          <w:tcPr>
            <w:tcW w:w="8940" w:type="dxa"/>
            <w:vAlign w:val="bottom"/>
          </w:tcPr>
          <w:p>
            <w:pPr>
              <w:ind w:left="220"/>
              <w:spacing w:after="0" w:line="162" w:lineRule="exact"/>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5,831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5,331</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Gain on sale of other assets</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6"/>
                <w:szCs w:val="16"/>
                <w:color w:val="auto"/>
              </w:rPr>
              <w:t>(443)</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162"/>
        </w:trPr>
        <w:tc>
          <w:tcPr>
            <w:tcW w:w="8940" w:type="dxa"/>
            <w:vAlign w:val="bottom"/>
          </w:tcPr>
          <w:p>
            <w:pPr>
              <w:ind w:left="220"/>
              <w:spacing w:after="0" w:line="162" w:lineRule="exact"/>
              <w:rPr>
                <w:sz w:val="20"/>
                <w:szCs w:val="20"/>
                <w:color w:val="auto"/>
              </w:rPr>
            </w:pPr>
            <w:r>
              <w:rPr>
                <w:rFonts w:ascii="Arial" w:cs="Arial" w:eastAsia="Arial" w:hAnsi="Arial"/>
                <w:sz w:val="16"/>
                <w:szCs w:val="16"/>
                <w:color w:val="auto"/>
              </w:rPr>
              <w:t>Gain on sale of utility system</w:t>
            </w:r>
          </w:p>
        </w:tc>
        <w:tc>
          <w:tcPr>
            <w:tcW w:w="240" w:type="dxa"/>
            <w:vAlign w:val="bottom"/>
          </w:tcPr>
          <w:p>
            <w:pPr>
              <w:spacing w:after="0"/>
              <w:rPr>
                <w:sz w:val="14"/>
                <w:szCs w:val="14"/>
                <w:color w:val="auto"/>
              </w:rPr>
            </w:pPr>
          </w:p>
        </w:tc>
        <w:tc>
          <w:tcPr>
            <w:tcW w:w="108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(403)</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Loss on interest rate swap agreements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23,742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940" w:type="dxa"/>
            <w:vAlign w:val="bottom"/>
          </w:tcPr>
          <w:p>
            <w:pPr>
              <w:ind w:left="220"/>
              <w:spacing w:after="0" w:line="162" w:lineRule="exact"/>
              <w:rPr>
                <w:sz w:val="20"/>
                <w:szCs w:val="20"/>
                <w:color w:val="auto"/>
              </w:rPr>
            </w:pPr>
            <w:r>
              <w:rPr>
                <w:rFonts w:ascii="Arial" w:cs="Arial" w:eastAsia="Arial" w:hAnsi="Arial"/>
                <w:sz w:val="16"/>
                <w:szCs w:val="16"/>
                <w:color w:val="auto"/>
              </w:rPr>
              <w:t>Loss on debt extinguishment</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18,920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Settlement of interest rate swap agreements</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6"/>
                <w:szCs w:val="16"/>
                <w:color w:val="auto"/>
              </w:rPr>
              <w:t>(83,520)</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940" w:type="dxa"/>
            <w:vAlign w:val="bottom"/>
          </w:tcPr>
          <w:p>
            <w:pPr>
              <w:ind w:left="220"/>
              <w:spacing w:after="0" w:line="162" w:lineRule="exact"/>
              <w:rPr>
                <w:sz w:val="20"/>
                <w:szCs w:val="20"/>
                <w:color w:val="auto"/>
              </w:rPr>
            </w:pPr>
            <w:r>
              <w:rPr>
                <w:rFonts w:ascii="Arial" w:cs="Arial" w:eastAsia="Arial" w:hAnsi="Arial"/>
                <w:sz w:val="16"/>
                <w:szCs w:val="16"/>
                <w:color w:val="auto"/>
              </w:rPr>
              <w:t>Net change in receivables, inventory and prepayments</w:t>
            </w:r>
          </w:p>
        </w:tc>
        <w:tc>
          <w:tcPr>
            <w:tcW w:w="240" w:type="dxa"/>
            <w:vAlign w:val="bottom"/>
          </w:tcPr>
          <w:p>
            <w:pPr>
              <w:spacing w:after="0"/>
              <w:rPr>
                <w:sz w:val="14"/>
                <w:szCs w:val="14"/>
                <w:color w:val="auto"/>
              </w:rPr>
            </w:pPr>
          </w:p>
        </w:tc>
        <w:tc>
          <w:tcPr>
            <w:tcW w:w="108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(11,657)</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(18,058)</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13,324</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4,330</w:t>
            </w:r>
          </w:p>
        </w:tc>
        <w:tc>
          <w:tcPr>
            <w:tcW w:w="0" w:type="dxa"/>
            <w:vAlign w:val="bottom"/>
          </w:tcPr>
          <w:p>
            <w:pPr>
              <w:spacing w:after="0"/>
              <w:rPr>
                <w:sz w:val="1"/>
                <w:szCs w:val="1"/>
                <w:color w:val="auto"/>
              </w:rPr>
            </w:pPr>
          </w:p>
        </w:tc>
      </w:tr>
      <w:tr>
        <w:trPr>
          <w:trHeight w:val="162"/>
        </w:trPr>
        <w:tc>
          <w:tcPr>
            <w:tcW w:w="8940" w:type="dxa"/>
            <w:vAlign w:val="bottom"/>
          </w:tcPr>
          <w:p>
            <w:pPr>
              <w:ind w:left="220"/>
              <w:spacing w:after="0" w:line="162" w:lineRule="exact"/>
              <w:rPr>
                <w:sz w:val="20"/>
                <w:szCs w:val="20"/>
                <w:color w:val="auto"/>
              </w:rPr>
            </w:pPr>
            <w:r>
              <w:rPr>
                <w:rFonts w:ascii="Arial" w:cs="Arial" w:eastAsia="Arial" w:hAnsi="Arial"/>
                <w:sz w:val="16"/>
                <w:szCs w:val="16"/>
                <w:color w:val="auto"/>
              </w:rPr>
              <w:t>Pension and other postretirement benefits contributions</w:t>
            </w:r>
          </w:p>
        </w:tc>
        <w:tc>
          <w:tcPr>
            <w:tcW w:w="240" w:type="dxa"/>
            <w:vAlign w:val="bottom"/>
          </w:tcPr>
          <w:p>
            <w:pPr>
              <w:spacing w:after="0"/>
              <w:rPr>
                <w:sz w:val="14"/>
                <w:szCs w:val="14"/>
                <w:color w:val="auto"/>
              </w:rPr>
            </w:pPr>
          </w:p>
        </w:tc>
        <w:tc>
          <w:tcPr>
            <w:tcW w:w="108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(8,579)</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(12,571)</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1,262</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156"/>
        </w:trPr>
        <w:tc>
          <w:tcPr>
            <w:tcW w:w="894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from operating activities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228,029</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290,729</w:t>
            </w:r>
          </w:p>
        </w:tc>
        <w:tc>
          <w:tcPr>
            <w:tcW w:w="0" w:type="dxa"/>
            <w:vAlign w:val="bottom"/>
          </w:tcPr>
          <w:p>
            <w:pPr>
              <w:spacing w:after="0"/>
              <w:rPr>
                <w:sz w:val="1"/>
                <w:szCs w:val="1"/>
                <w:color w:val="auto"/>
              </w:rPr>
            </w:pPr>
          </w:p>
        </w:tc>
      </w:tr>
      <w:tr>
        <w:trPr>
          <w:trHeight w:val="156"/>
        </w:trPr>
        <w:tc>
          <w:tcPr>
            <w:tcW w:w="89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940" w:type="dxa"/>
            <w:vAlign w:val="bottom"/>
          </w:tcPr>
          <w:p>
            <w:pPr>
              <w:ind w:left="120"/>
              <w:spacing w:after="0" w:line="138" w:lineRule="exact"/>
              <w:rPr>
                <w:sz w:val="20"/>
                <w:szCs w:val="20"/>
                <w:color w:val="auto"/>
              </w:rPr>
            </w:pPr>
            <w:r>
              <w:rPr>
                <w:rFonts w:ascii="Arial" w:cs="Arial" w:eastAsia="Arial" w:hAnsi="Arial"/>
                <w:sz w:val="16"/>
                <w:szCs w:val="16"/>
                <w:color w:val="auto"/>
                <w:w w:val="96"/>
              </w:rPr>
              <w:t>Property, plant and equipment additions, including the debt component of allowance for funds used during construction of $3,253</w:t>
            </w:r>
          </w:p>
        </w:tc>
        <w:tc>
          <w:tcPr>
            <w:tcW w:w="24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(401,558)</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(343,219)</w:t>
            </w:r>
          </w:p>
        </w:tc>
        <w:tc>
          <w:tcPr>
            <w:tcW w:w="0" w:type="dxa"/>
            <w:vAlign w:val="bottom"/>
          </w:tcPr>
          <w:p>
            <w:pPr>
              <w:spacing w:after="0"/>
              <w:rPr>
                <w:sz w:val="1"/>
                <w:szCs w:val="1"/>
                <w:color w:val="auto"/>
              </w:rPr>
            </w:pPr>
          </w:p>
        </w:tc>
      </w:tr>
      <w:tr>
        <w:trPr>
          <w:trHeight w:val="185"/>
        </w:trPr>
        <w:tc>
          <w:tcPr>
            <w:tcW w:w="8940" w:type="dxa"/>
            <w:vAlign w:val="bottom"/>
          </w:tcPr>
          <w:p>
            <w:pPr>
              <w:ind w:left="120"/>
              <w:spacing w:after="0"/>
              <w:rPr>
                <w:sz w:val="20"/>
                <w:szCs w:val="20"/>
                <w:color w:val="auto"/>
              </w:rPr>
            </w:pPr>
            <w:r>
              <w:rPr>
                <w:rFonts w:ascii="Arial" w:cs="Arial" w:eastAsia="Arial" w:hAnsi="Arial"/>
                <w:sz w:val="16"/>
                <w:szCs w:val="16"/>
                <w:color w:val="auto"/>
              </w:rPr>
              <w:t>and $2,550</w:t>
            </w: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Acquisitions of utility systems, net</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6"/>
                <w:szCs w:val="16"/>
                <w:color w:val="auto"/>
              </w:rPr>
              <w:t>(619)</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(100,026)</w:t>
            </w:r>
          </w:p>
        </w:tc>
        <w:tc>
          <w:tcPr>
            <w:tcW w:w="0" w:type="dxa"/>
            <w:vAlign w:val="bottom"/>
          </w:tcPr>
          <w:p>
            <w:pPr>
              <w:spacing w:after="0"/>
              <w:rPr>
                <w:sz w:val="1"/>
                <w:szCs w:val="1"/>
                <w:color w:val="auto"/>
              </w:rPr>
            </w:pPr>
          </w:p>
        </w:tc>
      </w:tr>
      <w:tr>
        <w:trPr>
          <w:trHeight w:val="162"/>
        </w:trPr>
        <w:tc>
          <w:tcPr>
            <w:tcW w:w="8940" w:type="dxa"/>
            <w:vAlign w:val="bottom"/>
          </w:tcPr>
          <w:p>
            <w:pPr>
              <w:ind w:left="120"/>
              <w:spacing w:after="0" w:line="162" w:lineRule="exact"/>
              <w:rPr>
                <w:sz w:val="20"/>
                <w:szCs w:val="20"/>
                <w:color w:val="auto"/>
              </w:rPr>
            </w:pPr>
            <w:r>
              <w:rPr>
                <w:rFonts w:ascii="Arial" w:cs="Arial" w:eastAsia="Arial" w:hAnsi="Arial"/>
                <w:sz w:val="16"/>
                <w:szCs w:val="16"/>
                <w:color w:val="auto"/>
              </w:rPr>
              <w:t>Net proceeds from the sale of other assets</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2,361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2,296</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156"/>
        </w:trPr>
        <w:tc>
          <w:tcPr>
            <w:tcW w:w="894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used in investing activities</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(397,520)</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(442,090)</w:t>
            </w:r>
          </w:p>
        </w:tc>
        <w:tc>
          <w:tcPr>
            <w:tcW w:w="0" w:type="dxa"/>
            <w:vAlign w:val="bottom"/>
          </w:tcPr>
          <w:p>
            <w:pPr>
              <w:spacing w:after="0"/>
              <w:rPr>
                <w:sz w:val="1"/>
                <w:szCs w:val="1"/>
                <w:color w:val="auto"/>
              </w:rPr>
            </w:pPr>
          </w:p>
        </w:tc>
      </w:tr>
      <w:tr>
        <w:trPr>
          <w:trHeight w:val="156"/>
        </w:trPr>
        <w:tc>
          <w:tcPr>
            <w:tcW w:w="89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940" w:type="dxa"/>
            <w:vAlign w:val="bottom"/>
          </w:tcPr>
          <w:p>
            <w:pPr>
              <w:ind w:left="120"/>
              <w:spacing w:after="0" w:line="162" w:lineRule="exact"/>
              <w:rPr>
                <w:sz w:val="20"/>
                <w:szCs w:val="20"/>
                <w:color w:val="auto"/>
              </w:rPr>
            </w:pPr>
            <w:r>
              <w:rPr>
                <w:rFonts w:ascii="Arial" w:cs="Arial" w:eastAsia="Arial" w:hAnsi="Arial"/>
                <w:sz w:val="16"/>
                <w:szCs w:val="16"/>
                <w:color w:val="auto"/>
              </w:rPr>
              <w:t>Customers' advances and contributions in aid of construction</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8,692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6,031</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Repayments of customers' advances</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6"/>
                <w:szCs w:val="16"/>
                <w:color w:val="auto"/>
              </w:rPr>
              <w:t>(2,245)</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162"/>
        </w:trPr>
        <w:tc>
          <w:tcPr>
            <w:tcW w:w="8940" w:type="dxa"/>
            <w:vAlign w:val="bottom"/>
          </w:tcPr>
          <w:p>
            <w:pPr>
              <w:ind w:left="120"/>
              <w:spacing w:after="0" w:line="162" w:lineRule="exact"/>
              <w:rPr>
                <w:sz w:val="20"/>
                <w:szCs w:val="20"/>
                <w:color w:val="auto"/>
              </w:rPr>
            </w:pPr>
            <w:r>
              <w:rPr>
                <w:rFonts w:ascii="Arial" w:cs="Arial" w:eastAsia="Arial" w:hAnsi="Arial"/>
                <w:sz w:val="16"/>
                <w:szCs w:val="16"/>
                <w:color w:val="auto"/>
              </w:rPr>
              <w:t>Net (repayments) proceeds of short-term debt</w:t>
            </w:r>
          </w:p>
        </w:tc>
        <w:tc>
          <w:tcPr>
            <w:tcW w:w="240" w:type="dxa"/>
            <w:vAlign w:val="bottom"/>
          </w:tcPr>
          <w:p>
            <w:pPr>
              <w:spacing w:after="0"/>
              <w:rPr>
                <w:sz w:val="14"/>
                <w:szCs w:val="14"/>
                <w:color w:val="auto"/>
              </w:rPr>
            </w:pPr>
          </w:p>
        </w:tc>
        <w:tc>
          <w:tcPr>
            <w:tcW w:w="108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(5,449)</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18,039</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long-term debt</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1,310,061</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402,913</w:t>
            </w:r>
          </w:p>
        </w:tc>
        <w:tc>
          <w:tcPr>
            <w:tcW w:w="0" w:type="dxa"/>
            <w:vAlign w:val="bottom"/>
          </w:tcPr>
          <w:p>
            <w:pPr>
              <w:spacing w:after="0"/>
              <w:rPr>
                <w:sz w:val="1"/>
                <w:szCs w:val="1"/>
                <w:color w:val="auto"/>
              </w:rPr>
            </w:pPr>
          </w:p>
        </w:tc>
      </w:tr>
      <w:tr>
        <w:trPr>
          <w:trHeight w:val="162"/>
        </w:trPr>
        <w:tc>
          <w:tcPr>
            <w:tcW w:w="8940" w:type="dxa"/>
            <w:vAlign w:val="bottom"/>
          </w:tcPr>
          <w:p>
            <w:pPr>
              <w:ind w:left="120"/>
              <w:spacing w:after="0" w:line="162" w:lineRule="exact"/>
              <w:rPr>
                <w:sz w:val="20"/>
                <w:szCs w:val="20"/>
                <w:color w:val="auto"/>
              </w:rPr>
            </w:pPr>
            <w:r>
              <w:rPr>
                <w:rFonts w:ascii="Arial" w:cs="Arial" w:eastAsia="Arial" w:hAnsi="Arial"/>
                <w:sz w:val="16"/>
                <w:szCs w:val="16"/>
                <w:color w:val="auto"/>
              </w:rPr>
              <w:t>Repayments of long-term debt</w:t>
            </w:r>
          </w:p>
        </w:tc>
        <w:tc>
          <w:tcPr>
            <w:tcW w:w="240" w:type="dxa"/>
            <w:vAlign w:val="bottom"/>
          </w:tcPr>
          <w:p>
            <w:pPr>
              <w:spacing w:after="0"/>
              <w:rPr>
                <w:sz w:val="14"/>
                <w:szCs w:val="14"/>
                <w:color w:val="auto"/>
              </w:rPr>
            </w:pPr>
          </w:p>
        </w:tc>
        <w:tc>
          <w:tcPr>
            <w:tcW w:w="108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(888,951)</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(151,571)</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Extinguishment of long-term debt</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6"/>
                <w:szCs w:val="16"/>
                <w:color w:val="auto"/>
              </w:rPr>
              <w:t>(25,237)</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940" w:type="dxa"/>
            <w:vAlign w:val="bottom"/>
          </w:tcPr>
          <w:p>
            <w:pPr>
              <w:ind w:left="120"/>
              <w:spacing w:after="0" w:line="162" w:lineRule="exact"/>
              <w:rPr>
                <w:sz w:val="20"/>
                <w:szCs w:val="20"/>
                <w:color w:val="auto"/>
              </w:rPr>
            </w:pPr>
            <w:r>
              <w:rPr>
                <w:rFonts w:ascii="Arial" w:cs="Arial" w:eastAsia="Arial" w:hAnsi="Arial"/>
                <w:sz w:val="16"/>
                <w:szCs w:val="16"/>
                <w:color w:val="auto"/>
              </w:rPr>
              <w:t>Change in cash overdraft position</w:t>
            </w:r>
          </w:p>
        </w:tc>
        <w:tc>
          <w:tcPr>
            <w:tcW w:w="240" w:type="dxa"/>
            <w:vAlign w:val="bottom"/>
          </w:tcPr>
          <w:p>
            <w:pPr>
              <w:spacing w:after="0"/>
              <w:rPr>
                <w:sz w:val="14"/>
                <w:szCs w:val="14"/>
                <w:color w:val="auto"/>
              </w:rPr>
            </w:pPr>
          </w:p>
        </w:tc>
        <w:tc>
          <w:tcPr>
            <w:tcW w:w="108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(3,882)</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(8,661)</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Issuance of common stock under dividend reinvestment plan</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4,819</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162"/>
        </w:trPr>
        <w:tc>
          <w:tcPr>
            <w:tcW w:w="8940" w:type="dxa"/>
            <w:vAlign w:val="bottom"/>
          </w:tcPr>
          <w:p>
            <w:pPr>
              <w:ind w:left="120"/>
              <w:spacing w:after="0" w:line="162" w:lineRule="exact"/>
              <w:rPr>
                <w:sz w:val="20"/>
                <w:szCs w:val="20"/>
                <w:color w:val="auto"/>
              </w:rPr>
            </w:pPr>
            <w:r>
              <w:rPr>
                <w:rFonts w:ascii="Arial" w:cs="Arial" w:eastAsia="Arial" w:hAnsi="Arial"/>
                <w:sz w:val="16"/>
                <w:szCs w:val="16"/>
                <w:color w:val="auto"/>
              </w:rPr>
              <w:t>Proceeds from stock issued to finance pending acquisition</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1,263,099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Proceeds from tangible equity unit issuance</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673,642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940" w:type="dxa"/>
            <w:vAlign w:val="bottom"/>
          </w:tcPr>
          <w:p>
            <w:pPr>
              <w:ind w:left="120"/>
              <w:spacing w:after="0" w:line="162" w:lineRule="exact"/>
              <w:rPr>
                <w:sz w:val="20"/>
                <w:szCs w:val="20"/>
                <w:color w:val="auto"/>
              </w:rPr>
            </w:pPr>
            <w:r>
              <w:rPr>
                <w:rFonts w:ascii="Arial" w:cs="Arial" w:eastAsia="Arial" w:hAnsi="Arial"/>
                <w:sz w:val="16"/>
                <w:szCs w:val="16"/>
                <w:color w:val="auto"/>
              </w:rPr>
              <w:t>Proceeds from exercised stock options</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1,735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Repurchase of common stock</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6"/>
                <w:szCs w:val="16"/>
                <w:color w:val="auto"/>
              </w:rPr>
              <w:t>(1,867)</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(2,492)</w:t>
            </w:r>
          </w:p>
        </w:tc>
        <w:tc>
          <w:tcPr>
            <w:tcW w:w="0" w:type="dxa"/>
            <w:vAlign w:val="bottom"/>
          </w:tcPr>
          <w:p>
            <w:pPr>
              <w:spacing w:after="0"/>
              <w:rPr>
                <w:sz w:val="1"/>
                <w:szCs w:val="1"/>
                <w:color w:val="auto"/>
              </w:rPr>
            </w:pPr>
          </w:p>
        </w:tc>
      </w:tr>
      <w:tr>
        <w:trPr>
          <w:trHeight w:val="162"/>
        </w:trPr>
        <w:tc>
          <w:tcPr>
            <w:tcW w:w="8940" w:type="dxa"/>
            <w:vAlign w:val="bottom"/>
          </w:tcPr>
          <w:p>
            <w:pPr>
              <w:ind w:left="120"/>
              <w:spacing w:after="0" w:line="162" w:lineRule="exact"/>
              <w:rPr>
                <w:sz w:val="20"/>
                <w:szCs w:val="20"/>
                <w:color w:val="auto"/>
              </w:rPr>
            </w:pPr>
            <w:r>
              <w:rPr>
                <w:rFonts w:ascii="Arial" w:cs="Arial" w:eastAsia="Arial" w:hAnsi="Arial"/>
                <w:sz w:val="16"/>
                <w:szCs w:val="16"/>
                <w:color w:val="auto"/>
              </w:rPr>
              <w:t>Dividends paid on common stock</w:t>
            </w:r>
          </w:p>
        </w:tc>
        <w:tc>
          <w:tcPr>
            <w:tcW w:w="240" w:type="dxa"/>
            <w:vAlign w:val="bottom"/>
          </w:tcPr>
          <w:p>
            <w:pPr>
              <w:spacing w:after="0"/>
              <w:rPr>
                <w:sz w:val="14"/>
                <w:szCs w:val="14"/>
                <w:color w:val="auto"/>
              </w:rPr>
            </w:pPr>
          </w:p>
        </w:tc>
        <w:tc>
          <w:tcPr>
            <w:tcW w:w="108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(136,821)</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(111,766)</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6"/>
                <w:szCs w:val="16"/>
                <w:color w:val="auto"/>
              </w:rPr>
              <w:t>(1,164)</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156"/>
        </w:trPr>
        <w:tc>
          <w:tcPr>
            <w:tcW w:w="894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flows from financing activities</w:t>
            </w: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2,196,432</w:t>
            </w:r>
          </w:p>
        </w:tc>
        <w:tc>
          <w:tcPr>
            <w:tcW w:w="1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151,421</w:t>
            </w:r>
          </w:p>
        </w:tc>
        <w:tc>
          <w:tcPr>
            <w:tcW w:w="0" w:type="dxa"/>
            <w:vAlign w:val="bottom"/>
          </w:tcPr>
          <w:p>
            <w:pPr>
              <w:spacing w:after="0"/>
              <w:rPr>
                <w:sz w:val="1"/>
                <w:szCs w:val="1"/>
                <w:color w:val="auto"/>
              </w:rPr>
            </w:pPr>
          </w:p>
        </w:tc>
      </w:tr>
      <w:tr>
        <w:trPr>
          <w:trHeight w:val="156"/>
        </w:trPr>
        <w:tc>
          <w:tcPr>
            <w:tcW w:w="89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change in cash and cash equivalents</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2,026,941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62"/>
        </w:trPr>
        <w:tc>
          <w:tcPr>
            <w:tcW w:w="894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3,627</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4,204</w:t>
            </w:r>
          </w:p>
        </w:tc>
        <w:tc>
          <w:tcPr>
            <w:tcW w:w="0" w:type="dxa"/>
            <w:vAlign w:val="bottom"/>
          </w:tcPr>
          <w:p>
            <w:pPr>
              <w:spacing w:after="0"/>
              <w:rPr>
                <w:sz w:val="1"/>
                <w:szCs w:val="1"/>
                <w:color w:val="auto"/>
              </w:rPr>
            </w:pPr>
          </w:p>
        </w:tc>
      </w:tr>
      <w:tr>
        <w:trPr>
          <w:trHeight w:val="156"/>
        </w:trPr>
        <w:tc>
          <w:tcPr>
            <w:tcW w:w="89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2,030,568</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4,264</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6"/>
                <w:szCs w:val="16"/>
                <w:color w:val="auto"/>
              </w:rPr>
              <w:t>Non-cash investing activities: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24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41,059</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42,245</w:t>
            </w:r>
          </w:p>
        </w:tc>
        <w:tc>
          <w:tcPr>
            <w:tcW w:w="0" w:type="dxa"/>
            <w:vAlign w:val="bottom"/>
          </w:tcPr>
          <w:p>
            <w:pPr>
              <w:spacing w:after="0"/>
              <w:rPr>
                <w:sz w:val="1"/>
                <w:szCs w:val="1"/>
                <w:color w:val="auto"/>
              </w:rPr>
            </w:pPr>
          </w:p>
        </w:tc>
      </w:tr>
      <w:tr>
        <w:trPr>
          <w:trHeight w:val="206"/>
        </w:trPr>
        <w:tc>
          <w:tcPr>
            <w:tcW w:w="8940" w:type="dxa"/>
            <w:vAlign w:val="bottom"/>
          </w:tcPr>
          <w:p>
            <w:pPr>
              <w:ind w:left="12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24,633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14,916</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9 of this report.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9" w:name="page10"/>
    <w:bookmarkEnd w:id="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59"/>
        <w:spacing w:after="0" w:line="217" w:lineRule="auto"/>
        <w:rPr>
          <w:sz w:val="20"/>
          <w:szCs w:val="20"/>
          <w:color w:val="auto"/>
        </w:rPr>
      </w:pPr>
      <w:r>
        <w:rPr>
          <w:rFonts w:ascii="Arial" w:cs="Arial" w:eastAsia="Arial" w:hAnsi="Arial"/>
          <w:sz w:val="22"/>
          <w:szCs w:val="22"/>
          <w:color w:val="auto"/>
        </w:rPr>
        <w:t>AQUA AMERICA, INC. AND SUBSIDIARIES</w:t>
      </w:r>
    </w:p>
    <w:p>
      <w:pPr>
        <w:jc w:val="center"/>
        <w:ind w:right="-99"/>
        <w:spacing w:after="0" w:line="218" w:lineRule="auto"/>
        <w:rPr>
          <w:sz w:val="20"/>
          <w:szCs w:val="20"/>
          <w:color w:val="auto"/>
        </w:rPr>
      </w:pPr>
      <w:r>
        <w:rPr>
          <w:rFonts w:ascii="Arial" w:cs="Arial" w:eastAsia="Arial" w:hAnsi="Arial"/>
          <w:sz w:val="22"/>
          <w:szCs w:val="22"/>
          <w:color w:val="auto"/>
        </w:rPr>
        <w:t>NOTES TO CONSOLIDATED FINANCIAL STATEMENTS</w:t>
      </w:r>
    </w:p>
    <w:p>
      <w:pPr>
        <w:jc w:val="center"/>
        <w:ind w:right="-9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99"/>
        <w:spacing w:after="0"/>
        <w:rPr>
          <w:sz w:val="20"/>
          <w:szCs w:val="20"/>
          <w:color w:val="auto"/>
        </w:rPr>
      </w:pPr>
      <w:r>
        <w:rPr>
          <w:rFonts w:ascii="Arial" w:cs="Arial" w:eastAsia="Arial" w:hAnsi="Arial"/>
          <w:sz w:val="22"/>
          <w:szCs w:val="22"/>
          <w:color w:val="auto"/>
        </w:rPr>
        <w:t>(UNAUDITED)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accompanying consolidated balance sheets and statements of capitalization of Aqua America, Inc. and subsidiaries (the “Company”, “we”, “us” or “our”) at September 30, 2019, the consolidated statements of operations and comprehensive income for the three and nine months ended September 30, 2019 and 2018 the consolidated statements of cash flow for the nine months ended September 30, 2019 and 2018, and the consolidated statements of equity for the nine months ended September 30, 2019 and 2018 are unaudited, but reflect all adjustments, consisting of only normal recurring accruals, which are, in the opinion of management, necessary to present a fair statement of its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2018. The results of operations for interim periods may not be indicative of the results that may be expected for the entire year. The December 31, 2018 consolidated balance sheet data presented herein was derived from the Company’s December 31, 2018 audited consolidated financial statements but does not include all disclosures and notes normally provided in annual financial statements. The following prior period amounts have been reclassified to conform to the current period presentation:</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In the consolidated balance sheet – the presentation of accounts receivable, net, and unbilled revenues, and</w:t>
      </w:r>
    </w:p>
    <w:p>
      <w:pPr>
        <w:ind w:left="700" w:right="80"/>
        <w:spacing w:after="0" w:line="230" w:lineRule="auto"/>
        <w:rPr>
          <w:sz w:val="20"/>
          <w:szCs w:val="20"/>
          <w:color w:val="auto"/>
        </w:rPr>
      </w:pPr>
      <w:r>
        <w:rPr>
          <w:rFonts w:ascii="Arial" w:cs="Arial" w:eastAsia="Arial" w:hAnsi="Arial"/>
          <w:sz w:val="22"/>
          <w:szCs w:val="22"/>
          <w:color w:val="auto"/>
        </w:rPr>
        <w:t>In the consolidated statements of operations and comprehensive income – the presentation of interest expense and interest income.</w:t>
      </w:r>
    </w:p>
    <w:p>
      <w:pPr>
        <w:spacing w:after="0" w:line="186" w:lineRule="exact"/>
        <w:rPr>
          <w:sz w:val="20"/>
          <w:szCs w:val="20"/>
          <w:color w:val="auto"/>
        </w:rPr>
      </w:pPr>
    </w:p>
    <w:p>
      <w:pPr>
        <w:ind w:right="20"/>
        <w:spacing w:after="0" w:line="233" w:lineRule="auto"/>
        <w:rPr>
          <w:sz w:val="20"/>
          <w:szCs w:val="20"/>
          <w:color w:val="auto"/>
        </w:rPr>
      </w:pPr>
      <w:r>
        <w:rPr>
          <w:rFonts w:ascii="Arial" w:cs="Arial" w:eastAsia="Arial" w:hAnsi="Arial"/>
          <w:sz w:val="21"/>
          <w:szCs w:val="21"/>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operations,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91" w:lineRule="exact"/>
        <w:rPr>
          <w:sz w:val="20"/>
          <w:szCs w:val="20"/>
          <w:color w:val="auto"/>
        </w:rPr>
      </w:pPr>
    </w:p>
    <w:p>
      <w:pPr>
        <w:jc w:val="both"/>
        <w:ind w:right="280"/>
        <w:spacing w:after="0" w:line="232" w:lineRule="auto"/>
        <w:rPr>
          <w:sz w:val="20"/>
          <w:szCs w:val="20"/>
          <w:color w:val="auto"/>
        </w:rPr>
      </w:pPr>
      <w:r>
        <w:rPr>
          <w:rFonts w:ascii="Arial" w:cs="Arial" w:eastAsia="Arial" w:hAnsi="Arial"/>
          <w:sz w:val="22"/>
          <w:szCs w:val="22"/>
          <w:color w:val="auto"/>
        </w:rPr>
        <w:t xml:space="preserve">There have been no changes to the summary of significant accounting policies, other than as described in Note 17 – </w:t>
      </w:r>
      <w:r>
        <w:rPr>
          <w:rFonts w:ascii="Arial" w:cs="Arial" w:eastAsia="Arial" w:hAnsi="Arial"/>
          <w:sz w:val="22"/>
          <w:szCs w:val="22"/>
          <w:i w:val="1"/>
          <w:iCs w:val="1"/>
          <w:color w:val="auto"/>
        </w:rPr>
        <w:t>Leases</w:t>
      </w:r>
      <w:r>
        <w:rPr>
          <w:rFonts w:ascii="Arial" w:cs="Arial" w:eastAsia="Arial" w:hAnsi="Arial"/>
          <w:sz w:val="22"/>
          <w:szCs w:val="22"/>
          <w:color w:val="auto"/>
        </w:rPr>
        <w:t xml:space="preserve"> as a result of the adoption of a new accounting pronouncement adopted on January 1, 2019, previously identified in the Company’s Annual Report on Form 10-K for the year ended December 31, 2018.</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13" w:right="339" w:bottom="1440" w:gutter="0" w:footer="0" w:header="0"/>
        </w:sectPr>
      </w:pPr>
    </w:p>
    <w:bookmarkStart w:id="10" w:name="page11"/>
    <w:bookmarkEnd w:id="1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our revenues disaggregated by major source and customer class: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6"/>
                <w:szCs w:val="16"/>
                <w:color w:val="auto"/>
                <w:w w:val="90"/>
              </w:rPr>
              <w:t>Three Months Ended</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80" w:type="dxa"/>
            <w:vAlign w:val="bottom"/>
            <w:gridSpan w:val="6"/>
          </w:tcPr>
          <w:p>
            <w:pPr>
              <w:jc w:val="center"/>
              <w:ind w:left="459"/>
              <w:spacing w:after="0"/>
              <w:rPr>
                <w:sz w:val="20"/>
                <w:szCs w:val="20"/>
                <w:color w:val="auto"/>
              </w:rPr>
            </w:pPr>
            <w:r>
              <w:rPr>
                <w:rFonts w:ascii="Arial" w:cs="Arial" w:eastAsia="Arial" w:hAnsi="Arial"/>
                <w:sz w:val="16"/>
                <w:szCs w:val="16"/>
                <w:color w:val="auto"/>
                <w:w w:val="90"/>
              </w:rPr>
              <w:t>Three Months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color w:val="auto"/>
                <w:w w:val="89"/>
              </w:rPr>
              <w:t>September 30, 2019</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color w:val="auto"/>
                <w:w w:val="89"/>
              </w:rPr>
              <w:t>September 30, 2018</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660" w:type="dxa"/>
            <w:vAlign w:val="bottom"/>
          </w:tcPr>
          <w:p>
            <w:pPr>
              <w:spacing w:after="0"/>
              <w:rPr>
                <w:sz w:val="11"/>
                <w:szCs w:val="11"/>
                <w:color w:val="auto"/>
              </w:rPr>
            </w:pPr>
          </w:p>
        </w:tc>
        <w:tc>
          <w:tcPr>
            <w:tcW w:w="120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w w:val="92"/>
              </w:rPr>
              <w:t>Water Revenues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40"/>
              <w:spacing w:after="0" w:line="132" w:lineRule="exact"/>
              <w:rPr>
                <w:sz w:val="20"/>
                <w:szCs w:val="20"/>
                <w:color w:val="auto"/>
              </w:rPr>
            </w:pPr>
            <w:r>
              <w:rPr>
                <w:rFonts w:ascii="Arial" w:cs="Arial" w:eastAsia="Arial" w:hAnsi="Arial"/>
                <w:sz w:val="15"/>
                <w:szCs w:val="15"/>
                <w:color w:val="auto"/>
              </w:rPr>
              <w:t>Wastewater</w:t>
            </w: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color w:val="auto"/>
              </w:rPr>
              <w:t>Other Revenues</w:t>
            </w:r>
          </w:p>
        </w:tc>
        <w:tc>
          <w:tcPr>
            <w:tcW w:w="160" w:type="dxa"/>
            <w:vAlign w:val="bottom"/>
          </w:tcPr>
          <w:p>
            <w:pPr>
              <w:spacing w:after="0"/>
              <w:rPr>
                <w:sz w:val="11"/>
                <w:szCs w:val="11"/>
                <w:color w:val="auto"/>
              </w:rPr>
            </w:pPr>
          </w:p>
        </w:tc>
        <w:tc>
          <w:tcPr>
            <w:tcW w:w="130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w w:val="92"/>
              </w:rPr>
              <w:t>Water Revenues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40"/>
              <w:spacing w:after="0" w:line="132" w:lineRule="exact"/>
              <w:rPr>
                <w:sz w:val="20"/>
                <w:szCs w:val="20"/>
                <w:color w:val="auto"/>
              </w:rPr>
            </w:pPr>
            <w:r>
              <w:rPr>
                <w:rFonts w:ascii="Arial" w:cs="Arial" w:eastAsia="Arial" w:hAnsi="Arial"/>
                <w:sz w:val="15"/>
                <w:szCs w:val="15"/>
                <w:color w:val="auto"/>
              </w:rPr>
              <w:t>Wastewater</w:t>
            </w:r>
          </w:p>
        </w:tc>
        <w:tc>
          <w:tcPr>
            <w:tcW w:w="100" w:type="dxa"/>
            <w:vAlign w:val="bottom"/>
          </w:tcPr>
          <w:p>
            <w:pPr>
              <w:spacing w:after="0"/>
              <w:rPr>
                <w:sz w:val="11"/>
                <w:szCs w:val="11"/>
                <w:color w:val="auto"/>
              </w:rPr>
            </w:pPr>
          </w:p>
        </w:tc>
        <w:tc>
          <w:tcPr>
            <w:tcW w:w="800" w:type="dxa"/>
            <w:vAlign w:val="bottom"/>
          </w:tcPr>
          <w:p>
            <w:pPr>
              <w:jc w:val="right"/>
              <w:ind w:right="199"/>
              <w:spacing w:after="0" w:line="132" w:lineRule="exact"/>
              <w:rPr>
                <w:sz w:val="20"/>
                <w:szCs w:val="20"/>
                <w:color w:val="auto"/>
              </w:rPr>
            </w:pPr>
            <w:r>
              <w:rPr>
                <w:rFonts w:ascii="Arial" w:cs="Arial" w:eastAsia="Arial" w:hAnsi="Arial"/>
                <w:sz w:val="15"/>
                <w:szCs w:val="15"/>
                <w:color w:val="auto"/>
              </w:rPr>
              <w:t>Other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60" w:type="dxa"/>
            <w:vAlign w:val="bottom"/>
            <w:vMerge w:val="restart"/>
          </w:tcPr>
          <w:p>
            <w:pPr>
              <w:spacing w:after="0"/>
              <w:rPr>
                <w:sz w:val="20"/>
                <w:szCs w:val="20"/>
                <w:color w:val="auto"/>
              </w:rPr>
            </w:pPr>
            <w:r>
              <w:rPr>
                <w:rFonts w:ascii="Arial" w:cs="Arial" w:eastAsia="Arial" w:hAnsi="Arial"/>
                <w:sz w:val="16"/>
                <w:szCs w:val="16"/>
                <w:color w:val="auto"/>
              </w:rPr>
              <w:t>Revenues from contracts with customers:</w:t>
            </w:r>
          </w:p>
        </w:tc>
        <w:tc>
          <w:tcPr>
            <w:tcW w:w="12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color w:val="auto"/>
              </w:rPr>
              <w:t>Revenues</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Residential</w:t>
            </w:r>
          </w:p>
        </w:tc>
        <w:tc>
          <w:tcPr>
            <w:tcW w:w="360" w:type="dxa"/>
            <w:vAlign w:val="bottom"/>
            <w:shd w:val="clear" w:color="auto" w:fill="CCEEFF"/>
          </w:tcPr>
          <w:p>
            <w:pPr>
              <w:jc w:val="right"/>
              <w:ind w:right="202"/>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145,643</w:t>
            </w:r>
          </w:p>
        </w:tc>
        <w:tc>
          <w:tcPr>
            <w:tcW w:w="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21,437</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02"/>
              <w:spacing w:after="0" w:line="162"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130,711</w:t>
            </w: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18,799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120"/>
              <w:spacing w:after="0" w:line="162" w:lineRule="exact"/>
              <w:rPr>
                <w:sz w:val="20"/>
                <w:szCs w:val="20"/>
                <w:color w:val="auto"/>
              </w:rPr>
            </w:pPr>
            <w:r>
              <w:rPr>
                <w:rFonts w:ascii="Arial" w:cs="Arial" w:eastAsia="Arial" w:hAnsi="Arial"/>
                <w:sz w:val="16"/>
                <w:szCs w:val="16"/>
                <w:color w:val="auto"/>
              </w:rPr>
              <w:t>Commercial</w:t>
            </w:r>
          </w:p>
        </w:tc>
        <w:tc>
          <w:tcPr>
            <w:tcW w:w="3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42,883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4,037</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37,608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3,610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Fire protection</w:t>
            </w: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8,565</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8,196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120"/>
              <w:spacing w:after="0" w:line="162" w:lineRule="exact"/>
              <w:rPr>
                <w:sz w:val="20"/>
                <w:szCs w:val="20"/>
                <w:color w:val="auto"/>
              </w:rPr>
            </w:pPr>
            <w:r>
              <w:rPr>
                <w:rFonts w:ascii="Arial" w:cs="Arial" w:eastAsia="Arial" w:hAnsi="Arial"/>
                <w:sz w:val="16"/>
                <w:szCs w:val="16"/>
                <w:color w:val="auto"/>
              </w:rPr>
              <w:t>Industrial</w:t>
            </w:r>
          </w:p>
        </w:tc>
        <w:tc>
          <w:tcPr>
            <w:tcW w:w="3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8,730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390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8,233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451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water</w:t>
            </w: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7,332</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14,579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120"/>
              <w:spacing w:after="0" w:line="162" w:lineRule="exact"/>
              <w:rPr>
                <w:sz w:val="20"/>
                <w:szCs w:val="20"/>
                <w:color w:val="auto"/>
              </w:rPr>
            </w:pPr>
            <w:r>
              <w:rPr>
                <w:rFonts w:ascii="Arial" w:cs="Arial" w:eastAsia="Arial" w:hAnsi="Arial"/>
                <w:sz w:val="16"/>
                <w:szCs w:val="16"/>
                <w:color w:val="auto"/>
              </w:rPr>
              <w:t>Other wastewater</w:t>
            </w:r>
          </w:p>
        </w:tc>
        <w:tc>
          <w:tcPr>
            <w:tcW w:w="360" w:type="dxa"/>
            <w:vAlign w:val="bottom"/>
          </w:tcPr>
          <w:p>
            <w:pPr>
              <w:spacing w:after="0"/>
              <w:rPr>
                <w:sz w:val="14"/>
                <w:szCs w:val="14"/>
                <w:color w:val="auto"/>
              </w:rPr>
            </w:pPr>
          </w:p>
        </w:tc>
        <w:tc>
          <w:tcPr>
            <w:tcW w:w="84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758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1,684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utility</w:t>
            </w: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2,984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line="155" w:lineRule="exact"/>
              <w:rPr>
                <w:sz w:val="20"/>
                <w:szCs w:val="20"/>
                <w:color w:val="auto"/>
              </w:rPr>
            </w:pPr>
            <w:r>
              <w:rPr>
                <w:rFonts w:ascii="Arial" w:cs="Arial" w:eastAsia="Arial" w:hAnsi="Arial"/>
                <w:sz w:val="16"/>
                <w:szCs w:val="16"/>
                <w:color w:val="auto"/>
              </w:rPr>
              <w:t>Revenues from contracts with customers</w:t>
            </w:r>
          </w:p>
        </w:tc>
        <w:tc>
          <w:tcPr>
            <w:tcW w:w="3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213,153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26,622</w:t>
            </w: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2,984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199,327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24,544</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2,310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Alternative revenue program</w:t>
            </w: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(65)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162</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line="162" w:lineRule="exact"/>
              <w:rPr>
                <w:sz w:val="20"/>
                <w:szCs w:val="20"/>
                <w:color w:val="auto"/>
              </w:rPr>
            </w:pPr>
            <w:r>
              <w:rPr>
                <w:rFonts w:ascii="Arial" w:cs="Arial" w:eastAsia="Arial" w:hAnsi="Arial"/>
                <w:sz w:val="16"/>
                <w:szCs w:val="16"/>
                <w:color w:val="auto"/>
              </w:rPr>
              <w:t>Other and eliminations</w:t>
            </w:r>
          </w:p>
        </w:tc>
        <w:tc>
          <w:tcPr>
            <w:tcW w:w="360" w:type="dxa"/>
            <w:vAlign w:val="bottom"/>
          </w:tcPr>
          <w:p>
            <w:pPr>
              <w:spacing w:after="0"/>
              <w:rPr>
                <w:sz w:val="14"/>
                <w:szCs w:val="14"/>
                <w:color w:val="auto"/>
              </w:rPr>
            </w:pPr>
          </w:p>
        </w:tc>
        <w:tc>
          <w:tcPr>
            <w:tcW w:w="84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6"/>
                <w:szCs w:val="16"/>
                <w:color w:val="auto"/>
              </w:rPr>
              <w:t>770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776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Consolidated</w:t>
            </w:r>
          </w:p>
        </w:tc>
        <w:tc>
          <w:tcPr>
            <w:tcW w:w="360" w:type="dxa"/>
            <w:vAlign w:val="bottom"/>
            <w:tcBorders>
              <w:top w:val="single" w:sz="8" w:color="auto"/>
              <w:bottom w:val="single" w:sz="8" w:color="auto"/>
            </w:tcBorders>
            <w:shd w:val="clear" w:color="auto" w:fill="CCEEFF"/>
          </w:tcPr>
          <w:p>
            <w:pPr>
              <w:jc w:val="right"/>
              <w:ind w:right="202"/>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213,088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26,784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3,754</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02"/>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198,632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24,419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3,086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6"/>
                <w:szCs w:val="16"/>
                <w:color w:val="auto"/>
                <w:w w:val="93"/>
              </w:rPr>
              <w:t>Nine Months Ended</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gridSpan w:val="6"/>
          </w:tcPr>
          <w:p>
            <w:pPr>
              <w:jc w:val="center"/>
              <w:ind w:left="479"/>
              <w:spacing w:after="0"/>
              <w:rPr>
                <w:sz w:val="20"/>
                <w:szCs w:val="20"/>
                <w:color w:val="auto"/>
              </w:rPr>
            </w:pPr>
            <w:r>
              <w:rPr>
                <w:rFonts w:ascii="Arial" w:cs="Arial" w:eastAsia="Arial" w:hAnsi="Arial"/>
                <w:sz w:val="16"/>
                <w:szCs w:val="16"/>
                <w:color w:val="auto"/>
                <w:w w:val="92"/>
              </w:rPr>
              <w:t>Nine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color w:val="auto"/>
                <w:w w:val="89"/>
              </w:rPr>
              <w:t>September 30, 2019</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color w:val="auto"/>
                <w:w w:val="89"/>
              </w:rPr>
              <w:t>September 30, 2018</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660" w:type="dxa"/>
            <w:vAlign w:val="bottom"/>
          </w:tcPr>
          <w:p>
            <w:pPr>
              <w:spacing w:after="0"/>
              <w:rPr>
                <w:sz w:val="11"/>
                <w:szCs w:val="11"/>
                <w:color w:val="auto"/>
              </w:rPr>
            </w:pPr>
          </w:p>
        </w:tc>
        <w:tc>
          <w:tcPr>
            <w:tcW w:w="120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w w:val="92"/>
              </w:rPr>
              <w:t>Water Revenues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40"/>
              <w:spacing w:after="0" w:line="132" w:lineRule="exact"/>
              <w:rPr>
                <w:sz w:val="20"/>
                <w:szCs w:val="20"/>
                <w:color w:val="auto"/>
              </w:rPr>
            </w:pPr>
            <w:r>
              <w:rPr>
                <w:rFonts w:ascii="Arial" w:cs="Arial" w:eastAsia="Arial" w:hAnsi="Arial"/>
                <w:sz w:val="15"/>
                <w:szCs w:val="15"/>
                <w:color w:val="auto"/>
              </w:rPr>
              <w:t>Wastewater</w:t>
            </w: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color w:val="auto"/>
              </w:rPr>
              <w:t>Other Revenues</w:t>
            </w:r>
          </w:p>
        </w:tc>
        <w:tc>
          <w:tcPr>
            <w:tcW w:w="160" w:type="dxa"/>
            <w:vAlign w:val="bottom"/>
          </w:tcPr>
          <w:p>
            <w:pPr>
              <w:spacing w:after="0"/>
              <w:rPr>
                <w:sz w:val="11"/>
                <w:szCs w:val="11"/>
                <w:color w:val="auto"/>
              </w:rPr>
            </w:pPr>
          </w:p>
        </w:tc>
        <w:tc>
          <w:tcPr>
            <w:tcW w:w="130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w w:val="92"/>
              </w:rPr>
              <w:t>Water Revenues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40"/>
              <w:spacing w:after="0" w:line="132" w:lineRule="exact"/>
              <w:rPr>
                <w:sz w:val="20"/>
                <w:szCs w:val="20"/>
                <w:color w:val="auto"/>
              </w:rPr>
            </w:pPr>
            <w:r>
              <w:rPr>
                <w:rFonts w:ascii="Arial" w:cs="Arial" w:eastAsia="Arial" w:hAnsi="Arial"/>
                <w:sz w:val="15"/>
                <w:szCs w:val="15"/>
                <w:color w:val="auto"/>
              </w:rPr>
              <w:t>Wastewater</w:t>
            </w:r>
          </w:p>
        </w:tc>
        <w:tc>
          <w:tcPr>
            <w:tcW w:w="100" w:type="dxa"/>
            <w:vAlign w:val="bottom"/>
          </w:tcPr>
          <w:p>
            <w:pPr>
              <w:spacing w:after="0"/>
              <w:rPr>
                <w:sz w:val="11"/>
                <w:szCs w:val="11"/>
                <w:color w:val="auto"/>
              </w:rPr>
            </w:pPr>
          </w:p>
        </w:tc>
        <w:tc>
          <w:tcPr>
            <w:tcW w:w="800" w:type="dxa"/>
            <w:vAlign w:val="bottom"/>
          </w:tcPr>
          <w:p>
            <w:pPr>
              <w:jc w:val="right"/>
              <w:ind w:right="199"/>
              <w:spacing w:after="0" w:line="132" w:lineRule="exact"/>
              <w:rPr>
                <w:sz w:val="20"/>
                <w:szCs w:val="20"/>
                <w:color w:val="auto"/>
              </w:rPr>
            </w:pPr>
            <w:r>
              <w:rPr>
                <w:rFonts w:ascii="Arial" w:cs="Arial" w:eastAsia="Arial" w:hAnsi="Arial"/>
                <w:sz w:val="15"/>
                <w:szCs w:val="15"/>
                <w:color w:val="auto"/>
              </w:rPr>
              <w:t>Other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color w:val="auto"/>
              </w:rPr>
              <w:t>Revenues</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156"/>
        </w:trPr>
        <w:tc>
          <w:tcPr>
            <w:tcW w:w="36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Revenues from contracts with customers:</w:t>
            </w:r>
          </w:p>
        </w:tc>
        <w:tc>
          <w:tcPr>
            <w:tcW w:w="3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120"/>
              <w:spacing w:after="0" w:line="162" w:lineRule="exact"/>
              <w:rPr>
                <w:sz w:val="20"/>
                <w:szCs w:val="20"/>
                <w:color w:val="auto"/>
              </w:rPr>
            </w:pPr>
            <w:r>
              <w:rPr>
                <w:rFonts w:ascii="Arial" w:cs="Arial" w:eastAsia="Arial" w:hAnsi="Arial"/>
                <w:sz w:val="16"/>
                <w:szCs w:val="16"/>
                <w:color w:val="auto"/>
              </w:rPr>
              <w:t>Residential</w:t>
            </w:r>
          </w:p>
        </w:tc>
        <w:tc>
          <w:tcPr>
            <w:tcW w:w="360" w:type="dxa"/>
            <w:vAlign w:val="bottom"/>
          </w:tcPr>
          <w:p>
            <w:pPr>
              <w:jc w:val="right"/>
              <w:ind w:right="202"/>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386,240</w:t>
            </w:r>
          </w:p>
        </w:tc>
        <w:tc>
          <w:tcPr>
            <w:tcW w:w="20" w:type="dxa"/>
            <w:vAlign w:val="bottom"/>
          </w:tcPr>
          <w:p>
            <w:pPr>
              <w:spacing w:after="0"/>
              <w:rPr>
                <w:sz w:val="14"/>
                <w:szCs w:val="14"/>
                <w:color w:val="auto"/>
              </w:rPr>
            </w:pPr>
          </w:p>
        </w:tc>
        <w:tc>
          <w:tcPr>
            <w:tcW w:w="32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62" w:lineRule="exact"/>
              <w:rPr>
                <w:sz w:val="20"/>
                <w:szCs w:val="20"/>
                <w:color w:val="auto"/>
              </w:rPr>
            </w:pPr>
            <w:r>
              <w:rPr>
                <w:rFonts w:ascii="Arial" w:cs="Arial" w:eastAsia="Arial" w:hAnsi="Arial"/>
                <w:sz w:val="16"/>
                <w:szCs w:val="16"/>
                <w:color w:val="auto"/>
              </w:rPr>
              <w:t>61,647</w:t>
            </w:r>
          </w:p>
        </w:tc>
        <w:tc>
          <w:tcPr>
            <w:tcW w:w="220" w:type="dxa"/>
            <w:vAlign w:val="bottom"/>
          </w:tcPr>
          <w:p>
            <w:pPr>
              <w:spacing w:after="0"/>
              <w:rPr>
                <w:sz w:val="14"/>
                <w:szCs w:val="14"/>
                <w:color w:val="auto"/>
              </w:rPr>
            </w:pPr>
          </w:p>
        </w:tc>
        <w:tc>
          <w:tcPr>
            <w:tcW w:w="34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2"/>
              <w:spacing w:after="0" w:line="162"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367,078</w:t>
            </w:r>
          </w:p>
        </w:tc>
        <w:tc>
          <w:tcPr>
            <w:tcW w:w="120" w:type="dxa"/>
            <w:vAlign w:val="bottom"/>
          </w:tcPr>
          <w:p>
            <w:pPr>
              <w:spacing w:after="0"/>
              <w:rPr>
                <w:sz w:val="14"/>
                <w:szCs w:val="14"/>
                <w:color w:val="auto"/>
              </w:rPr>
            </w:pPr>
          </w:p>
        </w:tc>
        <w:tc>
          <w:tcPr>
            <w:tcW w:w="22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53,915</w:t>
            </w:r>
          </w:p>
        </w:tc>
        <w:tc>
          <w:tcPr>
            <w:tcW w:w="22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Commercial</w:t>
            </w: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108,329</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11,400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101,405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9,473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120"/>
              <w:spacing w:after="0" w:line="162" w:lineRule="exact"/>
              <w:rPr>
                <w:sz w:val="20"/>
                <w:szCs w:val="20"/>
                <w:color w:val="auto"/>
              </w:rPr>
            </w:pPr>
            <w:r>
              <w:rPr>
                <w:rFonts w:ascii="Arial" w:cs="Arial" w:eastAsia="Arial" w:hAnsi="Arial"/>
                <w:sz w:val="16"/>
                <w:szCs w:val="16"/>
                <w:color w:val="auto"/>
              </w:rPr>
              <w:t>Fire protection</w:t>
            </w:r>
          </w:p>
        </w:tc>
        <w:tc>
          <w:tcPr>
            <w:tcW w:w="3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24,903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24,103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Industrial</w:t>
            </w: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23,052</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1,358</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21,902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1,427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120"/>
              <w:spacing w:after="0" w:line="162" w:lineRule="exact"/>
              <w:rPr>
                <w:sz w:val="20"/>
                <w:szCs w:val="20"/>
                <w:color w:val="auto"/>
              </w:rPr>
            </w:pPr>
            <w:r>
              <w:rPr>
                <w:rFonts w:ascii="Arial" w:cs="Arial" w:eastAsia="Arial" w:hAnsi="Arial"/>
                <w:sz w:val="16"/>
                <w:szCs w:val="16"/>
                <w:color w:val="auto"/>
              </w:rPr>
              <w:t>Other water</w:t>
            </w:r>
          </w:p>
        </w:tc>
        <w:tc>
          <w:tcPr>
            <w:tcW w:w="3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31,177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39,821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wastewater</w:t>
            </w: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3,578</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4,381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120"/>
              <w:spacing w:after="0" w:line="162" w:lineRule="exact"/>
              <w:rPr>
                <w:sz w:val="20"/>
                <w:szCs w:val="20"/>
                <w:color w:val="auto"/>
              </w:rPr>
            </w:pPr>
            <w:r>
              <w:rPr>
                <w:rFonts w:ascii="Arial" w:cs="Arial" w:eastAsia="Arial" w:hAnsi="Arial"/>
                <w:sz w:val="16"/>
                <w:szCs w:val="16"/>
                <w:color w:val="auto"/>
              </w:rPr>
              <w:t>Other utility</w:t>
            </w:r>
          </w:p>
        </w:tc>
        <w:tc>
          <w:tcPr>
            <w:tcW w:w="360" w:type="dxa"/>
            <w:vAlign w:val="bottom"/>
          </w:tcPr>
          <w:p>
            <w:pPr>
              <w:spacing w:after="0"/>
              <w:rPr>
                <w:sz w:val="14"/>
                <w:szCs w:val="14"/>
                <w:color w:val="auto"/>
              </w:rPr>
            </w:pPr>
          </w:p>
        </w:tc>
        <w:tc>
          <w:tcPr>
            <w:tcW w:w="84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6"/>
                <w:szCs w:val="16"/>
                <w:color w:val="auto"/>
              </w:rPr>
              <w:t>9,234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6,963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Revenues from contracts with customers</w:t>
            </w:r>
          </w:p>
        </w:tc>
        <w:tc>
          <w:tcPr>
            <w:tcW w:w="3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573,701</w:t>
            </w: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77,983</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9,234</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554,309</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69,196</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6,963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line="162" w:lineRule="exact"/>
              <w:rPr>
                <w:sz w:val="20"/>
                <w:szCs w:val="20"/>
                <w:color w:val="auto"/>
              </w:rPr>
            </w:pPr>
            <w:r>
              <w:rPr>
                <w:rFonts w:ascii="Arial" w:cs="Arial" w:eastAsia="Arial" w:hAnsi="Arial"/>
                <w:sz w:val="16"/>
                <w:szCs w:val="16"/>
                <w:color w:val="auto"/>
              </w:rPr>
              <w:t>Alternative revenue program</w:t>
            </w:r>
          </w:p>
        </w:tc>
        <w:tc>
          <w:tcPr>
            <w:tcW w:w="3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217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20"/>
              <w:spacing w:after="0" w:line="162" w:lineRule="exact"/>
              <w:rPr>
                <w:sz w:val="20"/>
                <w:szCs w:val="20"/>
                <w:color w:val="auto"/>
              </w:rPr>
            </w:pPr>
            <w:r>
              <w:rPr>
                <w:rFonts w:ascii="Arial" w:cs="Arial" w:eastAsia="Arial" w:hAnsi="Arial"/>
                <w:sz w:val="16"/>
                <w:szCs w:val="16"/>
                <w:color w:val="auto"/>
              </w:rPr>
              <w:t>(53)</w:t>
            </w:r>
          </w:p>
        </w:tc>
        <w:tc>
          <w:tcPr>
            <w:tcW w:w="34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(815)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39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Other and eliminations</w:t>
            </w: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2,568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line="155" w:lineRule="exact"/>
              <w:rPr>
                <w:sz w:val="20"/>
                <w:szCs w:val="20"/>
                <w:color w:val="auto"/>
              </w:rPr>
            </w:pPr>
            <w:r>
              <w:rPr>
                <w:rFonts w:ascii="Arial" w:cs="Arial" w:eastAsia="Arial" w:hAnsi="Arial"/>
                <w:sz w:val="16"/>
                <w:szCs w:val="16"/>
                <w:color w:val="auto"/>
              </w:rPr>
              <w:t>Consolidated</w:t>
            </w:r>
          </w:p>
        </w:tc>
        <w:tc>
          <w:tcPr>
            <w:tcW w:w="360" w:type="dxa"/>
            <w:vAlign w:val="bottom"/>
            <w:tcBorders>
              <w:top w:val="single" w:sz="8" w:color="auto"/>
              <w:bottom w:val="single" w:sz="8" w:color="auto"/>
            </w:tcBorders>
          </w:tcPr>
          <w:p>
            <w:pPr>
              <w:jc w:val="right"/>
              <w:ind w:right="202"/>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573,918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77,930</w:t>
            </w:r>
          </w:p>
        </w:tc>
        <w:tc>
          <w:tcPr>
            <w:tcW w:w="2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11,802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2"/>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553,494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69,235</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9,615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right="60"/>
        <w:spacing w:after="0" w:line="226" w:lineRule="auto"/>
        <w:rPr>
          <w:sz w:val="20"/>
          <w:szCs w:val="20"/>
          <w:color w:val="auto"/>
        </w:rPr>
      </w:pPr>
      <w:r>
        <w:rPr>
          <w:rFonts w:ascii="Arial" w:cs="Arial" w:eastAsia="Arial" w:hAnsi="Arial"/>
          <w:sz w:val="22"/>
          <w:szCs w:val="22"/>
          <w:b w:val="1"/>
          <w:bCs w:val="1"/>
          <w:i w:val="1"/>
          <w:iCs w:val="1"/>
          <w:color w:val="auto"/>
        </w:rPr>
        <w:t xml:space="preserve">Revenues from Contracts with Customers – </w:t>
      </w:r>
      <w:r>
        <w:rPr>
          <w:rFonts w:ascii="Arial" w:cs="Arial" w:eastAsia="Arial" w:hAnsi="Arial"/>
          <w:sz w:val="22"/>
          <w:szCs w:val="22"/>
          <w:color w:val="auto"/>
        </w:rPr>
        <w:t>These revenues are composed of three main categories: water, wastewater, and other.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Water revenues represent revenues earned for supplying customers with water service. Wastewater revenues represent revenues earned for treating wastewater and releasing it into the water supply. Other revenues are associated fees that relate to the regulated business but are not water and wastewater revenues. See description below for a discussion on the performance obligation for each of these revenue streams.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1" w:name="page12"/>
    <w:bookmarkEnd w:id="1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260" w:right="248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i w:val="1"/>
          <w:iCs w:val="1"/>
          <w:color w:val="auto"/>
        </w:rPr>
        <w:t xml:space="preserve">Tariff Revenues – </w:t>
      </w:r>
      <w:r>
        <w:rPr>
          <w:rFonts w:ascii="Arial" w:cs="Arial" w:eastAsia="Arial" w:hAnsi="Arial"/>
          <w:sz w:val="19"/>
          <w:szCs w:val="19"/>
          <w:color w:val="auto"/>
        </w:rPr>
        <w:t>These revenues are categorized by customer class: residential, commercial, fire protection, industrial, and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water and other wastewater. The rates that generate these revenues are approved by the respective state utility commission, and revenues are billed cyclically and accrued for when unbilled. Other water and other wastewater revenues consist primarily of fines, penalties, surcharges, and availability lot fees. Our performance obligation for tariff revenues is to provide potable water or wastewater treatment service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w:t>
      </w:r>
    </w:p>
    <w:p>
      <w:pPr>
        <w:spacing w:after="0" w:line="167"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b w:val="1"/>
          <w:bCs w:val="1"/>
          <w:i w:val="1"/>
          <w:iCs w:val="1"/>
          <w:color w:val="auto"/>
        </w:rPr>
        <w:t xml:space="preserve">Other Utility Revenues – </w:t>
      </w:r>
      <w:r>
        <w:rPr>
          <w:rFonts w:ascii="Arial" w:cs="Arial" w:eastAsia="Arial" w:hAnsi="Arial"/>
          <w:sz w:val="19"/>
          <w:szCs w:val="19"/>
          <w:color w:val="auto"/>
        </w:rPr>
        <w:t>Other utility revenues represent revenues earned primarily from: antenna revenues, which represent fees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The performance obligations vary for these revenues, but all are primarily recognized over time as the service is delivered.</w:t>
      </w:r>
    </w:p>
    <w:p>
      <w:pPr>
        <w:spacing w:after="0" w:line="162"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b w:val="1"/>
          <w:bCs w:val="1"/>
          <w:i w:val="1"/>
          <w:iCs w:val="1"/>
          <w:color w:val="auto"/>
        </w:rPr>
        <w:t xml:space="preserve">Alternative Revenue Program – </w:t>
      </w:r>
      <w:r>
        <w:rPr>
          <w:rFonts w:ascii="Arial" w:cs="Arial" w:eastAsia="Arial" w:hAnsi="Arial"/>
          <w:sz w:val="19"/>
          <w:szCs w:val="19"/>
          <w:color w:val="auto"/>
        </w:rPr>
        <w:t>These revenues represent the difference between the actual billed utility water and wastewater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revenues for Aqua Illinois and the revenues set in the last Aqua Illinois rate case. We recognize revenues based on the target amount established in the last rate case, and then record either a regulatory asset or liability based on the cumulative annual difference between the target and actual, which results in either a refund due to customers or a payment from customers. The cumulative annual difference is either refunded to customers or collected from customers over a nine-month period. This revenue program represents a contract between the utility and its regulators, not customers, and therefore is not within the scope of the Financial Accounting Standards Board’s (“FASB”) accounting guidance for recognizing revenue from contracts with customers.</w:t>
      </w:r>
    </w:p>
    <w:p>
      <w:pPr>
        <w:spacing w:after="0" w:line="167" w:lineRule="exact"/>
        <w:rPr>
          <w:sz w:val="20"/>
          <w:szCs w:val="20"/>
          <w:color w:val="auto"/>
        </w:rPr>
      </w:pPr>
    </w:p>
    <w:p>
      <w:pPr>
        <w:ind w:right="20"/>
        <w:spacing w:after="0" w:line="313" w:lineRule="auto"/>
        <w:rPr>
          <w:sz w:val="20"/>
          <w:szCs w:val="20"/>
          <w:color w:val="auto"/>
        </w:rPr>
      </w:pPr>
      <w:r>
        <w:rPr>
          <w:rFonts w:ascii="Arial" w:cs="Arial" w:eastAsia="Arial" w:hAnsi="Arial"/>
          <w:sz w:val="19"/>
          <w:szCs w:val="19"/>
          <w:b w:val="1"/>
          <w:bCs w:val="1"/>
          <w:i w:val="1"/>
          <w:iCs w:val="1"/>
          <w:color w:val="auto"/>
        </w:rPr>
        <w:t xml:space="preserve">Other and Eliminations – </w:t>
      </w:r>
      <w:r>
        <w:rPr>
          <w:rFonts w:ascii="Arial" w:cs="Arial" w:eastAsia="Arial" w:hAnsi="Arial"/>
          <w:sz w:val="19"/>
          <w:szCs w:val="19"/>
          <w:color w:val="auto"/>
        </w:rPr>
        <w:t>Other and eliminations consist of our market-based revenues, which comprises: Aqua Infrastructure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Aqua Resources (described below), and intercompany eliminations for revenue billed between our subsidiaries.</w:t>
      </w:r>
    </w:p>
    <w:p>
      <w:pPr>
        <w:spacing w:after="0" w:line="119" w:lineRule="exact"/>
        <w:rPr>
          <w:sz w:val="20"/>
          <w:szCs w:val="20"/>
          <w:color w:val="auto"/>
        </w:rPr>
      </w:pPr>
    </w:p>
    <w:p>
      <w:pPr>
        <w:ind w:right="360"/>
        <w:spacing w:after="0" w:line="224" w:lineRule="auto"/>
        <w:rPr>
          <w:sz w:val="20"/>
          <w:szCs w:val="20"/>
          <w:color w:val="auto"/>
        </w:rPr>
      </w:pPr>
      <w:r>
        <w:rPr>
          <w:rFonts w:ascii="Arial" w:cs="Arial" w:eastAsia="Arial" w:hAnsi="Arial"/>
          <w:sz w:val="22"/>
          <w:szCs w:val="22"/>
          <w:color w:val="auto"/>
        </w:rPr>
        <w:t>Aqua Infrastructure is the holding company for our 49% investment in a joint venture that operates a private pipeline system to supply raw water to natural gas well drilling operations in the Marcellus Shale of north central Pennsylvania. The joint venture earns revenues through providing non-utility raw water supply services to natural gas drilling companies which enter into water supply contracts. The performance obligation is to deliver non-potable water to the joint venture’s customers. Aqua Infrastructure’s share of the revenues recognized by the joint venture is reflected, net, in equity earnings in joint venture on our consolidated statements of operations.</w:t>
      </w:r>
    </w:p>
    <w:p>
      <w:pPr>
        <w:spacing w:after="0" w:line="191" w:lineRule="exact"/>
        <w:rPr>
          <w:sz w:val="20"/>
          <w:szCs w:val="20"/>
          <w:color w:val="auto"/>
        </w:rPr>
      </w:pPr>
    </w:p>
    <w:p>
      <w:pPr>
        <w:ind w:right="240"/>
        <w:spacing w:after="0" w:line="239" w:lineRule="auto"/>
        <w:rPr>
          <w:sz w:val="20"/>
          <w:szCs w:val="20"/>
          <w:color w:val="auto"/>
        </w:rPr>
      </w:pPr>
      <w:r>
        <w:rPr>
          <w:rFonts w:ascii="Arial" w:cs="Arial" w:eastAsia="Arial" w:hAnsi="Arial"/>
          <w:sz w:val="21"/>
          <w:szCs w:val="21"/>
          <w:color w:val="auto"/>
        </w:rPr>
        <w:t>Aqua Resources earns revenues by providing non-regulated water services through an operating and maintenance contract, and third-party water and sewer service line protection and repair services. The performance obligations are performing agreed upon contract services to operate the water system, or allowing the use of our logo to a third-party water and sewer service line repair. Revenues are primarily recognized over time as service is delivered.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3" w:right="259" w:bottom="1440" w:gutter="0" w:footer="0" w:header="0"/>
        </w:sectPr>
      </w:pPr>
    </w:p>
    <w:bookmarkStart w:id="12" w:name="page13"/>
    <w:bookmarkEnd w:id="1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5"/>
              </w:rPr>
              <w:t>Regulated</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0"/>
        </w:trPr>
        <w:tc>
          <w:tcPr>
            <w:tcW w:w="558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rPr>
              <w:t>Segment</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Other</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0"/>
              </w:rPr>
              <w:t>Consolidated</w:t>
            </w:r>
          </w:p>
        </w:tc>
      </w:tr>
      <w:tr>
        <w:trPr>
          <w:trHeight w:val="264"/>
        </w:trPr>
        <w:tc>
          <w:tcPr>
            <w:tcW w:w="5580" w:type="dxa"/>
            <w:vAlign w:val="bottom"/>
            <w:shd w:val="clear" w:color="auto" w:fill="CCEEFF"/>
          </w:tcPr>
          <w:p>
            <w:pPr>
              <w:spacing w:after="0"/>
              <w:rPr>
                <w:sz w:val="20"/>
                <w:szCs w:val="20"/>
                <w:color w:val="auto"/>
              </w:rPr>
            </w:pPr>
            <w:r>
              <w:rPr>
                <w:rFonts w:ascii="Arial" w:cs="Arial" w:eastAsia="Arial" w:hAnsi="Arial"/>
                <w:sz w:val="22"/>
                <w:szCs w:val="22"/>
                <w:color w:val="auto"/>
              </w:rPr>
              <w:t>Balance at December 31, 2018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22"/>
                <w:szCs w:val="2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47,885</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4,841</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52,726</w:t>
            </w:r>
          </w:p>
        </w:tc>
      </w:tr>
      <w:tr>
        <w:trPr>
          <w:trHeight w:val="284"/>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22"/>
                <w:szCs w:val="22"/>
                <w:color w:val="auto"/>
              </w:rPr>
              <w:t>Reclassification to utility plant acquisition adjustment</w:t>
            </w:r>
          </w:p>
        </w:tc>
        <w:tc>
          <w:tcPr>
            <w:tcW w:w="8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w:t>
            </w:r>
          </w:p>
        </w:tc>
      </w:tr>
      <w:tr>
        <w:trPr>
          <w:trHeight w:val="250"/>
        </w:trPr>
        <w:tc>
          <w:tcPr>
            <w:tcW w:w="5580" w:type="dxa"/>
            <w:vAlign w:val="bottom"/>
            <w:shd w:val="clear" w:color="auto" w:fill="CCEEFF"/>
          </w:tcPr>
          <w:p>
            <w:pPr>
              <w:spacing w:after="0" w:line="250" w:lineRule="exact"/>
              <w:rPr>
                <w:sz w:val="20"/>
                <w:szCs w:val="20"/>
                <w:color w:val="auto"/>
              </w:rPr>
            </w:pPr>
            <w:r>
              <w:rPr>
                <w:rFonts w:ascii="Arial" w:cs="Arial" w:eastAsia="Arial" w:hAnsi="Arial"/>
                <w:sz w:val="22"/>
                <w:szCs w:val="22"/>
                <w:color w:val="auto"/>
              </w:rPr>
              <w:t>Balance at September 30, 2019</w:t>
            </w:r>
          </w:p>
        </w:tc>
        <w:tc>
          <w:tcPr>
            <w:tcW w:w="1040" w:type="dxa"/>
            <w:vAlign w:val="bottom"/>
            <w:gridSpan w:val="2"/>
            <w:shd w:val="clear" w:color="auto" w:fill="CCEEFF"/>
          </w:tcPr>
          <w:p>
            <w:pPr>
              <w:jc w:val="right"/>
              <w:ind w:right="120"/>
              <w:spacing w:after="0" w:line="250" w:lineRule="exact"/>
              <w:rPr>
                <w:sz w:val="20"/>
                <w:szCs w:val="20"/>
                <w:color w:val="auto"/>
              </w:rPr>
            </w:pPr>
            <w:r>
              <w:rPr>
                <w:rFonts w:ascii="Arial" w:cs="Arial" w:eastAsia="Arial" w:hAnsi="Arial"/>
                <w:sz w:val="22"/>
                <w:szCs w:val="22"/>
                <w:color w:val="auto"/>
              </w:rPr>
              <w:t>$</w:t>
            </w:r>
          </w:p>
        </w:tc>
        <w:tc>
          <w:tcPr>
            <w:tcW w:w="132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47,860</w:t>
            </w:r>
          </w:p>
        </w:tc>
        <w:tc>
          <w:tcPr>
            <w:tcW w:w="520" w:type="dxa"/>
            <w:vAlign w:val="bottom"/>
            <w:gridSpan w:val="2"/>
            <w:shd w:val="clear" w:color="auto" w:fill="CCEEFF"/>
          </w:tcPr>
          <w:p>
            <w:pPr>
              <w:jc w:val="right"/>
              <w:ind w:right="200"/>
              <w:spacing w:after="0" w:line="250" w:lineRule="exact"/>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4,841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w w:val="81"/>
              </w:rPr>
              <w:t>$</w:t>
            </w:r>
          </w:p>
        </w:tc>
        <w:tc>
          <w:tcPr>
            <w:tcW w:w="13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52,701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140"/>
        <w:spacing w:after="0" w:line="232" w:lineRule="auto"/>
        <w:rPr>
          <w:sz w:val="20"/>
          <w:szCs w:val="20"/>
          <w:color w:val="auto"/>
        </w:rPr>
      </w:pPr>
      <w:r>
        <w:rPr>
          <w:rFonts w:ascii="Arial" w:cs="Arial" w:eastAsia="Arial" w:hAnsi="Arial"/>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 upon achieving specific objectives.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Goodwill is not amortized but is tested for impairment annually, or more often, if circumstances indicate it is more likely than not that the fair value of a reporting unit is less than its carrying amount. When testing goodwill for impairment, the Company may assess qualitative factors, including macroeconomic conditions, industry and market considerations,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we may perform a quantitative goodwill impairment test by determining the fair value of a reporting unit based on a discounted cash flow analysis.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Company performed a qualitative assessment for its annual test of the goodwill attributable for each of its reporting units for impairment as of July 31, 2019, and concluded that it is more likely than not that the fair value of each reporting unit, which has goodwill recorded, exceeded its carrying amount, indicating that none of the Company’s goodwill was impaired.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3" w:name="page14"/>
    <w:bookmarkEnd w:id="1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Peoples Gas Acquisition</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Pursuant to the Company’s growth strategy, on October 22, 2018, the Company entered into a purchase agreement (the “Acquisition Agreement”) with LDC Parent LLC (“Seller”), to acquire its interests in LDC Funding LLC (“LDC”). LDC is the parent of LDC Holdings LLC (“LDC Holdings”), and LDC Holdings is the parent of five natural gas utility companies, which includes Peoples Natural Gas Company, Peoples Gas Company, and Delta Natural Gas Company as well as other operating subsidiaries. This acquisition is referred to as the “Peoples Gas Acquisition” and collectively, these businesses are referred to as “Peoples.” Peoples is headquartered in Pittsburgh, Pennsylvania and serves approximately 740,000 gas utility customers in western Pennsylvania, West Virginia, and Kentucky. At the closing of the Peoples Gas Acquisition, the Company will pay $4,275,000 in cash subject to adjustments for working capital, certain capital expenditures, transaction expenses and closing indebtedness as set forth in the Acquisition Agreement. The Company expects to assume approximately $1,432,000 of Peoples’ indebtedness upon the closing of the Peoples Gas Acquisition, which would reduce the cash purchase price by approximately $1,432,000.</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29, 2019, the Company entered into a Stock Purchase Agreement to issue shares of common stock in a private placement to fund a portion of the Peoples Gas Acquisition. The gross proceeds of the Stock Purchase Agreement are expected to amount to approximately $750,000. Further, on April 18, 2019, the Company issued $1,293,750 of its common stock and $690,000 of its tangible equity units, with a stated amount of $50 per unit, and on April 26, 2019, the Company issued $900,000 of senior notes. As of September 30, 2019, the Company has terminated $4,350,000 of commitments under the Bridge Commitment. The remaining balance available under the Bridge Commitment is $750,000. Refer to Note 6 – </w:t>
      </w:r>
      <w:r>
        <w:rPr>
          <w:rFonts w:ascii="Arial" w:cs="Arial" w:eastAsia="Arial" w:hAnsi="Arial"/>
          <w:sz w:val="19"/>
          <w:szCs w:val="19"/>
          <w:i w:val="1"/>
          <w:iCs w:val="1"/>
          <w:color w:val="auto"/>
        </w:rPr>
        <w:t>Capitalization</w:t>
      </w:r>
      <w:r>
        <w:rPr>
          <w:rFonts w:ascii="Arial" w:cs="Arial" w:eastAsia="Arial" w:hAnsi="Arial"/>
          <w:sz w:val="19"/>
          <w:szCs w:val="19"/>
          <w:color w:val="auto"/>
        </w:rPr>
        <w:t xml:space="preserve"> for further information on these financings.</w:t>
      </w:r>
    </w:p>
    <w:p>
      <w:pPr>
        <w:spacing w:after="0" w:line="174"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 xml:space="preserve">On October 23, 2018, the Company entered into interest rate swap agreements to mitigate interest rate risk associated with an anticipated $850,000 of future debt issuances to fund a portion of the Peoples Gas Acquisition. The interest rate swaps were settled on April 24, 2019 in conjunction with the issuance of long-term debt to be used to finance a portion of the purchase price of this acquisition, which resulted in a payment by the Company of $83,520. Refer to Note 7 – </w:t>
      </w:r>
      <w:r>
        <w:rPr>
          <w:rFonts w:ascii="Arial" w:cs="Arial" w:eastAsia="Arial" w:hAnsi="Arial"/>
          <w:sz w:val="22"/>
          <w:szCs w:val="22"/>
          <w:i w:val="1"/>
          <w:iCs w:val="1"/>
          <w:color w:val="auto"/>
        </w:rPr>
        <w:t>Interest Rate Swap Agreements</w:t>
      </w:r>
      <w:r>
        <w:rPr>
          <w:rFonts w:ascii="Arial" w:cs="Arial" w:eastAsia="Arial" w:hAnsi="Arial"/>
          <w:sz w:val="22"/>
          <w:szCs w:val="22"/>
          <w:color w:val="auto"/>
        </w:rPr>
        <w:t xml:space="preserve"> for further information. The interest rate swaps did not qualify for hedge accounting and any changes in the fair value of the swaps was included in our earnings.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4" w:name="page15"/>
    <w:bookmarkEnd w:id="1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The Peoples Gas Acquisition is subject to regulatory approval by the Pennsylvania Public Utility Commission (the “PaPUC”), and other customary closing conditions set forth in the Acquisition Agreement. Approval from the United States Federal Trade Commission was obtained in December 2018, and approvals from the public utility commissions of Kentucky and West Virginia were obtained in March 2019 and April 2019, respectively. On June 11, 2019, we filed a settlement agreement with the PaPUC, and all but two of the intervenors to the case have entered into or chosen not to oppose the settlement agreement. In October 2019, we received the decision of the Administrative Law Judge with respect to the PaPUC’s review of the Peoples Gas Acquisition who recommended that the PaPUC issue all approvals as are necessary for the Company to carry out the Peoples Gas Acquisition. The Peoples Gas Acquisition is expected to close in late 2019 or early 2020 once regulatory approval is obtained from the PaPUC, and closing conditions are met, and it is anticipated that this acquisition will result in the recording of goodwill. In the event that the Acquisition Agreement is terminated due to certain breaches by the Company, a fee of $120,000 would be payable to the Seller as a reverse termination fee.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In July 2018, the Company acquired the wastewater utility systems assets of Limerick Township, Pennsylvania, which serves 5,497 customers. The total cash purchase price for the utility system was $74,836. The purchase price allocation for this acquisition consisted primarily of acquired property, plant and equipment of $64,759, and goodwill of $10,790. Additionally, during 2018, the Company completed seven acquisitions of water and wastewater utility systems in three states adding 8,661 customers. The total purchase price of these utility systems consisted of $42,519 in cash. The purchase price allocation for these acquisitions consisted primarily of acquired property, plant and equipment. Further, in December 2018, the Company acquired the Valley Creek Trunk Sewer System, serving area municipalities in Pennsylvania, from the Tredyffrin Township Municipal Authority for $28,300. The system receives untreated wastewater from area municipalities, which is conveyed to the Valley Forge Treatment Plant. The system consists of 49,000 linear feet of gravity sewers, pump stations, and force mains.</w:t>
      </w:r>
    </w:p>
    <w:p>
      <w:pPr>
        <w:spacing w:after="0" w:line="174" w:lineRule="exact"/>
        <w:rPr>
          <w:sz w:val="20"/>
          <w:szCs w:val="20"/>
          <w:color w:val="auto"/>
        </w:rPr>
      </w:pPr>
    </w:p>
    <w:p>
      <w:pPr>
        <w:ind w:right="300"/>
        <w:spacing w:after="0" w:line="226" w:lineRule="auto"/>
        <w:rPr>
          <w:sz w:val="20"/>
          <w:szCs w:val="20"/>
          <w:color w:val="auto"/>
        </w:rPr>
      </w:pPr>
      <w:r>
        <w:rPr>
          <w:rFonts w:ascii="Arial" w:cs="Arial" w:eastAsia="Arial" w:hAnsi="Arial"/>
          <w:sz w:val="22"/>
          <w:szCs w:val="22"/>
          <w:color w:val="auto"/>
        </w:rPr>
        <w:t>In September 2019, Company entered into a purchase agreement to acquire the wastewater utility system assets of the Delaware County Regional Water Quality Control Authority (“DELCORA”), which consists of approximately 16,000 customers, or the equivalent of 165,000 retail customers, in 42 municipalities in Southeast Pennsylvania for $276,500. The purchase price for this pending acquisition is subject to certain adjustments at closing, and is subject to regulatory approval, including the final determination of the fair value of the rate base acquired.</w:t>
      </w:r>
    </w:p>
    <w:p>
      <w:pPr>
        <w:spacing w:after="0" w:line="186"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In November 2018, the Company entered into a purchase agreement to acquire the wastewater utility system assets of East Norriton Township, Pennsylvania, which serves approximately 4,950 customers for $21,000. The purchase price for this pending acquisition is subject to certain adjustments at closing, and is subject to regulatory approval, including the final determination of the fair value of the rate base acquired.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5" w:name="page16"/>
    <w:bookmarkEnd w:id="1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0"/>
        <w:spacing w:after="0" w:line="228" w:lineRule="auto"/>
        <w:rPr>
          <w:sz w:val="20"/>
          <w:szCs w:val="20"/>
          <w:color w:val="auto"/>
        </w:rPr>
      </w:pPr>
      <w:r>
        <w:rPr>
          <w:rFonts w:ascii="Arial" w:cs="Arial" w:eastAsia="Arial" w:hAnsi="Arial"/>
          <w:sz w:val="22"/>
          <w:szCs w:val="22"/>
          <w:color w:val="auto"/>
        </w:rPr>
        <w:t>In July 2018, the Company entered into a purchase agreement to acquire the wastewater utility system assets of Cheltenham Township, Pennsylvania, which serves approximately 10,500 customers for $50,250. In October 2019, the Company obtained regulatory approval for this acquisition, and closing is anticipated to occur in December 2019. Upon closing, this acquisition will result in the recording of goodwill of approximately $6,000.</w:t>
      </w:r>
    </w:p>
    <w:p>
      <w:pPr>
        <w:spacing w:after="0" w:line="187"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In addition to the Company’s pending acquisitions of DELCORA, East Norriton and Cheltenham Townships, as part of the Company’s growth-through-acquisition strategy, the Company entered into purchase agreements to acquire the water or wastewater utility system assets of five municipalities, which will add approximately 7,200 customers in three of the states in which the Company operates, for a total combined purchase price in cash of $46,450. We plan to finance the purchase price of these acquisitions by the issuance of debt. The purchase prices for these acquisitions are subject to certain adjustments at closing, and the acquisitions are subject to regulatory approvals, including the final determination of the fair value of the rate base acquired. Closings for our remaining acquisitions (other than the Peoples Gas Acquisition), with the exception of DELCORA and East Norriton Township, are expected to occur in the fourth quarter of 2019 and the first quarter of 2020, respectively, subject to the timing of the individual regulatory approval processes.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 </w:t>
      </w:r>
      <w:r>
        <w:rPr>
          <w:rFonts w:ascii="Arial" w:cs="Arial" w:eastAsia="Arial" w:hAnsi="Arial"/>
          <w:sz w:val="22"/>
          <w:szCs w:val="22"/>
          <w:b w:val="1"/>
          <w:bCs w:val="1"/>
          <w:i w:val="1"/>
          <w:iCs w:val="1"/>
          <w:color w:val="auto"/>
        </w:rPr>
        <w:t>Assets Held for Sale</w:t>
      </w:r>
    </w:p>
    <w:p>
      <w:pPr>
        <w:spacing w:after="0" w:line="212"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In the fourth quarter of 2018, the Company decided to market for sale a water system in Virginia that serves approximately 500 customers. This water system was reported as assets held for sale in the Company’s consolidated balance sheet, and in April 2019, the Company completed the sale for proceeds of $1,882 and recognized a gain on sale of $403.</w:t>
      </w:r>
    </w:p>
    <w:p>
      <w:pPr>
        <w:spacing w:after="0" w:line="148" w:lineRule="exact"/>
        <w:rPr>
          <w:sz w:val="20"/>
          <w:szCs w:val="20"/>
          <w:color w:val="auto"/>
        </w:rPr>
      </w:pPr>
    </w:p>
    <w:p>
      <w:pPr>
        <w:ind w:right="660"/>
        <w:spacing w:after="0" w:line="232" w:lineRule="auto"/>
        <w:rPr>
          <w:sz w:val="20"/>
          <w:szCs w:val="20"/>
          <w:color w:val="auto"/>
        </w:rPr>
      </w:pPr>
      <w:r>
        <w:rPr>
          <w:rFonts w:ascii="Arial" w:cs="Arial" w:eastAsia="Arial" w:hAnsi="Arial"/>
          <w:sz w:val="22"/>
          <w:szCs w:val="22"/>
          <w:color w:val="auto"/>
        </w:rPr>
        <w:t>In the first quarter of 2017, the Company decided to market for sale a water system in Texas that serves approximately 265 customers. This water system is reported as assets held for sale in the Company’s consolidated balance sheet, and the sale is expected to close in the first half of 2020.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Capitalization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Placement</w:t>
      </w:r>
    </w:p>
    <w:p>
      <w:pPr>
        <w:spacing w:after="0" w:line="206" w:lineRule="exact"/>
        <w:rPr>
          <w:sz w:val="20"/>
          <w:szCs w:val="20"/>
          <w:color w:val="auto"/>
        </w:rPr>
      </w:pPr>
    </w:p>
    <w:p>
      <w:pPr>
        <w:ind w:right="20"/>
        <w:spacing w:after="0" w:line="226" w:lineRule="auto"/>
        <w:rPr>
          <w:sz w:val="20"/>
          <w:szCs w:val="20"/>
          <w:color w:val="auto"/>
        </w:rPr>
      </w:pPr>
      <w:r>
        <w:rPr>
          <w:rFonts w:ascii="Arial" w:cs="Arial" w:eastAsia="Arial" w:hAnsi="Arial"/>
          <w:sz w:val="22"/>
          <w:szCs w:val="22"/>
          <w:color w:val="auto"/>
        </w:rPr>
        <w:t>On March 29, 2019, the Company entered into a Stock Purchase Agreement (the “Stock Purchase Agreement”) with Canada Pension Plan Investment Board (the “Investor”), pursuant to which the Company has agreed to issue and sell to the Investor in a private placement (the “Private Placement”) 21,661,095 newly issued shares of common stock, par value $0.50 per share (the “Common Stock”). The gross proceeds of the Private Placement are expected to amount to approximately $750,000, less estimated expenses of $21,560.</w:t>
      </w:r>
    </w:p>
    <w:p>
      <w:pPr>
        <w:spacing w:after="0" w:line="186" w:lineRule="exact"/>
        <w:rPr>
          <w:sz w:val="20"/>
          <w:szCs w:val="20"/>
          <w:color w:val="auto"/>
        </w:rPr>
      </w:pPr>
    </w:p>
    <w:p>
      <w:pPr>
        <w:ind w:right="40"/>
        <w:spacing w:after="0" w:line="231" w:lineRule="auto"/>
        <w:rPr>
          <w:sz w:val="20"/>
          <w:szCs w:val="20"/>
          <w:color w:val="auto"/>
        </w:rPr>
      </w:pPr>
      <w:r>
        <w:rPr>
          <w:rFonts w:ascii="Arial" w:cs="Arial" w:eastAsia="Arial" w:hAnsi="Arial"/>
          <w:sz w:val="21"/>
          <w:szCs w:val="21"/>
          <w:color w:val="auto"/>
        </w:rPr>
        <w:t>The shares issued and sold to the Investor pursuant to the Private Placement were to be priced at the lower of (1) $34.62, which represents a 4.5% discount to the trailing 20 consecutive trading day volume weighted average price of the Common Stock ending on, and including, March 28, 2019, and (2) the volume weighted average price per share in the Company’s subsequent public offering of Common Stock to fund a portion of the Peoples Gas Acquisition. Based on the common stock offering noted below, the Private Placement was priced at $34.62 per share.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6" w:name="page17"/>
    <w:bookmarkEnd w:id="1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28" w:lineRule="auto"/>
        <w:rPr>
          <w:sz w:val="20"/>
          <w:szCs w:val="20"/>
          <w:color w:val="auto"/>
        </w:rPr>
      </w:pPr>
      <w:r>
        <w:rPr>
          <w:rFonts w:ascii="Arial" w:cs="Arial" w:eastAsia="Arial" w:hAnsi="Arial"/>
          <w:sz w:val="22"/>
          <w:szCs w:val="22"/>
          <w:color w:val="auto"/>
        </w:rPr>
        <w:t>The closing of the Private Placement is expected to occur concurrently with the closing of the Peoples Gas Acquisition, subject to certain closing conditions, including the closing of the Peoples Gas Acquisition, and the execution and delivery of a shareholder agreement between the Investor and the Company. The Investor has agreed to certain transfer restrictions for a period of 15 months from the closing date of the Peoples Gas Acquisition.</w:t>
      </w:r>
    </w:p>
    <w:p>
      <w:pPr>
        <w:spacing w:after="0" w:line="187"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color w:val="auto"/>
        </w:rPr>
        <w:t>The Stock Purchase Agreement contains customary representations, warranties and covenants of the Company and the Investor, and the parties have agreed to indemnify each other for losses related to breaches of their respective representations and warranties. Upon closing of the Private Placement, the Company has agreed to reimburse the Investor for reasonable out-of-pocket diligence expenses of up to $4,000, subject to certain exceptions.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 / Tangible Equity Unit Issuances</w:t>
      </w:r>
    </w:p>
    <w:p>
      <w:pPr>
        <w:spacing w:after="0" w:line="206"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On April 23, 2019, the Company issued $1,293,750, less expenses of $30,651, of its common stock and $690,000, less expenses of $16,358, of its tangible equity units (the “Units”), with a stated amount of $50 per unit. These issuances were part of the permanent financing to close the planned Peoples Gas Acquisition. The common stock was issued at $34.62 per share and thus the Private Placement noted above was priced at $34.62 per share.</w:t>
      </w:r>
    </w:p>
    <w:p>
      <w:pPr>
        <w:spacing w:after="0" w:line="187" w:lineRule="exact"/>
        <w:rPr>
          <w:sz w:val="20"/>
          <w:szCs w:val="20"/>
          <w:color w:val="auto"/>
        </w:rPr>
      </w:pPr>
    </w:p>
    <w:p>
      <w:pPr>
        <w:ind w:right="80"/>
        <w:spacing w:after="0" w:line="232" w:lineRule="auto"/>
        <w:rPr>
          <w:sz w:val="20"/>
          <w:szCs w:val="20"/>
          <w:color w:val="auto"/>
        </w:rPr>
      </w:pPr>
      <w:r>
        <w:rPr>
          <w:rFonts w:ascii="Arial" w:cs="Arial" w:eastAsia="Arial" w:hAnsi="Arial"/>
          <w:sz w:val="21"/>
          <w:szCs w:val="21"/>
          <w:color w:val="auto"/>
        </w:rPr>
        <w:t>Each Unit consists of a prepaid stock purchase contract and an amortizing note due April 30, 2022, each issued by the Company. Unless earlier settled or redeemed, each stock purchase contract will automatically settle on April 30, 2022 (subject to postponement in limited circumstances) for between 1.1790 and 1.4442 shares of the Company’s common stock, subject to adjustment, based upon the applicable market value of the common stock, as described in the final prospectus supplement relating to the Units. During the third quarter of 2019, 25,000 stock purchase contracts were early settled by the holders of the contracts, resulting in the issuance of 29,484 shares of the Company’s common stock. The amortizing notes have an initial principal amount of $8.62909, or $119,081 in aggregate, and bear interest at a rate of 3.00% per year, and pay equal quarterly cash installments of $0.75000 per amortizing note (except for the July 30, 2019 installment payment, which was $0.80833 per amortizing note), that will constitute a payment of interest and a partial repayment of principal, and which cash payment in the aggregate will be equivalent to 6.00% per year with respect to each $50 stated amount of the Units. The amortizing notes represent unsecured senior obligations of the Company.</w:t>
      </w:r>
    </w:p>
    <w:p>
      <w:pPr>
        <w:spacing w:after="0" w:line="187" w:lineRule="exact"/>
        <w:rPr>
          <w:sz w:val="20"/>
          <w:szCs w:val="20"/>
          <w:color w:val="auto"/>
        </w:rPr>
      </w:pPr>
    </w:p>
    <w:p>
      <w:pPr>
        <w:ind w:right="80"/>
        <w:spacing w:after="0" w:line="237" w:lineRule="auto"/>
        <w:rPr>
          <w:sz w:val="20"/>
          <w:szCs w:val="20"/>
          <w:color w:val="auto"/>
        </w:rPr>
      </w:pPr>
      <w:r>
        <w:rPr>
          <w:rFonts w:ascii="Arial" w:cs="Arial" w:eastAsia="Arial" w:hAnsi="Arial"/>
          <w:sz w:val="21"/>
          <w:szCs w:val="21"/>
          <w:color w:val="auto"/>
        </w:rPr>
        <w:t>The issuance of the common stock and the Units (including the component stock purchase contracts and amortizing notes) were separate public issuances made by means of separate prospectus supplements pursuant to the Company’s universal “pay as you go” shelf registration statement, filed with the SEC in February 2018, which allows for the potential future offer and sale by us, from time to time, in one or more public offerings, of an indeterminate amount of the Company’s common stock, preferred stock, debt securities, and other securities specified therein at indeterminate prices.</w:t>
      </w:r>
    </w:p>
    <w:p>
      <w:pPr>
        <w:spacing w:after="0" w:line="185" w:lineRule="exact"/>
        <w:rPr>
          <w:sz w:val="20"/>
          <w:szCs w:val="20"/>
          <w:color w:val="auto"/>
        </w:rPr>
      </w:pPr>
    </w:p>
    <w:p>
      <w:pPr>
        <w:ind w:right="200"/>
        <w:spacing w:after="0" w:line="258" w:lineRule="auto"/>
        <w:rPr>
          <w:sz w:val="20"/>
          <w:szCs w:val="20"/>
          <w:color w:val="auto"/>
        </w:rPr>
      </w:pPr>
      <w:r>
        <w:rPr>
          <w:rFonts w:ascii="Arial" w:cs="Arial" w:eastAsia="Arial" w:hAnsi="Arial"/>
          <w:sz w:val="19"/>
          <w:szCs w:val="19"/>
          <w:color w:val="auto"/>
        </w:rPr>
        <w:t>The Company recorded the issuance of the purchase contract portion of the Units as additional paid-in-capital of $570,919, less allocable issuance costs of $13,530, in our financial statements. The Company recorded the amortizing notes portion of the Units of $119,081 as long-term debt and recorded allocable issuance costs of $2,828 as debt issuance costs.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7" w:name="page18"/>
    <w:bookmarkEnd w:id="1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280" w:right="246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Debt</w:t>
      </w:r>
    </w:p>
    <w:p>
      <w:pPr>
        <w:spacing w:after="0" w:line="206" w:lineRule="exact"/>
        <w:rPr>
          <w:sz w:val="20"/>
          <w:szCs w:val="20"/>
          <w:color w:val="auto"/>
        </w:rPr>
      </w:pPr>
    </w:p>
    <w:p>
      <w:pPr>
        <w:ind w:right="640"/>
        <w:spacing w:after="0" w:line="313" w:lineRule="auto"/>
        <w:rPr>
          <w:sz w:val="20"/>
          <w:szCs w:val="20"/>
          <w:color w:val="auto"/>
        </w:rPr>
      </w:pPr>
      <w:r>
        <w:rPr>
          <w:rFonts w:ascii="Arial" w:cs="Arial" w:eastAsia="Arial" w:hAnsi="Arial"/>
          <w:sz w:val="19"/>
          <w:szCs w:val="19"/>
          <w:color w:val="auto"/>
        </w:rPr>
        <w:t>On April 26, 2019, the Company issued $900,000 of long-term debt (the “Senior Notes”), less expenses of $7,931, of which $400,000 is due in 2029, and $500,000 is due in 2049 with interest rates of 3.566% and 4.276%, respectively.</w:t>
      </w:r>
    </w:p>
    <w:p>
      <w:pPr>
        <w:spacing w:after="0" w:line="119" w:lineRule="exact"/>
        <w:rPr>
          <w:sz w:val="20"/>
          <w:szCs w:val="20"/>
          <w:color w:val="auto"/>
        </w:rPr>
      </w:pPr>
    </w:p>
    <w:p>
      <w:pPr>
        <w:spacing w:after="0" w:line="234" w:lineRule="auto"/>
        <w:rPr>
          <w:sz w:val="20"/>
          <w:szCs w:val="20"/>
          <w:color w:val="auto"/>
        </w:rPr>
      </w:pPr>
      <w:r>
        <w:rPr>
          <w:rFonts w:ascii="Arial" w:cs="Arial" w:eastAsia="Arial" w:hAnsi="Arial"/>
          <w:sz w:val="21"/>
          <w:szCs w:val="21"/>
          <w:color w:val="auto"/>
        </w:rPr>
        <w:t>The issuance of the Senior Notes was not conditioned upon the consummation of the Peoples Gas Acquisition; however, if (1) the Peoples Gas Acquisition has not been consummated on or prior to April 22, 2020, (2) on or prior to the April 22, 2020 and prior to the consummation of the Peoples Gas Acquisition, the Acquisition Agreement is terminated or (3) prior to the consummation of the Peoples Gas Acquisition, the Company otherwise publicly announces that the acquisition will not be consummated, then the Company will be required to redeem all outstanding Senior Notes on a special mandatory redemption date at a special mandatory redemption price equal to 101% of the aggregate principal amount of the notes, plus accrued and unpaid interest thereon, if any, to, but excluding, the special mandatory redemption date.</w:t>
      </w:r>
    </w:p>
    <w:p>
      <w:pPr>
        <w:spacing w:after="0" w:line="189"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The Company used the net proceeds from the issuance of Senior Notes, together with the net proceeds from the common stock offering and tangible equity unit offering noted above, as well as the proceeds from the Private Placement of common stock noted above, to (1) secure funding for the planned Peoples Gas Acquisition, (2) complete the redemption of $313,500 aggregate principal amount of certain of the Company’s outstanding notes noted below, (3) pay related costs and expenses, and (4) for general corporate purposes. Upon consummation of the Private Placement, the permanent financing for the Peoples Gas Acquisition will be complete.</w:t>
      </w:r>
    </w:p>
    <w:p>
      <w:pPr>
        <w:spacing w:after="0" w:line="191" w:lineRule="exact"/>
        <w:rPr>
          <w:sz w:val="20"/>
          <w:szCs w:val="20"/>
          <w:color w:val="auto"/>
        </w:rPr>
      </w:pPr>
    </w:p>
    <w:p>
      <w:pPr>
        <w:jc w:val="both"/>
        <w:ind w:right="20"/>
        <w:spacing w:after="0" w:line="224" w:lineRule="auto"/>
        <w:rPr>
          <w:sz w:val="20"/>
          <w:szCs w:val="20"/>
          <w:color w:val="auto"/>
        </w:rPr>
      </w:pPr>
      <w:r>
        <w:rPr>
          <w:rFonts w:ascii="Arial" w:cs="Arial" w:eastAsia="Arial" w:hAnsi="Arial"/>
          <w:sz w:val="22"/>
          <w:szCs w:val="22"/>
          <w:color w:val="auto"/>
        </w:rPr>
        <w:t>On May 18, 2019, the Company redeemed $313,500 of the Company’s outstanding notes (the “Company Debt Refinancing”) that had maturities ranging from 2019-2037 and interest rates ranging from 3.57-5.83%. Additionally, the Company Debt Refinancing was subject to a make whole payment of $25,237, and $18,920 of this payment was expensed in the second quarter of 2019, and is presented in the consolidated statements of operations on the line item “loss on debt extinguishment.” The balance of the payment, or $6,317, was deferred, as a regulatory asset, as it represents an amount by which the Company expects to receive prospective rate recovery.</w:t>
      </w:r>
    </w:p>
    <w:p>
      <w:pPr>
        <w:spacing w:after="0" w:line="191" w:lineRule="exact"/>
        <w:rPr>
          <w:sz w:val="20"/>
          <w:szCs w:val="20"/>
          <w:color w:val="auto"/>
        </w:rPr>
      </w:pPr>
    </w:p>
    <w:p>
      <w:pPr>
        <w:ind w:right="60"/>
        <w:spacing w:after="0" w:line="239" w:lineRule="auto"/>
        <w:rPr>
          <w:sz w:val="20"/>
          <w:szCs w:val="20"/>
          <w:color w:val="auto"/>
        </w:rPr>
      </w:pPr>
      <w:r>
        <w:rPr>
          <w:rFonts w:ascii="Arial" w:cs="Arial" w:eastAsia="Arial" w:hAnsi="Arial"/>
          <w:sz w:val="21"/>
          <w:szCs w:val="21"/>
          <w:color w:val="auto"/>
        </w:rPr>
        <w:t>If for any reason the Peoples Gas Acquisition is not consummated, the Company intends to use the net proceeds from the offerings of common stock, tangible equity units, and Senior Notes, after the special mandatory redemption noted above, for general corporate purposes, which may include the redemption of certain of the Company’s outstanding notes, repurchases of the Company’s common stock, debt repayment, capital expenditures, and investments.</w:t>
      </w:r>
    </w:p>
    <w:p>
      <w:pPr>
        <w:spacing w:after="0" w:line="186" w:lineRule="exact"/>
        <w:rPr>
          <w:sz w:val="20"/>
          <w:szCs w:val="20"/>
          <w:color w:val="auto"/>
        </w:rPr>
      </w:pPr>
    </w:p>
    <w:p>
      <w:pPr>
        <w:ind w:right="20"/>
        <w:spacing w:after="0" w:line="237" w:lineRule="auto"/>
        <w:rPr>
          <w:sz w:val="20"/>
          <w:szCs w:val="20"/>
          <w:color w:val="auto"/>
        </w:rPr>
      </w:pPr>
      <w:r>
        <w:rPr>
          <w:rFonts w:ascii="Arial" w:cs="Arial" w:eastAsia="Arial" w:hAnsi="Arial"/>
          <w:sz w:val="21"/>
          <w:szCs w:val="21"/>
          <w:color w:val="auto"/>
        </w:rPr>
        <w:t>In May 2019, Aqua Pennsylvania issued $125,000 of first mortgage bonds, of which $75,000 is due in 2049, $25,000 is due in 2054, and $25,000 is due in 2059 with interest rates of 4.02%, 4.07%, and 4.12%, respectively. The proceeds from these bonds were used to repay existing indebtedness and for general corporate purposes. Additionally, in September 2019, Aqua Pennsylvania issued $175,000 of first mortgage bonds, of which $50,000 is due in 2054, $75,000 is due in 2058, and $50,000 is due in 2059 with interest rates of 4.09%, 4.13%, and 4.14%, respectively.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3" w:right="279" w:bottom="1440" w:gutter="0" w:footer="0" w:header="0"/>
        </w:sectPr>
      </w:pPr>
    </w:p>
    <w:bookmarkStart w:id="18" w:name="page19"/>
    <w:bookmarkEnd w:id="1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260" w:right="248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Interest Rate Swap Agreements</w:t>
      </w:r>
    </w:p>
    <w:p>
      <w:pPr>
        <w:spacing w:after="0" w:line="212" w:lineRule="exact"/>
        <w:rPr>
          <w:sz w:val="20"/>
          <w:szCs w:val="20"/>
          <w:color w:val="auto"/>
        </w:rPr>
      </w:pPr>
    </w:p>
    <w:p>
      <w:pPr>
        <w:ind w:right="180"/>
        <w:spacing w:after="0" w:line="237" w:lineRule="auto"/>
        <w:rPr>
          <w:sz w:val="20"/>
          <w:szCs w:val="20"/>
          <w:color w:val="auto"/>
        </w:rPr>
      </w:pPr>
      <w:r>
        <w:rPr>
          <w:rFonts w:ascii="Arial" w:cs="Arial" w:eastAsia="Arial" w:hAnsi="Arial"/>
          <w:sz w:val="21"/>
          <w:szCs w:val="21"/>
          <w:color w:val="auto"/>
        </w:rPr>
        <w:t>In October 2018, the Company entered into interest rate swap agreements to mitigate interest rate risk associated with an anticipated $850,000 of future debt issuances to fund a portion of the Peoples Gas Acquisition and refinance a portion of the Company’s borrowings. On April 24, 2019, the Company settled the interest rate swap agreements upon issuance of $900,000 of long-term debt to be used to finance a portion of the purchase price of the Peoples Gas Acquisition and redeem $313,500 of the Company’s existing debt. The settlement resulted in a payment by the Company of $83,520.</w:t>
      </w:r>
    </w:p>
    <w:p>
      <w:pPr>
        <w:spacing w:after="0" w:line="185" w:lineRule="exact"/>
        <w:rPr>
          <w:sz w:val="20"/>
          <w:szCs w:val="20"/>
          <w:color w:val="auto"/>
        </w:rPr>
      </w:pPr>
    </w:p>
    <w:p>
      <w:pPr>
        <w:ind w:right="20"/>
        <w:spacing w:after="0" w:line="226" w:lineRule="auto"/>
        <w:rPr>
          <w:sz w:val="20"/>
          <w:szCs w:val="20"/>
          <w:color w:val="auto"/>
        </w:rPr>
      </w:pPr>
      <w:r>
        <w:rPr>
          <w:rFonts w:ascii="Arial" w:cs="Arial" w:eastAsia="Arial" w:hAnsi="Arial"/>
          <w:sz w:val="22"/>
          <w:szCs w:val="22"/>
          <w:color w:val="auto"/>
        </w:rPr>
        <w:t>The interest rate swaps did not qualify for hedge accounting and any changes in the fair value of the swaps was included in our earnings. The interest rate swaps were classified as financial derivatives used for non-trading activities. Other than the interest rate swaps, the Company had no other derivative instruments. The Company recorded the fair value of the interest rate swaps by discounting the future net cash flows associated with the debt issuance and recognized either an asset or liability at the balance sheet date.</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provides a summary of the amounts recognized in earnings for our interest rate swap agreements:</w:t>
      </w:r>
    </w:p>
    <w:p>
      <w:pPr>
        <w:sectPr>
          <w:pgSz w:w="11900" w:h="16838" w:orient="portrait"/>
          <w:cols w:equalWidth="0" w:num="1">
            <w:col w:w="11420"/>
          </w:cols>
          <w:pgMar w:left="240" w:top="1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2680"/>
        <w:spacing w:after="0"/>
        <w:rPr>
          <w:sz w:val="20"/>
          <w:szCs w:val="20"/>
          <w:color w:val="auto"/>
        </w:rPr>
      </w:pPr>
      <w:r>
        <w:rPr>
          <w:rFonts w:ascii="Arial" w:cs="Arial" w:eastAsia="Arial" w:hAnsi="Arial"/>
          <w:sz w:val="15"/>
          <w:szCs w:val="15"/>
          <w:color w:val="auto"/>
        </w:rPr>
        <w:t>Location of Gain (Loss)</w:t>
      </w:r>
    </w:p>
    <w:p>
      <w:pPr>
        <w:jc w:val="center"/>
        <w:ind w:left="2680"/>
        <w:spacing w:after="0" w:line="216" w:lineRule="auto"/>
        <w:rPr>
          <w:sz w:val="20"/>
          <w:szCs w:val="20"/>
          <w:color w:val="auto"/>
        </w:rPr>
      </w:pPr>
      <w:r>
        <w:rPr>
          <w:rFonts w:ascii="Arial" w:cs="Arial" w:eastAsia="Arial" w:hAnsi="Arial"/>
          <w:sz w:val="16"/>
          <w:szCs w:val="16"/>
          <w:color w:val="auto"/>
        </w:rPr>
        <w:t>Recognized</w:t>
      </w:r>
    </w:p>
    <w:p>
      <w:pPr>
        <w:ind w:right="1760"/>
        <w:spacing w:after="0" w:line="231" w:lineRule="auto"/>
        <w:rPr>
          <w:sz w:val="20"/>
          <w:szCs w:val="20"/>
          <w:color w:val="auto"/>
        </w:rPr>
      </w:pPr>
      <w:r>
        <w:rPr>
          <w:rFonts w:ascii="Arial" w:cs="Arial" w:eastAsia="Arial" w:hAnsi="Arial"/>
          <w:sz w:val="16"/>
          <w:szCs w:val="16"/>
          <w:color w:val="auto"/>
        </w:rPr>
        <w:t>Derivatives not designated as hedging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-218440</wp:posOffset>
            </wp:positionV>
            <wp:extent cx="1260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120"/>
        <w:spacing w:after="0"/>
        <w:tabs>
          <w:tab w:leader="none" w:pos="2480" w:val="left"/>
        </w:tabs>
        <w:rPr>
          <w:sz w:val="20"/>
          <w:szCs w:val="20"/>
          <w:color w:val="auto"/>
        </w:rPr>
      </w:pPr>
      <w:r>
        <w:rPr>
          <w:rFonts w:ascii="Arial" w:cs="Arial" w:eastAsia="Arial" w:hAnsi="Arial"/>
          <w:sz w:val="16"/>
          <w:szCs w:val="16"/>
          <w:color w:val="auto"/>
        </w:rPr>
        <w:t>Interest rate swaps</w:t>
      </w:r>
      <w:r>
        <w:rPr>
          <w:sz w:val="20"/>
          <w:szCs w:val="20"/>
          <w:color w:val="auto"/>
        </w:rPr>
        <w:tab/>
      </w:r>
      <w:r>
        <w:rPr>
          <w:rFonts w:ascii="Arial" w:cs="Arial" w:eastAsia="Arial" w:hAnsi="Arial"/>
          <w:sz w:val="14"/>
          <w:szCs w:val="14"/>
          <w:color w:val="auto"/>
        </w:rPr>
        <w:t>Other income (expense)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Amount of Gain (Loss) Recognized in Income</w:t>
      </w:r>
    </w:p>
    <w:p>
      <w:pPr>
        <w:jc w:val="center"/>
        <w:spacing w:after="0" w:line="233" w:lineRule="auto"/>
        <w:rPr>
          <w:sz w:val="20"/>
          <w:szCs w:val="20"/>
          <w:color w:val="auto"/>
        </w:rPr>
      </w:pPr>
      <w:r>
        <w:rPr>
          <w:rFonts w:ascii="Arial" w:cs="Arial" w:eastAsia="Arial" w:hAnsi="Arial"/>
          <w:sz w:val="16"/>
          <w:szCs w:val="16"/>
          <w:color w:val="auto"/>
        </w:rPr>
        <w:t>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2040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6"/>
          <w:szCs w:val="16"/>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040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207010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2040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23" w:lineRule="exact"/>
        <w:rPr>
          <w:sz w:val="20"/>
          <w:szCs w:val="20"/>
          <w:color w:val="auto"/>
        </w:rPr>
      </w:pPr>
    </w:p>
    <w:p>
      <w:pPr>
        <w:spacing w:after="0"/>
        <w:tabs>
          <w:tab w:leader="none" w:pos="31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040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spacing w:after="0" w:line="229" w:lineRule="auto"/>
        <w:rPr>
          <w:sz w:val="20"/>
          <w:szCs w:val="20"/>
          <w:color w:val="auto"/>
        </w:rPr>
      </w:pPr>
      <w:r>
        <w:rPr>
          <w:rFonts w:ascii="Arial" w:cs="Arial" w:eastAsia="Arial" w:hAnsi="Arial"/>
          <w:sz w:val="16"/>
          <w:szCs w:val="16"/>
          <w:color w:val="auto"/>
        </w:rPr>
        <w:t>Amount of Gain (Loss) Recognized in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2049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6"/>
          <w:szCs w:val="16"/>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049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2049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60" w:type="dxa"/>
            <w:vAlign w:val="bottom"/>
            <w:tcBorders>
              <w:bottom w:val="single" w:sz="8" w:color="auto"/>
            </w:tcBorders>
          </w:tcPr>
          <w:p>
            <w:pPr>
              <w:jc w:val="right"/>
              <w:ind w:right="1204"/>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(23,742)</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240" w:space="420"/>
            <w:col w:w="3220" w:space="320"/>
            <w:col w:w="3220"/>
          </w:cols>
          <w:pgMar w:left="240" w:top="113" w:right="239" w:bottom="1440" w:gutter="0" w:footer="0" w:header="0"/>
          <w:type w:val="continuous"/>
        </w:sect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Financial Instruments</w:t>
      </w:r>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21"/>
          <w:szCs w:val="21"/>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85" w:lineRule="exact"/>
        <w:rPr>
          <w:sz w:val="20"/>
          <w:szCs w:val="20"/>
          <w:color w:val="auto"/>
        </w:rPr>
      </w:pPr>
    </w:p>
    <w:p>
      <w:pPr>
        <w:ind w:left="660" w:right="420"/>
        <w:spacing w:after="0" w:line="239" w:lineRule="auto"/>
        <w:rPr>
          <w:sz w:val="20"/>
          <w:szCs w:val="20"/>
          <w:color w:val="auto"/>
        </w:rPr>
      </w:pPr>
      <w:r>
        <w:rPr>
          <w:rFonts w:ascii="Arial" w:cs="Arial" w:eastAsia="Arial" w:hAnsi="Arial"/>
          <w:sz w:val="22"/>
          <w:szCs w:val="22"/>
          <w:color w:val="auto"/>
        </w:rPr>
        <w:t>Level 1: unadjusted quoted prices in active markets for identical assets or liabilities that the Company has the ability to access;</w:t>
      </w:r>
    </w:p>
    <w:p>
      <w:pPr>
        <w:spacing w:after="0" w:line="63" w:lineRule="exact"/>
        <w:rPr>
          <w:sz w:val="20"/>
          <w:szCs w:val="20"/>
          <w:color w:val="auto"/>
        </w:rPr>
      </w:pPr>
    </w:p>
    <w:p>
      <w:pPr>
        <w:ind w:left="660" w:right="40"/>
        <w:spacing w:after="0" w:line="222" w:lineRule="auto"/>
        <w:rPr>
          <w:sz w:val="20"/>
          <w:szCs w:val="20"/>
          <w:color w:val="auto"/>
        </w:rPr>
      </w:pPr>
      <w:r>
        <w:rPr>
          <w:rFonts w:ascii="Arial" w:cs="Arial" w:eastAsia="Arial" w:hAnsi="Arial"/>
          <w:sz w:val="22"/>
          <w:szCs w:val="22"/>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ind w:left="660"/>
        <w:spacing w:after="0"/>
        <w:rPr>
          <w:sz w:val="20"/>
          <w:szCs w:val="20"/>
          <w:color w:val="auto"/>
        </w:rPr>
      </w:pPr>
      <w:r>
        <w:rPr>
          <w:rFonts w:ascii="Arial" w:cs="Arial" w:eastAsia="Arial" w:hAnsi="Arial"/>
          <w:sz w:val="22"/>
          <w:szCs w:val="22"/>
          <w:color w:val="auto"/>
        </w:rPr>
        <w:t>Level 3: inputs that are unobservable and significant to the fair value measurement.</w:t>
      </w:r>
    </w:p>
    <w:p>
      <w:pPr>
        <w:spacing w:after="0" w:line="1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type w:val="continuous"/>
        </w:sectPr>
      </w:pPr>
    </w:p>
    <w:bookmarkStart w:id="19" w:name="page20"/>
    <w:bookmarkEnd w:id="1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September 30, 2019.</w:t>
      </w:r>
    </w:p>
    <w:p>
      <w:pPr>
        <w:spacing w:after="0" w:line="15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185"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The fair value of loans payable is determined based on its carrying amount and utilizing Level 1 methods and assumptions. As of September 30, 2019 and December 31, 2018, the carrying amount of the Company’s loans payable was $10,000 and $15,449, respectively, which equates to their estimated fair value. The fair value of the interest rate swap agreements was determined by discounting the future net cash flows utilizing level 2 methods and assumptions. As of December 31, 2018, the fair value of the Company’s interest rate swap agreements, which were settled in April 2019, represented a liability of $59,779. The fair value of cash and cash equivalents, which is comprised of uninvested cash and the proceeds from the April 2019 issuances of common stock, tangible equity units, and long-term debt for the planned Peoples Gas Acquisition, which are held in an interest-bearing account, is determined based on Level 1 methods and assumptions. As of September 30, 2019, and December 31, 2018, the carrying amounts of the Company's cash and cash equivalents was $2,030,568 and $3,627,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September 30, 2019, and December 31, 2018, the carrying amount of these securities was $22,617 and $20,388, respectively, which equates to their fair value, and is reported in the consolidated balance sheet in deferred charges and other assets.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Unrealized gain and losses on equity securities held in conjunction with our non-qualified pension plan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5"/>
          </w:tcPr>
          <w:p>
            <w:pPr>
              <w:jc w:val="center"/>
              <w:ind w:left="154"/>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4"/>
          </w:tcPr>
          <w:p>
            <w:pPr>
              <w:jc w:val="right"/>
              <w:ind w:right="110"/>
              <w:spacing w:after="0"/>
              <w:rPr>
                <w:sz w:val="20"/>
                <w:szCs w:val="20"/>
                <w:color w:val="auto"/>
              </w:rPr>
            </w:pPr>
            <w:r>
              <w:rPr>
                <w:rFonts w:ascii="Arial" w:cs="Arial" w:eastAsia="Arial" w:hAnsi="Arial"/>
                <w:sz w:val="18"/>
                <w:szCs w:val="18"/>
                <w:color w:val="auto"/>
                <w:w w:val="94"/>
              </w:rPr>
              <w:t>Nine Months Ended</w:t>
            </w:r>
          </w:p>
        </w:tc>
        <w:tc>
          <w:tcPr>
            <w:tcW w:w="0" w:type="dxa"/>
            <w:vAlign w:val="bottom"/>
          </w:tcPr>
          <w:p>
            <w:pPr>
              <w:spacing w:after="0"/>
              <w:rPr>
                <w:sz w:val="1"/>
                <w:szCs w:val="1"/>
                <w:color w:val="auto"/>
              </w:rPr>
            </w:pPr>
          </w:p>
        </w:tc>
      </w:tr>
      <w:tr>
        <w:trPr>
          <w:trHeight w:val="217"/>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Borders>
              <w:bottom w:val="single" w:sz="8" w:color="auto"/>
            </w:tcBorders>
            <w:gridSpan w:val="5"/>
          </w:tcPr>
          <w:p>
            <w:pPr>
              <w:jc w:val="center"/>
              <w:ind w:left="154"/>
              <w:spacing w:after="0"/>
              <w:rPr>
                <w:sz w:val="20"/>
                <w:szCs w:val="20"/>
                <w:color w:val="auto"/>
              </w:rPr>
            </w:pPr>
            <w:r>
              <w:rPr>
                <w:rFonts w:ascii="Arial" w:cs="Arial" w:eastAsia="Arial" w:hAnsi="Arial"/>
                <w:sz w:val="18"/>
                <w:szCs w:val="18"/>
                <w:color w:val="auto"/>
                <w:w w:val="88"/>
              </w:rPr>
              <w:t>September 30,</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183"/>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4"/>
              <w:spacing w:after="0" w:line="182" w:lineRule="exact"/>
              <w:rPr>
                <w:sz w:val="20"/>
                <w:szCs w:val="20"/>
                <w:color w:val="auto"/>
              </w:rPr>
            </w:pPr>
            <w:r>
              <w:rPr>
                <w:rFonts w:ascii="Arial" w:cs="Arial" w:eastAsia="Arial" w:hAnsi="Arial"/>
                <w:sz w:val="18"/>
                <w:szCs w:val="18"/>
                <w:color w:val="auto"/>
              </w:rPr>
              <w:t>2019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2018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90"/>
              <w:spacing w:after="0" w:line="182" w:lineRule="exact"/>
              <w:rPr>
                <w:sz w:val="20"/>
                <w:szCs w:val="20"/>
                <w:color w:val="auto"/>
              </w:rPr>
            </w:pPr>
            <w:r>
              <w:rPr>
                <w:rFonts w:ascii="Arial" w:cs="Arial" w:eastAsia="Arial" w:hAnsi="Arial"/>
                <w:sz w:val="18"/>
                <w:szCs w:val="18"/>
                <w:color w:val="auto"/>
              </w:rPr>
              <w:t>2019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183"/>
        </w:trPr>
        <w:tc>
          <w:tcPr>
            <w:tcW w:w="6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gain (loss) recognized during the period on equity securities</w:t>
            </w: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center"/>
              <w:ind w:left="90"/>
              <w:spacing w:after="0" w:line="182" w:lineRule="exact"/>
              <w:rPr>
                <w:sz w:val="20"/>
                <w:szCs w:val="20"/>
                <w:color w:val="auto"/>
              </w:rPr>
            </w:pPr>
            <w:r>
              <w:rPr>
                <w:rFonts w:ascii="Arial" w:cs="Arial" w:eastAsia="Arial" w:hAnsi="Arial"/>
                <w:sz w:val="18"/>
                <w:szCs w:val="18"/>
                <w:color w:val="auto"/>
                <w:w w:val="79"/>
              </w:rPr>
              <w:t>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62</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195</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9"/>
        </w:trPr>
        <w:tc>
          <w:tcPr>
            <w:tcW w:w="69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w w:val="94"/>
              </w:rPr>
              <w:t>Less: net gain / loss recognized during the period on equity securities sold during the period</w:t>
            </w:r>
          </w:p>
        </w:tc>
        <w:tc>
          <w:tcPr>
            <w:tcW w:w="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1"/>
        </w:trPr>
        <w:tc>
          <w:tcPr>
            <w:tcW w:w="690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Unrealized gain (loss) recognized during the reporting period on equity securities still held at</w:t>
            </w:r>
          </w:p>
        </w:tc>
        <w:tc>
          <w:tcPr>
            <w:tcW w:w="1080" w:type="dxa"/>
            <w:vAlign w:val="bottom"/>
            <w:gridSpan w:val="2"/>
            <w:vMerge w:val="restart"/>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465"/>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62</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the reporting date</w:t>
            </w:r>
          </w:p>
        </w:tc>
        <w:tc>
          <w:tcPr>
            <w:tcW w:w="108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0" w:name="page21"/>
    <w:bookmarkEnd w:id="2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The net gain recognized on equity securities is presented on the consolidated statements of operations on the line item “Other.”</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860" w:type="dxa"/>
            <w:vAlign w:val="bottom"/>
          </w:tcPr>
          <w:p>
            <w:pPr>
              <w:spacing w:after="0"/>
              <w:rPr>
                <w:sz w:val="23"/>
                <w:szCs w:val="23"/>
                <w:color w:val="auto"/>
              </w:rPr>
            </w:pPr>
          </w:p>
        </w:tc>
        <w:tc>
          <w:tcPr>
            <w:tcW w:w="2180" w:type="dxa"/>
            <w:vAlign w:val="bottom"/>
          </w:tcPr>
          <w:p>
            <w:pPr>
              <w:jc w:val="center"/>
              <w:ind w:left="832"/>
              <w:spacing w:after="0"/>
              <w:rPr>
                <w:sz w:val="20"/>
                <w:szCs w:val="20"/>
                <w:color w:val="auto"/>
              </w:rPr>
            </w:pPr>
            <w:r>
              <w:rPr>
                <w:rFonts w:ascii="Arial" w:cs="Arial" w:eastAsia="Arial" w:hAnsi="Arial"/>
                <w:sz w:val="22"/>
                <w:szCs w:val="22"/>
                <w:color w:val="auto"/>
                <w:w w:val="85"/>
              </w:rPr>
              <w:t>September 30,</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40" w:type="dxa"/>
            <w:vAlign w:val="bottom"/>
          </w:tcPr>
          <w:p>
            <w:pPr>
              <w:jc w:val="right"/>
              <w:ind w:right="812"/>
              <w:spacing w:after="0"/>
              <w:rPr>
                <w:sz w:val="20"/>
                <w:szCs w:val="20"/>
                <w:color w:val="auto"/>
              </w:rPr>
            </w:pPr>
            <w:r>
              <w:rPr>
                <w:rFonts w:ascii="Arial" w:cs="Arial" w:eastAsia="Arial" w:hAnsi="Arial"/>
                <w:sz w:val="22"/>
                <w:szCs w:val="22"/>
                <w:color w:val="auto"/>
              </w:rPr>
              <w:t>December 31,</w:t>
            </w:r>
          </w:p>
        </w:tc>
      </w:tr>
      <w:tr>
        <w:trPr>
          <w:trHeight w:val="260"/>
        </w:trPr>
        <w:tc>
          <w:tcPr>
            <w:tcW w:w="486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rPr>
              <w:t>2019</w:t>
            </w: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1192"/>
              <w:spacing w:after="0"/>
              <w:rPr>
                <w:sz w:val="20"/>
                <w:szCs w:val="20"/>
                <w:color w:val="auto"/>
              </w:rPr>
            </w:pPr>
            <w:r>
              <w:rPr>
                <w:rFonts w:ascii="Arial" w:cs="Arial" w:eastAsia="Arial" w:hAnsi="Arial"/>
                <w:sz w:val="22"/>
                <w:szCs w:val="22"/>
                <w:color w:val="auto"/>
              </w:rPr>
              <w:t>2018</w:t>
            </w:r>
          </w:p>
        </w:tc>
      </w:tr>
      <w:tr>
        <w:trPr>
          <w:trHeight w:val="264"/>
        </w:trPr>
        <w:tc>
          <w:tcPr>
            <w:tcW w:w="4860" w:type="dxa"/>
            <w:vAlign w:val="bottom"/>
            <w:shd w:val="clear" w:color="auto" w:fill="CCEEFF"/>
          </w:tcPr>
          <w:p>
            <w:pPr>
              <w:spacing w:after="0"/>
              <w:rPr>
                <w:sz w:val="20"/>
                <w:szCs w:val="20"/>
                <w:color w:val="auto"/>
              </w:rPr>
            </w:pPr>
            <w:r>
              <w:rPr>
                <w:rFonts w:ascii="Arial" w:cs="Arial" w:eastAsia="Arial" w:hAnsi="Arial"/>
                <w:sz w:val="22"/>
                <w:szCs w:val="22"/>
                <w:color w:val="auto"/>
              </w:rPr>
              <w:t>Carrying amount</w:t>
            </w:r>
          </w:p>
        </w:tc>
        <w:tc>
          <w:tcPr>
            <w:tcW w:w="2180" w:type="dxa"/>
            <w:vAlign w:val="bottom"/>
            <w:shd w:val="clear" w:color="auto" w:fill="CCEEFF"/>
          </w:tcPr>
          <w:p>
            <w:pPr>
              <w:jc w:val="right"/>
              <w:ind w:right="1952"/>
              <w:spacing w:after="0"/>
              <w:rPr>
                <w:sz w:val="20"/>
                <w:szCs w:val="20"/>
                <w:color w:val="auto"/>
              </w:rPr>
            </w:pPr>
            <w:r>
              <w:rPr>
                <w:rFonts w:ascii="Arial" w:cs="Arial" w:eastAsia="Arial" w:hAnsi="Arial"/>
                <w:sz w:val="22"/>
                <w:szCs w:val="22"/>
                <w:color w:val="auto"/>
                <w:w w:val="8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7"/>
              </w:rPr>
              <w:t>3,112,021</w:t>
            </w: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w w:val="81"/>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2,563,660</w:t>
            </w:r>
          </w:p>
        </w:tc>
      </w:tr>
      <w:tr>
        <w:trPr>
          <w:trHeight w:val="307"/>
        </w:trPr>
        <w:tc>
          <w:tcPr>
            <w:tcW w:w="4860" w:type="dxa"/>
            <w:vAlign w:val="bottom"/>
          </w:tcPr>
          <w:p>
            <w:pPr>
              <w:spacing w:after="0"/>
              <w:rPr>
                <w:sz w:val="20"/>
                <w:szCs w:val="20"/>
                <w:color w:val="auto"/>
              </w:rPr>
            </w:pPr>
            <w:r>
              <w:rPr>
                <w:rFonts w:ascii="Arial" w:cs="Arial" w:eastAsia="Arial" w:hAnsi="Arial"/>
                <w:sz w:val="22"/>
                <w:szCs w:val="22"/>
                <w:color w:val="auto"/>
              </w:rPr>
              <w:t>Estimated fair value</w:t>
            </w:r>
          </w:p>
        </w:tc>
        <w:tc>
          <w:tcPr>
            <w:tcW w:w="2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w w:val="87"/>
              </w:rPr>
              <w:t>3,285,337</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22"/>
                <w:szCs w:val="22"/>
                <w:color w:val="auto"/>
              </w:rPr>
              <w:t>2,588,086</w:t>
            </w:r>
          </w:p>
        </w:tc>
      </w:tr>
    </w:tbl>
    <w:p>
      <w:pPr>
        <w:spacing w:after="0" w:line="198" w:lineRule="exact"/>
        <w:rPr>
          <w:sz w:val="20"/>
          <w:szCs w:val="20"/>
          <w:color w:val="auto"/>
        </w:rPr>
      </w:pPr>
    </w:p>
    <w:p>
      <w:pPr>
        <w:ind w:right="300"/>
        <w:spacing w:after="0" w:line="239" w:lineRule="auto"/>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85" w:lineRule="exact"/>
        <w:rPr>
          <w:sz w:val="20"/>
          <w:szCs w:val="20"/>
          <w:color w:val="auto"/>
        </w:rPr>
      </w:pPr>
    </w:p>
    <w:p>
      <w:pPr>
        <w:ind w:right="60"/>
        <w:spacing w:after="0" w:line="224" w:lineRule="auto"/>
        <w:rPr>
          <w:sz w:val="20"/>
          <w:szCs w:val="20"/>
          <w:color w:val="auto"/>
        </w:rPr>
      </w:pPr>
      <w:r>
        <w:rPr>
          <w:rFonts w:ascii="Arial" w:cs="Arial" w:eastAsia="Arial" w:hAnsi="Arial"/>
          <w:sz w:val="22"/>
          <w:szCs w:val="22"/>
          <w:color w:val="auto"/>
        </w:rPr>
        <w:t>The Company’s customers’ advances for construction have a carrying value of $104,393 as of September 30, 2019, and $93,343 as of December 31, 2018. Their relative fair values cannot be accurately estimated because future refund payments depend on several variables, including new customer connections, customer consumption levels, and future rates. Portions of these non-interest-bearing instruments are payable annually through 2029 and amounts not paid by the respective contract expiration dates become non-refundable. The fair value of these amounts would, however, be less than their carrying value due to the non-interest-bearing feature.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1" w:name="page22"/>
    <w:bookmarkEnd w:id="2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Net Income per Common Share</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and the minimum number of shares to be issued upon settlement of the stock purchase contracts issued under the tangible equity units. Diluted net income per common share is based on the weighted average number of common shares outstanding, potentially dilutive shares, and the expected number of shares to be issued upon settlement of the stock purchase contracts issued under the tangible equity units, based on the applicable market value of our common stock. The dilutive effect of employee stock-based compensation is included in the computation of diluted net income per common share. The dilutive effect of stock-based compensation is calculated using the treasury stock method and expected proceeds upon exercise or issuance of the stock-based compensation. The treasury stock method assumes that the proceeds from stock-based compensation are used to purchase the Company’s common stock at the average market price during the period. The following table summarizes the shares, in thousands, used in computing basic and diluted net income per common share: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Pr>
          <w:p>
            <w:pPr>
              <w:spacing w:after="0"/>
              <w:rPr>
                <w:sz w:val="21"/>
                <w:szCs w:val="21"/>
                <w:color w:val="auto"/>
              </w:rPr>
            </w:pPr>
          </w:p>
        </w:tc>
        <w:tc>
          <w:tcPr>
            <w:tcW w:w="2800" w:type="dxa"/>
            <w:vAlign w:val="bottom"/>
            <w:gridSpan w:val="4"/>
          </w:tcPr>
          <w:p>
            <w:pPr>
              <w:jc w:val="center"/>
              <w:ind w:right="220"/>
              <w:spacing w:after="0"/>
              <w:rPr>
                <w:sz w:val="20"/>
                <w:szCs w:val="20"/>
                <w:color w:val="auto"/>
              </w:rPr>
            </w:pPr>
            <w:r>
              <w:rPr>
                <w:rFonts w:ascii="Arial" w:cs="Arial" w:eastAsia="Arial" w:hAnsi="Arial"/>
                <w:sz w:val="22"/>
                <w:szCs w:val="22"/>
                <w:color w:val="auto"/>
                <w:w w:val="88"/>
              </w:rPr>
              <w:t>Three Months Ended</w:t>
            </w:r>
          </w:p>
        </w:tc>
        <w:tc>
          <w:tcPr>
            <w:tcW w:w="2500" w:type="dxa"/>
            <w:vAlign w:val="bottom"/>
            <w:gridSpan w:val="3"/>
          </w:tcPr>
          <w:p>
            <w:pPr>
              <w:jc w:val="right"/>
              <w:ind w:right="272"/>
              <w:spacing w:after="0"/>
              <w:rPr>
                <w:sz w:val="20"/>
                <w:szCs w:val="20"/>
                <w:color w:val="auto"/>
              </w:rPr>
            </w:pPr>
            <w:r>
              <w:rPr>
                <w:rFonts w:ascii="Arial" w:cs="Arial" w:eastAsia="Arial" w:hAnsi="Arial"/>
                <w:sz w:val="22"/>
                <w:szCs w:val="22"/>
                <w:color w:val="auto"/>
              </w:rPr>
              <w:t>Nine Months Ended</w:t>
            </w:r>
          </w:p>
        </w:tc>
        <w:tc>
          <w:tcPr>
            <w:tcW w:w="0" w:type="dxa"/>
            <w:vAlign w:val="bottom"/>
          </w:tcPr>
          <w:p>
            <w:pPr>
              <w:spacing w:after="0"/>
              <w:rPr>
                <w:sz w:val="1"/>
                <w:szCs w:val="1"/>
                <w:color w:val="auto"/>
              </w:rPr>
            </w:pPr>
          </w:p>
        </w:tc>
      </w:tr>
      <w:tr>
        <w:trPr>
          <w:trHeight w:val="251"/>
        </w:trPr>
        <w:tc>
          <w:tcPr>
            <w:tcW w:w="6120" w:type="dxa"/>
            <w:vAlign w:val="bottom"/>
          </w:tcPr>
          <w:p>
            <w:pPr>
              <w:spacing w:after="0"/>
              <w:rPr>
                <w:sz w:val="21"/>
                <w:szCs w:val="21"/>
                <w:color w:val="auto"/>
              </w:rPr>
            </w:pPr>
          </w:p>
        </w:tc>
        <w:tc>
          <w:tcPr>
            <w:tcW w:w="2800" w:type="dxa"/>
            <w:vAlign w:val="bottom"/>
            <w:gridSpan w:val="4"/>
          </w:tcPr>
          <w:p>
            <w:pPr>
              <w:jc w:val="center"/>
              <w:ind w:right="200"/>
              <w:spacing w:after="0" w:line="251" w:lineRule="exact"/>
              <w:rPr>
                <w:sz w:val="20"/>
                <w:szCs w:val="20"/>
                <w:color w:val="auto"/>
              </w:rPr>
            </w:pPr>
            <w:r>
              <w:rPr>
                <w:rFonts w:ascii="Arial" w:cs="Arial" w:eastAsia="Arial" w:hAnsi="Arial"/>
                <w:sz w:val="22"/>
                <w:szCs w:val="22"/>
                <w:color w:val="auto"/>
                <w:w w:val="85"/>
              </w:rPr>
              <w:t>September 30,</w:t>
            </w:r>
          </w:p>
        </w:tc>
        <w:tc>
          <w:tcPr>
            <w:tcW w:w="2500" w:type="dxa"/>
            <w:vAlign w:val="bottom"/>
            <w:gridSpan w:val="3"/>
          </w:tcPr>
          <w:p>
            <w:pPr>
              <w:jc w:val="right"/>
              <w:ind w:right="512"/>
              <w:spacing w:after="0" w:line="251" w:lineRule="exact"/>
              <w:rPr>
                <w:sz w:val="20"/>
                <w:szCs w:val="20"/>
                <w:color w:val="auto"/>
              </w:rPr>
            </w:pPr>
            <w:r>
              <w:rPr>
                <w:rFonts w:ascii="Arial" w:cs="Arial" w:eastAsia="Arial" w:hAnsi="Arial"/>
                <w:sz w:val="22"/>
                <w:szCs w:val="22"/>
                <w:color w:val="auto"/>
              </w:rPr>
              <w:t>September 30,</w:t>
            </w: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color w:val="auto"/>
              </w:rPr>
              <w:t>2019</w:t>
            </w:r>
          </w:p>
        </w:tc>
        <w:tc>
          <w:tcPr>
            <w:tcW w:w="200" w:type="dxa"/>
            <w:vAlign w:val="bottom"/>
            <w:tcBorders>
              <w:top w:val="single" w:sz="8" w:color="auto"/>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color w:val="auto"/>
              </w:rPr>
              <w:t>2018</w:t>
            </w:r>
          </w:p>
        </w:tc>
        <w:tc>
          <w:tcPr>
            <w:tcW w:w="20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22"/>
                <w:szCs w:val="22"/>
                <w:color w:val="auto"/>
              </w:rPr>
              <w:t>2019</w:t>
            </w:r>
          </w:p>
        </w:tc>
        <w:tc>
          <w:tcPr>
            <w:tcW w:w="20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188"/>
        </w:trPr>
        <w:tc>
          <w:tcPr>
            <w:tcW w:w="612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Average common shares outstanding during the period for basic</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1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computation</w:t>
            </w:r>
          </w:p>
        </w:tc>
        <w:tc>
          <w:tcPr>
            <w:tcW w:w="11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232,053</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177,923</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209,971</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177,876</w:t>
            </w:r>
          </w:p>
        </w:tc>
        <w:tc>
          <w:tcPr>
            <w:tcW w:w="0" w:type="dxa"/>
            <w:vAlign w:val="bottom"/>
          </w:tcPr>
          <w:p>
            <w:pPr>
              <w:spacing w:after="0"/>
              <w:rPr>
                <w:sz w:val="1"/>
                <w:szCs w:val="1"/>
                <w:color w:val="auto"/>
              </w:rPr>
            </w:pPr>
          </w:p>
        </w:tc>
      </w:tr>
      <w:tr>
        <w:trPr>
          <w:trHeight w:val="230"/>
        </w:trPr>
        <w:tc>
          <w:tcPr>
            <w:tcW w:w="6120" w:type="dxa"/>
            <w:vAlign w:val="bottom"/>
          </w:tcPr>
          <w:p>
            <w:pPr>
              <w:spacing w:after="0" w:line="229" w:lineRule="exact"/>
              <w:rPr>
                <w:sz w:val="20"/>
                <w:szCs w:val="20"/>
                <w:color w:val="auto"/>
              </w:rPr>
            </w:pPr>
            <w:r>
              <w:rPr>
                <w:rFonts w:ascii="Arial" w:cs="Arial" w:eastAsia="Arial" w:hAnsi="Arial"/>
                <w:sz w:val="22"/>
                <w:szCs w:val="22"/>
                <w:color w:val="auto"/>
              </w:rPr>
              <w:t>Dilutive effect of tangible equity units</w:t>
            </w: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Dilutive effect of employee stock-based compensation</w:t>
            </w:r>
          </w:p>
        </w:tc>
        <w:tc>
          <w:tcPr>
            <w:tcW w:w="11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411</w:t>
            </w:r>
          </w:p>
        </w:tc>
        <w:tc>
          <w:tcPr>
            <w:tcW w:w="2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434</w:t>
            </w:r>
          </w:p>
        </w:tc>
        <w:tc>
          <w:tcPr>
            <w:tcW w:w="2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364</w:t>
            </w: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471</w:t>
            </w:r>
          </w:p>
        </w:tc>
        <w:tc>
          <w:tcPr>
            <w:tcW w:w="0" w:type="dxa"/>
            <w:vAlign w:val="bottom"/>
          </w:tcPr>
          <w:p>
            <w:pPr>
              <w:spacing w:after="0"/>
              <w:rPr>
                <w:sz w:val="1"/>
                <w:szCs w:val="1"/>
                <w:color w:val="auto"/>
              </w:rPr>
            </w:pPr>
          </w:p>
        </w:tc>
      </w:tr>
      <w:tr>
        <w:trPr>
          <w:trHeight w:val="188"/>
        </w:trPr>
        <w:tc>
          <w:tcPr>
            <w:tcW w:w="6120" w:type="dxa"/>
            <w:vAlign w:val="bottom"/>
          </w:tcPr>
          <w:p>
            <w:pPr>
              <w:spacing w:after="0" w:line="188" w:lineRule="exact"/>
              <w:rPr>
                <w:sz w:val="20"/>
                <w:szCs w:val="20"/>
                <w:color w:val="auto"/>
              </w:rPr>
            </w:pPr>
            <w:r>
              <w:rPr>
                <w:rFonts w:ascii="Arial" w:cs="Arial" w:eastAsia="Arial" w:hAnsi="Arial"/>
                <w:sz w:val="21"/>
                <w:szCs w:val="21"/>
                <w:color w:val="auto"/>
              </w:rPr>
              <w:t>Average common shares outstanding during the period for diluted</w:t>
            </w:r>
          </w:p>
        </w:tc>
        <w:tc>
          <w:tcPr>
            <w:tcW w:w="1120" w:type="dxa"/>
            <w:vAlign w:val="bottom"/>
            <w:vMerge w:val="restart"/>
          </w:tcPr>
          <w:p>
            <w:pPr>
              <w:jc w:val="right"/>
              <w:spacing w:after="0"/>
              <w:rPr>
                <w:sz w:val="20"/>
                <w:szCs w:val="20"/>
                <w:color w:val="auto"/>
              </w:rPr>
            </w:pPr>
            <w:r>
              <w:rPr>
                <w:rFonts w:ascii="Arial" w:cs="Arial" w:eastAsia="Arial" w:hAnsi="Arial"/>
                <w:sz w:val="22"/>
                <w:szCs w:val="22"/>
                <w:color w:val="auto"/>
              </w:rPr>
              <w:t>232,464</w:t>
            </w:r>
          </w:p>
        </w:tc>
        <w:tc>
          <w:tcPr>
            <w:tcW w:w="2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178,357</w:t>
            </w:r>
          </w:p>
        </w:tc>
        <w:tc>
          <w:tcPr>
            <w:tcW w:w="2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210,335</w:t>
            </w:r>
          </w:p>
        </w:tc>
        <w:tc>
          <w:tcPr>
            <w:tcW w:w="2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22"/>
                <w:szCs w:val="22"/>
                <w:color w:val="auto"/>
              </w:rPr>
              <w:t>178,347</w:t>
            </w:r>
          </w:p>
        </w:tc>
        <w:tc>
          <w:tcPr>
            <w:tcW w:w="0" w:type="dxa"/>
            <w:vAlign w:val="bottom"/>
          </w:tcPr>
          <w:p>
            <w:pPr>
              <w:spacing w:after="0"/>
              <w:rPr>
                <w:sz w:val="1"/>
                <w:szCs w:val="1"/>
                <w:color w:val="auto"/>
              </w:rPr>
            </w:pPr>
          </w:p>
        </w:tc>
      </w:tr>
      <w:tr>
        <w:trPr>
          <w:trHeight w:val="243"/>
        </w:trPr>
        <w:tc>
          <w:tcPr>
            <w:tcW w:w="6120" w:type="dxa"/>
            <w:vAlign w:val="bottom"/>
          </w:tcPr>
          <w:p>
            <w:pPr>
              <w:spacing w:after="0" w:line="238" w:lineRule="exact"/>
              <w:rPr>
                <w:sz w:val="20"/>
                <w:szCs w:val="20"/>
                <w:color w:val="auto"/>
              </w:rPr>
            </w:pPr>
            <w:r>
              <w:rPr>
                <w:rFonts w:ascii="Arial" w:cs="Arial" w:eastAsia="Arial" w:hAnsi="Arial"/>
                <w:sz w:val="22"/>
                <w:szCs w:val="22"/>
                <w:color w:val="auto"/>
              </w:rPr>
              <w:t>computation</w:t>
            </w: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spacing w:after="0" w:line="235" w:lineRule="auto"/>
        <w:rPr>
          <w:sz w:val="20"/>
          <w:szCs w:val="20"/>
          <w:color w:val="auto"/>
        </w:rPr>
      </w:pPr>
      <w:r>
        <w:rPr>
          <w:rFonts w:ascii="Arial" w:cs="Arial" w:eastAsia="Arial" w:hAnsi="Arial"/>
          <w:sz w:val="21"/>
          <w:szCs w:val="21"/>
          <w:color w:val="auto"/>
        </w:rPr>
        <w:t>For the three months ended September 30, 2019 and 2018 and the nine months ended September 30, 2019, all of the Company’s employee stock options were included in the calculations of diluted net income per share as the calculated cost to exercise the stock options was less than the average market price of the Company’s common stock during these periods. For the nine months ended September 30, 2018, employee stock options to purchase 8,596 shares of common stock were excluded from the calculation of diluted net income per share as the calculated cost to exercise the stock options was greater than the average market price of the Company’s common stock during this period.</w:t>
      </w:r>
    </w:p>
    <w:p>
      <w:pPr>
        <w:spacing w:after="0" w:line="188" w:lineRule="exact"/>
        <w:rPr>
          <w:sz w:val="20"/>
          <w:szCs w:val="20"/>
          <w:color w:val="auto"/>
        </w:rPr>
      </w:pPr>
    </w:p>
    <w:p>
      <w:pPr>
        <w:ind w:right="420"/>
        <w:spacing w:after="0" w:line="228" w:lineRule="auto"/>
        <w:rPr>
          <w:sz w:val="20"/>
          <w:szCs w:val="20"/>
          <w:color w:val="auto"/>
        </w:rPr>
      </w:pPr>
      <w:r>
        <w:rPr>
          <w:rFonts w:ascii="Arial" w:cs="Arial" w:eastAsia="Arial" w:hAnsi="Arial"/>
          <w:sz w:val="22"/>
          <w:szCs w:val="22"/>
          <w:color w:val="auto"/>
        </w:rPr>
        <w:t>For the three and nine months ended September 30, 2019, the average common shares outstanding during the periods for basic computation includes the weighted-average impact of 16,258,855 and 9,591,309 shares, respectively, based on the minimum number of shares of 16,240,275 to be issued in April 2022 upon settlement of the stock purchase contracts issued in April 2019 under the tangible equity units.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Stock-based Compensation</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2" w:name="page23"/>
    <w:bookmarkEnd w:id="2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September 30, 2019, 2,652,740 shares were still available for issuance under the 2009 Plan. No further grants may be made under the Company’s 2004 Equity Compensation Plan.</w:t>
      </w:r>
    </w:p>
    <w:p>
      <w:pPr>
        <w:spacing w:after="0" w:line="173"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i w:val="1"/>
          <w:iCs w:val="1"/>
          <w:color w:val="auto"/>
        </w:rPr>
        <w:t xml:space="preserve">Performance Share Units </w:t>
      </w:r>
      <w:r>
        <w:rPr>
          <w:rFonts w:ascii="Arial" w:cs="Arial" w:eastAsia="Arial" w:hAnsi="Arial"/>
          <w:sz w:val="19"/>
          <w:szCs w:val="19"/>
          <w:color w:val="auto"/>
        </w:rPr>
        <w:t>– A performance share unit (“PSU”) represents the right to receive a share of the Company’s common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if specified performance goals are met over the three-year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860" w:type="dxa"/>
            <w:vAlign w:val="bottom"/>
          </w:tcPr>
          <w:p>
            <w:pPr>
              <w:spacing w:after="0"/>
              <w:rPr>
                <w:sz w:val="23"/>
                <w:szCs w:val="23"/>
                <w:color w:val="auto"/>
              </w:rPr>
            </w:pPr>
          </w:p>
        </w:tc>
        <w:tc>
          <w:tcPr>
            <w:tcW w:w="3460" w:type="dxa"/>
            <w:vAlign w:val="bottom"/>
            <w:gridSpan w:val="6"/>
          </w:tcPr>
          <w:p>
            <w:pPr>
              <w:jc w:val="center"/>
              <w:ind w:right="240"/>
              <w:spacing w:after="0"/>
              <w:rPr>
                <w:sz w:val="20"/>
                <w:szCs w:val="20"/>
                <w:color w:val="auto"/>
              </w:rPr>
            </w:pPr>
            <w:r>
              <w:rPr>
                <w:rFonts w:ascii="Arial" w:cs="Arial" w:eastAsia="Arial" w:hAnsi="Arial"/>
                <w:sz w:val="22"/>
                <w:szCs w:val="22"/>
                <w:color w:val="auto"/>
                <w:w w:val="88"/>
              </w:rPr>
              <w:t>Three Months Ended</w:t>
            </w:r>
          </w:p>
        </w:tc>
        <w:tc>
          <w:tcPr>
            <w:tcW w:w="300" w:type="dxa"/>
            <w:vAlign w:val="bottom"/>
          </w:tcPr>
          <w:p>
            <w:pPr>
              <w:spacing w:after="0"/>
              <w:rPr>
                <w:sz w:val="23"/>
                <w:szCs w:val="23"/>
                <w:color w:val="auto"/>
              </w:rPr>
            </w:pPr>
          </w:p>
        </w:tc>
        <w:tc>
          <w:tcPr>
            <w:tcW w:w="2800" w:type="dxa"/>
            <w:vAlign w:val="bottom"/>
            <w:gridSpan w:val="5"/>
          </w:tcPr>
          <w:p>
            <w:pPr>
              <w:jc w:val="right"/>
              <w:ind w:right="572"/>
              <w:spacing w:after="0"/>
              <w:rPr>
                <w:sz w:val="20"/>
                <w:szCs w:val="20"/>
                <w:color w:val="auto"/>
              </w:rPr>
            </w:pPr>
            <w:r>
              <w:rPr>
                <w:rFonts w:ascii="Arial" w:cs="Arial" w:eastAsia="Arial" w:hAnsi="Arial"/>
                <w:sz w:val="22"/>
                <w:szCs w:val="22"/>
                <w:color w:val="auto"/>
              </w:rPr>
              <w:t>Nine Months Ended</w:t>
            </w:r>
          </w:p>
        </w:tc>
      </w:tr>
      <w:tr>
        <w:trPr>
          <w:trHeight w:val="260"/>
        </w:trPr>
        <w:tc>
          <w:tcPr>
            <w:tcW w:w="486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5"/>
              </w:rPr>
              <w:t>September 30,</w:t>
            </w:r>
          </w:p>
        </w:tc>
        <w:tc>
          <w:tcPr>
            <w:tcW w:w="9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5"/>
          </w:tcPr>
          <w:p>
            <w:pPr>
              <w:jc w:val="right"/>
              <w:ind w:right="812"/>
              <w:spacing w:after="0"/>
              <w:rPr>
                <w:sz w:val="20"/>
                <w:szCs w:val="20"/>
                <w:color w:val="auto"/>
              </w:rPr>
            </w:pPr>
            <w:r>
              <w:rPr>
                <w:rFonts w:ascii="Arial" w:cs="Arial" w:eastAsia="Arial" w:hAnsi="Arial"/>
                <w:sz w:val="22"/>
                <w:szCs w:val="22"/>
                <w:color w:val="auto"/>
              </w:rPr>
              <w:t>September 30,</w:t>
            </w:r>
          </w:p>
        </w:tc>
      </w:tr>
      <w:tr>
        <w:trPr>
          <w:trHeight w:val="264"/>
        </w:trPr>
        <w:tc>
          <w:tcPr>
            <w:tcW w:w="48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w w:val="89"/>
              </w:rPr>
              <w:t>2018</w:t>
            </w: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2018</w:t>
            </w:r>
          </w:p>
        </w:tc>
      </w:tr>
      <w:tr>
        <w:trPr>
          <w:trHeight w:val="188"/>
        </w:trPr>
        <w:tc>
          <w:tcPr>
            <w:tcW w:w="486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51"/>
        </w:trPr>
        <w:tc>
          <w:tcPr>
            <w:tcW w:w="486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980" w:type="dxa"/>
            <w:vAlign w:val="bottom"/>
            <w:shd w:val="clear" w:color="auto" w:fill="CCEEFF"/>
          </w:tcPr>
          <w:p>
            <w:pPr>
              <w:jc w:val="right"/>
              <w:ind w:right="752"/>
              <w:spacing w:after="0" w:line="251" w:lineRule="exact"/>
              <w:rPr>
                <w:sz w:val="20"/>
                <w:szCs w:val="20"/>
                <w:color w:val="auto"/>
              </w:rPr>
            </w:pPr>
            <w:r>
              <w:rPr>
                <w:rFonts w:ascii="Arial" w:cs="Arial" w:eastAsia="Arial" w:hAnsi="Arial"/>
                <w:sz w:val="22"/>
                <w:szCs w:val="22"/>
                <w:color w:val="auto"/>
                <w:w w:val="81"/>
              </w:rPr>
              <w:t>$</w:t>
            </w:r>
          </w:p>
        </w:tc>
        <w:tc>
          <w:tcPr>
            <w:tcW w:w="5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584</w:t>
            </w:r>
          </w:p>
        </w:tc>
        <w:tc>
          <w:tcPr>
            <w:tcW w:w="740" w:type="dxa"/>
            <w:vAlign w:val="bottom"/>
            <w:gridSpan w:val="2"/>
            <w:shd w:val="clear" w:color="auto" w:fill="CCEEFF"/>
          </w:tcPr>
          <w:p>
            <w:pPr>
              <w:jc w:val="right"/>
              <w:ind w:right="400"/>
              <w:spacing w:after="0" w:line="251" w:lineRule="exact"/>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1,087</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9"/>
                <w:szCs w:val="19"/>
                <w:color w:val="auto"/>
                <w:w w:val="75"/>
              </w:rPr>
              <w:t>$</w:t>
            </w:r>
          </w:p>
        </w:tc>
        <w:tc>
          <w:tcPr>
            <w:tcW w:w="126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2,434</w:t>
            </w:r>
          </w:p>
        </w:tc>
        <w:tc>
          <w:tcPr>
            <w:tcW w:w="400" w:type="dxa"/>
            <w:vAlign w:val="bottom"/>
            <w:gridSpan w:val="2"/>
            <w:shd w:val="clear" w:color="auto" w:fill="CCEEFF"/>
          </w:tcPr>
          <w:p>
            <w:pPr>
              <w:jc w:val="right"/>
              <w:ind w:right="200"/>
              <w:spacing w:after="0" w:line="251" w:lineRule="exact"/>
              <w:rPr>
                <w:sz w:val="20"/>
                <w:szCs w:val="20"/>
                <w:color w:val="auto"/>
              </w:rPr>
            </w:pPr>
            <w:r>
              <w:rPr>
                <w:rFonts w:ascii="Arial" w:cs="Arial" w:eastAsia="Arial" w:hAnsi="Arial"/>
                <w:sz w:val="22"/>
                <w:szCs w:val="22"/>
                <w:color w:val="auto"/>
              </w:rPr>
              <w:t>$</w:t>
            </w:r>
          </w:p>
        </w:tc>
        <w:tc>
          <w:tcPr>
            <w:tcW w:w="11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3,286</w:t>
            </w:r>
          </w:p>
        </w:tc>
      </w:tr>
      <w:tr>
        <w:trPr>
          <w:trHeight w:val="307"/>
        </w:trPr>
        <w:tc>
          <w:tcPr>
            <w:tcW w:w="4860" w:type="dxa"/>
            <w:vAlign w:val="bottom"/>
          </w:tcPr>
          <w:p>
            <w:pPr>
              <w:spacing w:after="0"/>
              <w:rPr>
                <w:sz w:val="20"/>
                <w:szCs w:val="20"/>
                <w:color w:val="auto"/>
              </w:rPr>
            </w:pPr>
            <w:r>
              <w:rPr>
                <w:rFonts w:ascii="Arial" w:cs="Arial" w:eastAsia="Arial" w:hAnsi="Arial"/>
                <w:sz w:val="22"/>
                <w:szCs w:val="22"/>
                <w:color w:val="auto"/>
              </w:rPr>
              <w:t>Income tax benefit</w:t>
            </w:r>
          </w:p>
        </w:tc>
        <w:tc>
          <w:tcPr>
            <w:tcW w:w="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166</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303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rPr>
              <w:t>682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917</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PSU transactions for the nine months ended September 30,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112"/>
              <w:spacing w:after="0"/>
              <w:rPr>
                <w:sz w:val="20"/>
                <w:szCs w:val="20"/>
                <w:color w:val="auto"/>
              </w:rPr>
            </w:pPr>
            <w:r>
              <w:rPr>
                <w:rFonts w:ascii="Arial" w:cs="Arial" w:eastAsia="Arial" w:hAnsi="Arial"/>
                <w:sz w:val="22"/>
                <w:szCs w:val="22"/>
                <w:color w:val="auto"/>
                <w:w w:val="88"/>
              </w:rPr>
              <w:t>Weighted</w:t>
            </w:r>
          </w:p>
        </w:tc>
      </w:tr>
      <w:tr>
        <w:trPr>
          <w:trHeight w:val="230"/>
        </w:trPr>
        <w:tc>
          <w:tcPr>
            <w:tcW w:w="8180" w:type="dxa"/>
            <w:vAlign w:val="bottom"/>
          </w:tcPr>
          <w:p>
            <w:pPr>
              <w:spacing w:after="0"/>
              <w:rPr>
                <w:sz w:val="19"/>
                <w:szCs w:val="19"/>
                <w:color w:val="auto"/>
              </w:rPr>
            </w:pPr>
          </w:p>
        </w:tc>
        <w:tc>
          <w:tcPr>
            <w:tcW w:w="154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81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8"/>
              </w:rPr>
              <w:t>Share Units</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9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81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share units at beginning of period</w:t>
            </w:r>
          </w:p>
        </w:tc>
        <w:tc>
          <w:tcPr>
            <w:tcW w:w="15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443,410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9"/>
                <w:szCs w:val="19"/>
                <w:color w:val="auto"/>
                <w:w w:val="75"/>
              </w:rPr>
              <w:t>$</w:t>
            </w:r>
          </w:p>
        </w:tc>
        <w:tc>
          <w:tcPr>
            <w:tcW w:w="12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27.20</w:t>
            </w:r>
          </w:p>
        </w:tc>
      </w:tr>
      <w:tr>
        <w:trPr>
          <w:trHeight w:val="230"/>
        </w:trPr>
        <w:tc>
          <w:tcPr>
            <w:tcW w:w="818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54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r>
      <w:tr>
        <w:trPr>
          <w:trHeight w:val="230"/>
        </w:trPr>
        <w:tc>
          <w:tcPr>
            <w:tcW w:w="81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Performance criteria adjustment</w:t>
            </w:r>
          </w:p>
        </w:tc>
        <w:tc>
          <w:tcPr>
            <w:tcW w:w="15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(66,658)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33.43</w:t>
            </w:r>
          </w:p>
        </w:tc>
      </w:tr>
      <w:tr>
        <w:trPr>
          <w:trHeight w:val="230"/>
        </w:trPr>
        <w:tc>
          <w:tcPr>
            <w:tcW w:w="818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540" w:type="dxa"/>
            <w:vAlign w:val="bottom"/>
          </w:tcPr>
          <w:p>
            <w:pPr>
              <w:jc w:val="right"/>
              <w:spacing w:after="0" w:line="229" w:lineRule="exact"/>
              <w:rPr>
                <w:sz w:val="20"/>
                <w:szCs w:val="20"/>
                <w:color w:val="auto"/>
              </w:rPr>
            </w:pPr>
            <w:r>
              <w:rPr>
                <w:rFonts w:ascii="Arial" w:cs="Arial" w:eastAsia="Arial" w:hAnsi="Arial"/>
                <w:sz w:val="22"/>
                <w:szCs w:val="22"/>
                <w:color w:val="auto"/>
              </w:rPr>
              <w:t>(9,130)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2"/>
                <w:szCs w:val="22"/>
                <w:color w:val="auto"/>
              </w:rPr>
              <w:t>33.19</w:t>
            </w:r>
          </w:p>
        </w:tc>
      </w:tr>
      <w:tr>
        <w:trPr>
          <w:trHeight w:val="230"/>
        </w:trPr>
        <w:tc>
          <w:tcPr>
            <w:tcW w:w="81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Share units issued</w:t>
            </w:r>
          </w:p>
        </w:tc>
        <w:tc>
          <w:tcPr>
            <w:tcW w:w="15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(89,324)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52.32</w:t>
            </w:r>
          </w:p>
        </w:tc>
      </w:tr>
      <w:tr>
        <w:trPr>
          <w:trHeight w:val="223"/>
        </w:trPr>
        <w:tc>
          <w:tcPr>
            <w:tcW w:w="8180" w:type="dxa"/>
            <w:vAlign w:val="bottom"/>
          </w:tcPr>
          <w:p>
            <w:pPr>
              <w:spacing w:after="0" w:line="223" w:lineRule="exact"/>
              <w:rPr>
                <w:sz w:val="20"/>
                <w:szCs w:val="20"/>
                <w:color w:val="auto"/>
              </w:rPr>
            </w:pPr>
            <w:r>
              <w:rPr>
                <w:rFonts w:ascii="Arial" w:cs="Arial" w:eastAsia="Arial" w:hAnsi="Arial"/>
                <w:sz w:val="22"/>
                <w:szCs w:val="22"/>
                <w:color w:val="auto"/>
              </w:rPr>
              <w:t>Nonvested share units at end of period</w:t>
            </w:r>
          </w:p>
        </w:tc>
        <w:tc>
          <w:tcPr>
            <w:tcW w:w="1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278,298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Arial" w:cs="Arial" w:eastAsia="Arial" w:hAnsi="Arial"/>
                <w:sz w:val="22"/>
                <w:szCs w:val="22"/>
                <w:color w:val="auto"/>
              </w:rPr>
              <w:t>17.43</w:t>
            </w:r>
          </w:p>
        </w:tc>
      </w:tr>
      <w:tr>
        <w:trPr>
          <w:trHeight w:val="20"/>
        </w:trPr>
        <w:tc>
          <w:tcPr>
            <w:tcW w:w="8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160"/>
        <w:spacing w:after="0" w:line="231" w:lineRule="auto"/>
        <w:rPr>
          <w:sz w:val="20"/>
          <w:szCs w:val="20"/>
          <w:color w:val="auto"/>
        </w:rPr>
      </w:pPr>
      <w:r>
        <w:rPr>
          <w:rFonts w:ascii="Arial" w:cs="Arial" w:eastAsia="Arial" w:hAnsi="Arial"/>
          <w:sz w:val="21"/>
          <w:szCs w:val="21"/>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nine months ended September 30, 2018 was $37.42. The Company did not grant PSUs for the nine months ended September 30, 2019. The fair value of each PSU grant is amortized monthly into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3" w:name="page24"/>
    <w:bookmarkEnd w:id="2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ind w:right="80"/>
        <w:spacing w:after="0" w:line="235" w:lineRule="auto"/>
        <w:rPr>
          <w:sz w:val="20"/>
          <w:szCs w:val="20"/>
          <w:color w:val="auto"/>
        </w:rPr>
      </w:pPr>
      <w:r>
        <w:rPr>
          <w:rFonts w:ascii="Arial" w:cs="Arial" w:eastAsia="Arial" w:hAnsi="Arial"/>
          <w:sz w:val="21"/>
          <w:szCs w:val="21"/>
          <w:color w:val="auto"/>
        </w:rPr>
        <w:t>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21"/>
          <w:szCs w:val="21"/>
          <w:b w:val="1"/>
          <w:bCs w:val="1"/>
          <w:i w:val="1"/>
          <w:iCs w:val="1"/>
          <w:color w:val="auto"/>
        </w:rPr>
        <w:t xml:space="preserve">Restricted Stock Units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restricted stock unit (“RSU”) represents the right to receive a share of the Company’s common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20" w:type="dxa"/>
            <w:vAlign w:val="bottom"/>
            <w:gridSpan w:val="4"/>
          </w:tcPr>
          <w:p>
            <w:pPr>
              <w:jc w:val="center"/>
              <w:ind w:left="292"/>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80" w:type="dxa"/>
            <w:vAlign w:val="bottom"/>
            <w:gridSpan w:val="5"/>
          </w:tcPr>
          <w:p>
            <w:pPr>
              <w:jc w:val="center"/>
              <w:ind w:right="232"/>
              <w:spacing w:after="0"/>
              <w:rPr>
                <w:sz w:val="20"/>
                <w:szCs w:val="20"/>
                <w:color w:val="auto"/>
              </w:rPr>
            </w:pPr>
            <w:r>
              <w:rPr>
                <w:rFonts w:ascii="Arial" w:cs="Arial" w:eastAsia="Arial" w:hAnsi="Arial"/>
                <w:sz w:val="22"/>
                <w:szCs w:val="22"/>
                <w:color w:val="auto"/>
                <w:w w:val="90"/>
              </w:rPr>
              <w:t>Nine Months Ended</w:t>
            </w:r>
          </w:p>
        </w:tc>
      </w:tr>
      <w:tr>
        <w:trPr>
          <w:trHeight w:val="260"/>
        </w:trPr>
        <w:tc>
          <w:tcPr>
            <w:tcW w:w="4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20" w:type="dxa"/>
            <w:vAlign w:val="bottom"/>
            <w:tcBorders>
              <w:bottom w:val="single" w:sz="8" w:color="auto"/>
            </w:tcBorders>
            <w:gridSpan w:val="4"/>
          </w:tcPr>
          <w:p>
            <w:pPr>
              <w:jc w:val="center"/>
              <w:ind w:left="312"/>
              <w:spacing w:after="0"/>
              <w:rPr>
                <w:sz w:val="20"/>
                <w:szCs w:val="20"/>
                <w:color w:val="auto"/>
              </w:rPr>
            </w:pPr>
            <w:r>
              <w:rPr>
                <w:rFonts w:ascii="Arial" w:cs="Arial" w:eastAsia="Arial" w:hAnsi="Arial"/>
                <w:sz w:val="22"/>
                <w:szCs w:val="22"/>
                <w:color w:val="auto"/>
                <w:w w:val="85"/>
              </w:rPr>
              <w:t>September 30,</w:t>
            </w:r>
          </w:p>
        </w:tc>
        <w:tc>
          <w:tcPr>
            <w:tcW w:w="4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center"/>
              <w:ind w:left="592"/>
              <w:spacing w:after="0"/>
              <w:rPr>
                <w:sz w:val="20"/>
                <w:szCs w:val="20"/>
                <w:color w:val="auto"/>
              </w:rPr>
            </w:pPr>
            <w:r>
              <w:rPr>
                <w:rFonts w:ascii="Arial" w:cs="Arial" w:eastAsia="Arial" w:hAnsi="Arial"/>
                <w:sz w:val="22"/>
                <w:szCs w:val="22"/>
                <w:color w:val="auto"/>
                <w:w w:val="85"/>
              </w:rPr>
              <w:t>September 30,</w:t>
            </w:r>
          </w:p>
        </w:tc>
        <w:tc>
          <w:tcPr>
            <w:tcW w:w="1060" w:type="dxa"/>
            <w:vAlign w:val="bottom"/>
            <w:tcBorders>
              <w:bottom w:val="single" w:sz="8" w:color="auto"/>
            </w:tcBorders>
          </w:tcPr>
          <w:p>
            <w:pPr>
              <w:spacing w:after="0"/>
              <w:rPr>
                <w:sz w:val="22"/>
                <w:szCs w:val="22"/>
                <w:color w:val="auto"/>
              </w:rPr>
            </w:pPr>
          </w:p>
        </w:tc>
      </w:tr>
      <w:tr>
        <w:trPr>
          <w:trHeight w:val="264"/>
        </w:trPr>
        <w:tc>
          <w:tcPr>
            <w:tcW w:w="458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2019</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2018</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22"/>
                <w:szCs w:val="22"/>
                <w:color w:val="auto"/>
              </w:rPr>
              <w:t>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472"/>
              <w:spacing w:after="0"/>
              <w:rPr>
                <w:sz w:val="20"/>
                <w:szCs w:val="20"/>
                <w:color w:val="auto"/>
              </w:rPr>
            </w:pPr>
            <w:r>
              <w:rPr>
                <w:rFonts w:ascii="Arial" w:cs="Arial" w:eastAsia="Arial" w:hAnsi="Arial"/>
                <w:sz w:val="22"/>
                <w:szCs w:val="22"/>
                <w:color w:val="auto"/>
                <w:w w:val="93"/>
              </w:rPr>
              <w:t>2018</w:t>
            </w:r>
          </w:p>
        </w:tc>
      </w:tr>
      <w:tr>
        <w:trPr>
          <w:trHeight w:val="188"/>
        </w:trPr>
        <w:tc>
          <w:tcPr>
            <w:tcW w:w="45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w w:val="99"/>
              </w:rPr>
              <w:t>Stock-based compensation within operations and</w:t>
            </w:r>
          </w:p>
        </w:tc>
        <w:tc>
          <w:tcPr>
            <w:tcW w:w="3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251"/>
        </w:trPr>
        <w:tc>
          <w:tcPr>
            <w:tcW w:w="458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240" w:type="dxa"/>
            <w:vAlign w:val="bottom"/>
            <w:gridSpan w:val="2"/>
            <w:shd w:val="clear" w:color="auto" w:fill="CCEEFF"/>
          </w:tcPr>
          <w:p>
            <w:pPr>
              <w:jc w:val="right"/>
              <w:ind w:right="692"/>
              <w:spacing w:after="0" w:line="251" w:lineRule="exact"/>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7"/>
              </w:rPr>
              <w:t>395</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12"/>
              <w:spacing w:after="0" w:line="251" w:lineRule="exact"/>
              <w:rPr>
                <w:sz w:val="20"/>
                <w:szCs w:val="20"/>
                <w:color w:val="auto"/>
              </w:rPr>
            </w:pPr>
            <w:r>
              <w:rPr>
                <w:rFonts w:ascii="Arial" w:cs="Arial" w:eastAsia="Arial" w:hAnsi="Arial"/>
                <w:sz w:val="22"/>
                <w:szCs w:val="22"/>
                <w:color w:val="auto"/>
                <w:w w:val="81"/>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493</w:t>
            </w:r>
          </w:p>
        </w:tc>
        <w:tc>
          <w:tcPr>
            <w:tcW w:w="580" w:type="dxa"/>
            <w:vAlign w:val="bottom"/>
            <w:gridSpan w:val="2"/>
            <w:shd w:val="clear" w:color="auto" w:fill="CCEEFF"/>
          </w:tcPr>
          <w:p>
            <w:pPr>
              <w:jc w:val="right"/>
              <w:ind w:right="240"/>
              <w:spacing w:after="0" w:line="251" w:lineRule="exact"/>
              <w:rPr>
                <w:sz w:val="20"/>
                <w:szCs w:val="20"/>
                <w:color w:val="auto"/>
              </w:rPr>
            </w:pPr>
            <w:r>
              <w:rPr>
                <w:rFonts w:ascii="Arial" w:cs="Arial" w:eastAsia="Arial" w:hAnsi="Arial"/>
                <w:sz w:val="22"/>
                <w:szCs w:val="22"/>
                <w:color w:val="auto"/>
              </w:rPr>
              <w:t>$</w:t>
            </w:r>
          </w:p>
        </w:tc>
        <w:tc>
          <w:tcPr>
            <w:tcW w:w="136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1,231</w:t>
            </w:r>
          </w:p>
        </w:tc>
        <w:tc>
          <w:tcPr>
            <w:tcW w:w="660" w:type="dxa"/>
            <w:vAlign w:val="bottom"/>
            <w:gridSpan w:val="2"/>
            <w:shd w:val="clear" w:color="auto" w:fill="CCEEFF"/>
          </w:tcPr>
          <w:p>
            <w:pPr>
              <w:jc w:val="right"/>
              <w:ind w:right="440"/>
              <w:spacing w:after="0" w:line="251" w:lineRule="exact"/>
              <w:rPr>
                <w:sz w:val="20"/>
                <w:szCs w:val="20"/>
                <w:color w:val="auto"/>
              </w:rPr>
            </w:pPr>
            <w:r>
              <w:rPr>
                <w:rFonts w:ascii="Arial" w:cs="Arial" w:eastAsia="Arial" w:hAnsi="Arial"/>
                <w:sz w:val="22"/>
                <w:szCs w:val="22"/>
                <w:color w:val="auto"/>
              </w:rPr>
              <w:t>$</w:t>
            </w:r>
          </w:p>
        </w:tc>
        <w:tc>
          <w:tcPr>
            <w:tcW w:w="10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1,199</w:t>
            </w:r>
          </w:p>
        </w:tc>
      </w:tr>
      <w:tr>
        <w:trPr>
          <w:trHeight w:val="307"/>
        </w:trPr>
        <w:tc>
          <w:tcPr>
            <w:tcW w:w="4580" w:type="dxa"/>
            <w:vAlign w:val="bottom"/>
          </w:tcPr>
          <w:p>
            <w:pPr>
              <w:spacing w:after="0"/>
              <w:rPr>
                <w:sz w:val="20"/>
                <w:szCs w:val="20"/>
                <w:color w:val="auto"/>
              </w:rPr>
            </w:pPr>
            <w:r>
              <w:rPr>
                <w:rFonts w:ascii="Arial" w:cs="Arial" w:eastAsia="Arial" w:hAnsi="Arial"/>
                <w:sz w:val="22"/>
                <w:szCs w:val="22"/>
                <w:color w:val="auto"/>
              </w:rPr>
              <w:t>Income tax benefit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112</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w w:val="92"/>
              </w:rPr>
              <w:t>140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2"/>
                <w:szCs w:val="22"/>
                <w:color w:val="auto"/>
              </w:rPr>
              <w:t>348</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341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RSU transactions for the nine months ended September 30,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center"/>
              <w:ind w:right="112"/>
              <w:spacing w:after="0"/>
              <w:rPr>
                <w:sz w:val="20"/>
                <w:szCs w:val="20"/>
                <w:color w:val="auto"/>
              </w:rPr>
            </w:pPr>
            <w:r>
              <w:rPr>
                <w:rFonts w:ascii="Arial" w:cs="Arial" w:eastAsia="Arial" w:hAnsi="Arial"/>
                <w:sz w:val="22"/>
                <w:szCs w:val="22"/>
                <w:color w:val="auto"/>
                <w:w w:val="88"/>
              </w:rPr>
              <w:t>Weighted</w:t>
            </w:r>
          </w:p>
        </w:tc>
      </w:tr>
      <w:tr>
        <w:trPr>
          <w:trHeight w:val="230"/>
        </w:trPr>
        <w:tc>
          <w:tcPr>
            <w:tcW w:w="8080" w:type="dxa"/>
            <w:vAlign w:val="bottom"/>
          </w:tcPr>
          <w:p>
            <w:pPr>
              <w:spacing w:after="0"/>
              <w:rPr>
                <w:sz w:val="19"/>
                <w:szCs w:val="19"/>
                <w:color w:val="auto"/>
              </w:rPr>
            </w:pPr>
          </w:p>
        </w:tc>
        <w:tc>
          <w:tcPr>
            <w:tcW w:w="148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center"/>
              <w:ind w:right="13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80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91"/>
              </w:rPr>
              <w:t>Stock Units</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80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beginning of period</w:t>
            </w:r>
          </w:p>
        </w:tc>
        <w:tc>
          <w:tcPr>
            <w:tcW w:w="14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130,085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2"/>
              <w:spacing w:after="0" w:line="223" w:lineRule="exact"/>
              <w:rPr>
                <w:sz w:val="20"/>
                <w:szCs w:val="20"/>
                <w:color w:val="auto"/>
              </w:rPr>
            </w:pPr>
            <w:r>
              <w:rPr>
                <w:rFonts w:ascii="Arial" w:cs="Arial" w:eastAsia="Arial" w:hAnsi="Arial"/>
                <w:sz w:val="22"/>
                <w:szCs w:val="22"/>
                <w:color w:val="auto"/>
                <w:w w:val="81"/>
              </w:rPr>
              <w:t>$</w:t>
            </w:r>
          </w:p>
        </w:tc>
        <w:tc>
          <w:tcPr>
            <w:tcW w:w="14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33.13</w:t>
            </w:r>
          </w:p>
        </w:tc>
      </w:tr>
      <w:tr>
        <w:trPr>
          <w:trHeight w:val="230"/>
        </w:trPr>
        <w:tc>
          <w:tcPr>
            <w:tcW w:w="808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480" w:type="dxa"/>
            <w:vAlign w:val="bottom"/>
          </w:tcPr>
          <w:p>
            <w:pPr>
              <w:jc w:val="right"/>
              <w:spacing w:after="0" w:line="229" w:lineRule="exact"/>
              <w:rPr>
                <w:sz w:val="20"/>
                <w:szCs w:val="20"/>
                <w:color w:val="auto"/>
              </w:rPr>
            </w:pPr>
            <w:r>
              <w:rPr>
                <w:rFonts w:ascii="Arial" w:cs="Arial" w:eastAsia="Arial" w:hAnsi="Arial"/>
                <w:sz w:val="22"/>
                <w:szCs w:val="22"/>
                <w:color w:val="auto"/>
              </w:rPr>
              <w:t>55,686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line="229" w:lineRule="exact"/>
              <w:rPr>
                <w:sz w:val="20"/>
                <w:szCs w:val="20"/>
                <w:color w:val="auto"/>
              </w:rPr>
            </w:pPr>
            <w:r>
              <w:rPr>
                <w:rFonts w:ascii="Arial" w:cs="Arial" w:eastAsia="Arial" w:hAnsi="Arial"/>
                <w:sz w:val="22"/>
                <w:szCs w:val="22"/>
                <w:color w:val="auto"/>
              </w:rPr>
              <w:t>36.01</w:t>
            </w:r>
          </w:p>
        </w:tc>
      </w:tr>
      <w:tr>
        <w:trPr>
          <w:trHeight w:val="230"/>
        </w:trPr>
        <w:tc>
          <w:tcPr>
            <w:tcW w:w="80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Stock units vested and issued</w:t>
            </w:r>
          </w:p>
        </w:tc>
        <w:tc>
          <w:tcPr>
            <w:tcW w:w="14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(40,971)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32.89</w:t>
            </w:r>
          </w:p>
        </w:tc>
      </w:tr>
      <w:tr>
        <w:trPr>
          <w:trHeight w:val="230"/>
        </w:trPr>
        <w:tc>
          <w:tcPr>
            <w:tcW w:w="808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Forfeited</w:t>
            </w:r>
          </w:p>
        </w:tc>
        <w:tc>
          <w:tcPr>
            <w:tcW w:w="14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(4,398)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line="229" w:lineRule="exact"/>
              <w:rPr>
                <w:sz w:val="20"/>
                <w:szCs w:val="20"/>
                <w:color w:val="auto"/>
              </w:rPr>
            </w:pPr>
            <w:r>
              <w:rPr>
                <w:rFonts w:ascii="Arial" w:cs="Arial" w:eastAsia="Arial" w:hAnsi="Arial"/>
                <w:sz w:val="22"/>
                <w:szCs w:val="22"/>
                <w:color w:val="auto"/>
              </w:rPr>
              <w:t>35.26</w:t>
            </w:r>
          </w:p>
        </w:tc>
      </w:tr>
      <w:tr>
        <w:trPr>
          <w:trHeight w:val="223"/>
        </w:trPr>
        <w:tc>
          <w:tcPr>
            <w:tcW w:w="80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end of period</w:t>
            </w:r>
          </w:p>
        </w:tc>
        <w:tc>
          <w:tcPr>
            <w:tcW w:w="14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140,402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34.28</w:t>
            </w:r>
          </w:p>
        </w:tc>
      </w:tr>
      <w:tr>
        <w:trPr>
          <w:trHeight w:val="20"/>
        </w:trPr>
        <w:tc>
          <w:tcPr>
            <w:tcW w:w="8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40"/>
        <w:spacing w:after="0" w:line="239" w:lineRule="auto"/>
        <w:rPr>
          <w:sz w:val="20"/>
          <w:szCs w:val="20"/>
          <w:color w:val="auto"/>
        </w:rPr>
      </w:pPr>
      <w:r>
        <w:rPr>
          <w:rFonts w:ascii="Arial" w:cs="Arial" w:eastAsia="Arial" w:hAnsi="Arial"/>
          <w:sz w:val="22"/>
          <w:szCs w:val="22"/>
          <w:color w:val="auto"/>
        </w:rPr>
        <w:t>The per unit weighted-average fair value at the date of grant for RSUs granted during the nine months ended September 30, 2019 and 2018 was $36.01 and $35.15,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4" w:name="page25"/>
    <w:bookmarkEnd w:id="2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33"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 Company as specified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420" w:type="dxa"/>
            <w:vAlign w:val="bottom"/>
          </w:tcPr>
          <w:p>
            <w:pPr>
              <w:spacing w:after="0"/>
              <w:rPr>
                <w:sz w:val="23"/>
                <w:szCs w:val="23"/>
                <w:color w:val="auto"/>
              </w:rPr>
            </w:pPr>
          </w:p>
        </w:tc>
        <w:tc>
          <w:tcPr>
            <w:tcW w:w="2440" w:type="dxa"/>
            <w:vAlign w:val="bottom"/>
            <w:gridSpan w:val="4"/>
          </w:tcPr>
          <w:p>
            <w:pPr>
              <w:jc w:val="center"/>
              <w:ind w:left="315"/>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20" w:type="dxa"/>
            <w:vAlign w:val="bottom"/>
            <w:gridSpan w:val="5"/>
          </w:tcPr>
          <w:p>
            <w:pPr>
              <w:jc w:val="right"/>
              <w:ind w:right="472"/>
              <w:spacing w:after="0"/>
              <w:rPr>
                <w:sz w:val="20"/>
                <w:szCs w:val="20"/>
                <w:color w:val="auto"/>
              </w:rPr>
            </w:pPr>
            <w:r>
              <w:rPr>
                <w:rFonts w:ascii="Arial" w:cs="Arial" w:eastAsia="Arial" w:hAnsi="Arial"/>
                <w:sz w:val="22"/>
                <w:szCs w:val="22"/>
                <w:color w:val="auto"/>
              </w:rPr>
              <w:t>Nine Months Ended</w:t>
            </w:r>
          </w:p>
        </w:tc>
      </w:tr>
      <w:tr>
        <w:trPr>
          <w:trHeight w:val="260"/>
        </w:trPr>
        <w:tc>
          <w:tcPr>
            <w:tcW w:w="5420" w:type="dxa"/>
            <w:vAlign w:val="bottom"/>
          </w:tcPr>
          <w:p>
            <w:pPr>
              <w:spacing w:after="0"/>
              <w:rPr>
                <w:sz w:val="22"/>
                <w:szCs w:val="22"/>
                <w:color w:val="auto"/>
              </w:rPr>
            </w:pPr>
          </w:p>
        </w:tc>
        <w:tc>
          <w:tcPr>
            <w:tcW w:w="244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22"/>
                <w:szCs w:val="22"/>
                <w:color w:val="auto"/>
                <w:w w:val="87"/>
              </w:rPr>
              <w:t>September 30,</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5"/>
          </w:tcPr>
          <w:p>
            <w:pPr>
              <w:jc w:val="right"/>
              <w:ind w:right="612"/>
              <w:spacing w:after="0"/>
              <w:rPr>
                <w:sz w:val="20"/>
                <w:szCs w:val="20"/>
                <w:color w:val="auto"/>
              </w:rPr>
            </w:pPr>
            <w:r>
              <w:rPr>
                <w:rFonts w:ascii="Arial" w:cs="Arial" w:eastAsia="Arial" w:hAnsi="Arial"/>
                <w:sz w:val="22"/>
                <w:szCs w:val="22"/>
                <w:color w:val="auto"/>
              </w:rPr>
              <w:t>September 30,</w:t>
            </w:r>
          </w:p>
        </w:tc>
      </w:tr>
      <w:tr>
        <w:trPr>
          <w:trHeight w:val="264"/>
        </w:trPr>
        <w:tc>
          <w:tcPr>
            <w:tcW w:w="54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2019</w:t>
            </w:r>
          </w:p>
        </w:tc>
        <w:tc>
          <w:tcPr>
            <w:tcW w:w="40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2019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2018</w:t>
            </w:r>
          </w:p>
        </w:tc>
      </w:tr>
      <w:tr>
        <w:trPr>
          <w:trHeight w:val="188"/>
        </w:trPr>
        <w:tc>
          <w:tcPr>
            <w:tcW w:w="542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51"/>
        </w:trPr>
        <w:tc>
          <w:tcPr>
            <w:tcW w:w="54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9"/>
                <w:szCs w:val="19"/>
                <w:color w:val="auto"/>
                <w:w w:val="75"/>
              </w:rPr>
              <w:t>$</w:t>
            </w:r>
          </w:p>
        </w:tc>
        <w:tc>
          <w:tcPr>
            <w:tcW w:w="4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637</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92"/>
              <w:spacing w:after="0" w:line="251" w:lineRule="exact"/>
              <w:rPr>
                <w:sz w:val="20"/>
                <w:szCs w:val="20"/>
                <w:color w:val="auto"/>
              </w:rPr>
            </w:pPr>
            <w:r>
              <w:rPr>
                <w:rFonts w:ascii="Arial" w:cs="Arial" w:eastAsia="Arial" w:hAnsi="Arial"/>
                <w:sz w:val="22"/>
                <w:szCs w:val="22"/>
                <w:color w:val="auto"/>
                <w:w w:val="81"/>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159</w:t>
            </w:r>
          </w:p>
        </w:tc>
        <w:tc>
          <w:tcPr>
            <w:tcW w:w="520" w:type="dxa"/>
            <w:vAlign w:val="bottom"/>
            <w:gridSpan w:val="2"/>
            <w:shd w:val="clear" w:color="auto" w:fill="CCEEFF"/>
          </w:tcPr>
          <w:p>
            <w:pPr>
              <w:jc w:val="right"/>
              <w:ind w:right="160"/>
              <w:spacing w:after="0" w:line="251"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1,625</w:t>
            </w:r>
          </w:p>
        </w:tc>
        <w:tc>
          <w:tcPr>
            <w:tcW w:w="400" w:type="dxa"/>
            <w:vAlign w:val="bottom"/>
            <w:gridSpan w:val="2"/>
            <w:shd w:val="clear" w:color="auto" w:fill="CCEEFF"/>
          </w:tcPr>
          <w:p>
            <w:pPr>
              <w:jc w:val="right"/>
              <w:ind w:right="180"/>
              <w:spacing w:after="0" w:line="251" w:lineRule="exact"/>
              <w:rPr>
                <w:sz w:val="20"/>
                <w:szCs w:val="20"/>
                <w:color w:val="auto"/>
              </w:rPr>
            </w:pPr>
            <w:r>
              <w:rPr>
                <w:rFonts w:ascii="Arial" w:cs="Arial" w:eastAsia="Arial" w:hAnsi="Arial"/>
                <w:sz w:val="22"/>
                <w:szCs w:val="22"/>
                <w:color w:val="auto"/>
              </w:rPr>
              <w:t>$</w:t>
            </w:r>
          </w:p>
        </w:tc>
        <w:tc>
          <w:tcPr>
            <w:tcW w:w="10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407</w:t>
            </w:r>
          </w:p>
        </w:tc>
      </w:tr>
      <w:tr>
        <w:trPr>
          <w:trHeight w:val="307"/>
        </w:trPr>
        <w:tc>
          <w:tcPr>
            <w:tcW w:w="5420" w:type="dxa"/>
            <w:vAlign w:val="bottom"/>
          </w:tcPr>
          <w:p>
            <w:pPr>
              <w:spacing w:after="0"/>
              <w:rPr>
                <w:sz w:val="20"/>
                <w:szCs w:val="20"/>
                <w:color w:val="auto"/>
              </w:rPr>
            </w:pPr>
            <w:r>
              <w:rPr>
                <w:rFonts w:ascii="Arial" w:cs="Arial" w:eastAsia="Arial" w:hAnsi="Arial"/>
                <w:sz w:val="22"/>
                <w:szCs w:val="22"/>
                <w:color w:val="auto"/>
              </w:rPr>
              <w:t>Income tax benefit</w:t>
            </w: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180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45</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2"/>
                <w:szCs w:val="22"/>
                <w:color w:val="auto"/>
              </w:rPr>
              <w:t>458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145</w:t>
            </w:r>
          </w:p>
        </w:tc>
      </w:tr>
    </w:tbl>
    <w:p>
      <w:pPr>
        <w:spacing w:after="0" w:line="239"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The fair value of options was estimated at the grant date using the Black-Scholes option-pricing model. The following assumptions were used in the application of this valuation model:</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2019</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72"/>
              <w:spacing w:after="0"/>
              <w:rPr>
                <w:sz w:val="20"/>
                <w:szCs w:val="20"/>
                <w:color w:val="auto"/>
              </w:rPr>
            </w:pPr>
            <w:r>
              <w:rPr>
                <w:rFonts w:ascii="Arial" w:cs="Arial" w:eastAsia="Arial" w:hAnsi="Arial"/>
                <w:sz w:val="22"/>
                <w:szCs w:val="22"/>
                <w:color w:val="auto"/>
              </w:rPr>
              <w:t>2018</w:t>
            </w:r>
          </w:p>
        </w:tc>
      </w:tr>
      <w:tr>
        <w:trPr>
          <w:trHeight w:val="264"/>
        </w:trPr>
        <w:tc>
          <w:tcPr>
            <w:tcW w:w="7000" w:type="dxa"/>
            <w:vAlign w:val="bottom"/>
            <w:shd w:val="clear" w:color="auto" w:fill="CCEEFF"/>
          </w:tcPr>
          <w:p>
            <w:pPr>
              <w:spacing w:after="0"/>
              <w:rPr>
                <w:sz w:val="20"/>
                <w:szCs w:val="20"/>
                <w:color w:val="auto"/>
              </w:rPr>
            </w:pPr>
            <w:r>
              <w:rPr>
                <w:rFonts w:ascii="Arial" w:cs="Arial" w:eastAsia="Arial" w:hAnsi="Arial"/>
                <w:sz w:val="22"/>
                <w:szCs w:val="22"/>
                <w:color w:val="auto"/>
              </w:rPr>
              <w:t>Expected term (years)</w:t>
            </w:r>
          </w:p>
        </w:tc>
        <w:tc>
          <w:tcPr>
            <w:tcW w:w="1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5.47</w:t>
            </w:r>
          </w:p>
        </w:tc>
        <w:tc>
          <w:tcPr>
            <w:tcW w:w="5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5.46</w:t>
            </w:r>
          </w:p>
        </w:tc>
      </w:tr>
      <w:tr>
        <w:trPr>
          <w:trHeight w:val="284"/>
        </w:trPr>
        <w:tc>
          <w:tcPr>
            <w:tcW w:w="7000" w:type="dxa"/>
            <w:vAlign w:val="bottom"/>
          </w:tcPr>
          <w:p>
            <w:pPr>
              <w:spacing w:after="0"/>
              <w:rPr>
                <w:sz w:val="20"/>
                <w:szCs w:val="20"/>
                <w:color w:val="auto"/>
              </w:rPr>
            </w:pPr>
            <w:r>
              <w:rPr>
                <w:rFonts w:ascii="Arial" w:cs="Arial" w:eastAsia="Arial" w:hAnsi="Arial"/>
                <w:sz w:val="22"/>
                <w:szCs w:val="22"/>
                <w:color w:val="auto"/>
              </w:rPr>
              <w:t>Risk-free interest rate</w:t>
            </w:r>
          </w:p>
        </w:tc>
        <w:tc>
          <w:tcPr>
            <w:tcW w:w="146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2.53%</w:t>
            </w:r>
          </w:p>
        </w:tc>
        <w:tc>
          <w:tcPr>
            <w:tcW w:w="5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2.72%</w:t>
            </w:r>
          </w:p>
        </w:tc>
      </w:tr>
      <w:tr>
        <w:trPr>
          <w:trHeight w:val="284"/>
        </w:trPr>
        <w:tc>
          <w:tcPr>
            <w:tcW w:w="7000" w:type="dxa"/>
            <w:vAlign w:val="bottom"/>
            <w:shd w:val="clear" w:color="auto" w:fill="CCEEFF"/>
          </w:tcPr>
          <w:p>
            <w:pPr>
              <w:spacing w:after="0"/>
              <w:rPr>
                <w:sz w:val="20"/>
                <w:szCs w:val="20"/>
                <w:color w:val="auto"/>
              </w:rPr>
            </w:pPr>
            <w:r>
              <w:rPr>
                <w:rFonts w:ascii="Arial" w:cs="Arial" w:eastAsia="Arial" w:hAnsi="Arial"/>
                <w:sz w:val="22"/>
                <w:szCs w:val="22"/>
                <w:color w:val="auto"/>
              </w:rPr>
              <w:t>Expected volatility</w:t>
            </w:r>
          </w:p>
        </w:tc>
        <w:tc>
          <w:tcPr>
            <w:tcW w:w="1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17.7%</w:t>
            </w:r>
          </w:p>
        </w:tc>
        <w:tc>
          <w:tcPr>
            <w:tcW w:w="5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17.2%</w:t>
            </w:r>
          </w:p>
        </w:tc>
      </w:tr>
      <w:tr>
        <w:trPr>
          <w:trHeight w:val="284"/>
        </w:trPr>
        <w:tc>
          <w:tcPr>
            <w:tcW w:w="7000" w:type="dxa"/>
            <w:vAlign w:val="bottom"/>
          </w:tcPr>
          <w:p>
            <w:pPr>
              <w:spacing w:after="0"/>
              <w:rPr>
                <w:sz w:val="20"/>
                <w:szCs w:val="20"/>
                <w:color w:val="auto"/>
              </w:rPr>
            </w:pPr>
            <w:r>
              <w:rPr>
                <w:rFonts w:ascii="Arial" w:cs="Arial" w:eastAsia="Arial" w:hAnsi="Arial"/>
                <w:sz w:val="22"/>
                <w:szCs w:val="22"/>
                <w:color w:val="auto"/>
              </w:rPr>
              <w:t>Dividend yield</w:t>
            </w:r>
          </w:p>
        </w:tc>
        <w:tc>
          <w:tcPr>
            <w:tcW w:w="1460" w:type="dxa"/>
            <w:vAlign w:val="bottom"/>
          </w:tcPr>
          <w:p>
            <w:pPr>
              <w:spacing w:after="0"/>
              <w:rPr>
                <w:sz w:val="24"/>
                <w:szCs w:val="24"/>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2.44%</w:t>
            </w:r>
          </w:p>
        </w:tc>
        <w:tc>
          <w:tcPr>
            <w:tcW w:w="5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2.37%</w:t>
            </w:r>
          </w:p>
        </w:tc>
      </w:tr>
      <w:tr>
        <w:trPr>
          <w:trHeight w:val="284"/>
        </w:trPr>
        <w:tc>
          <w:tcPr>
            <w:tcW w:w="7000" w:type="dxa"/>
            <w:vAlign w:val="bottom"/>
            <w:shd w:val="clear" w:color="auto" w:fill="CCEEFF"/>
          </w:tcPr>
          <w:p>
            <w:pPr>
              <w:spacing w:after="0"/>
              <w:rPr>
                <w:sz w:val="20"/>
                <w:szCs w:val="20"/>
                <w:color w:val="auto"/>
              </w:rPr>
            </w:pPr>
            <w:r>
              <w:rPr>
                <w:rFonts w:ascii="Arial" w:cs="Arial" w:eastAsia="Arial" w:hAnsi="Arial"/>
                <w:sz w:val="22"/>
                <w:szCs w:val="22"/>
                <w:color w:val="auto"/>
              </w:rPr>
              <w:t>Grant date fair value per option</w:t>
            </w:r>
          </w:p>
        </w:tc>
        <w:tc>
          <w:tcPr>
            <w:tcW w:w="1460" w:type="dxa"/>
            <w:vAlign w:val="bottom"/>
            <w:shd w:val="clear" w:color="auto" w:fill="CCEEFF"/>
          </w:tcPr>
          <w:p>
            <w:pPr>
              <w:jc w:val="right"/>
              <w:ind w:right="812"/>
              <w:spacing w:after="0"/>
              <w:rPr>
                <w:sz w:val="20"/>
                <w:szCs w:val="20"/>
                <w:color w:val="auto"/>
              </w:rPr>
            </w:pPr>
            <w:r>
              <w:rPr>
                <w:rFonts w:ascii="Arial" w:cs="Arial" w:eastAsia="Arial" w:hAnsi="Arial"/>
                <w:sz w:val="22"/>
                <w:szCs w:val="22"/>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5.25</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5.10</w:t>
            </w:r>
          </w:p>
        </w:tc>
      </w:tr>
    </w:tbl>
    <w:p>
      <w:pPr>
        <w:spacing w:after="0" w:line="208" w:lineRule="exact"/>
        <w:rPr>
          <w:sz w:val="20"/>
          <w:szCs w:val="20"/>
          <w:color w:val="auto"/>
        </w:rPr>
      </w:pPr>
    </w:p>
    <w:p>
      <w:pPr>
        <w:jc w:val="both"/>
        <w:ind w:right="180"/>
        <w:spacing w:after="0" w:line="228" w:lineRule="auto"/>
        <w:rPr>
          <w:sz w:val="20"/>
          <w:szCs w:val="20"/>
          <w:color w:val="auto"/>
        </w:rPr>
      </w:pPr>
      <w:r>
        <w:rPr>
          <w:rFonts w:ascii="Arial" w:cs="Arial" w:eastAsia="Arial" w:hAnsi="Arial"/>
          <w:sz w:val="22"/>
          <w:szCs w:val="22"/>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5" w:name="page26"/>
    <w:bookmarkEnd w:id="2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option transactions for the nine months ended September 30, 2019:</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22"/>
                <w:szCs w:val="22"/>
                <w:color w:val="auto"/>
                <w:w w:val="88"/>
              </w:rPr>
              <w:t>Weighted</w:t>
            </w:r>
          </w:p>
        </w:tc>
        <w:tc>
          <w:tcPr>
            <w:tcW w:w="1400" w:type="dxa"/>
            <w:vAlign w:val="bottom"/>
            <w:gridSpan w:val="2"/>
          </w:tcPr>
          <w:p>
            <w:pPr>
              <w:jc w:val="center"/>
              <w:ind w:right="180"/>
              <w:spacing w:after="0"/>
              <w:rPr>
                <w:sz w:val="20"/>
                <w:szCs w:val="20"/>
                <w:color w:val="auto"/>
              </w:rPr>
            </w:pPr>
            <w:r>
              <w:rPr>
                <w:rFonts w:ascii="Arial" w:cs="Arial" w:eastAsia="Arial" w:hAnsi="Arial"/>
                <w:sz w:val="22"/>
                <w:szCs w:val="22"/>
                <w:color w:val="auto"/>
                <w:w w:val="88"/>
              </w:rPr>
              <w:t>Weighted</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22"/>
                <w:szCs w:val="22"/>
                <w:color w:val="auto"/>
                <w:w w:val="87"/>
              </w:rPr>
              <w:t>Average</w:t>
            </w:r>
          </w:p>
        </w:tc>
        <w:tc>
          <w:tcPr>
            <w:tcW w:w="1400" w:type="dxa"/>
            <w:vAlign w:val="bottom"/>
            <w:gridSpan w:val="2"/>
          </w:tcPr>
          <w:p>
            <w:pPr>
              <w:jc w:val="center"/>
              <w:ind w:right="180"/>
              <w:spacing w:after="0"/>
              <w:rPr>
                <w:sz w:val="20"/>
                <w:szCs w:val="20"/>
                <w:color w:val="auto"/>
              </w:rPr>
            </w:pPr>
            <w:r>
              <w:rPr>
                <w:rFonts w:ascii="Arial" w:cs="Arial" w:eastAsia="Arial" w:hAnsi="Arial"/>
                <w:sz w:val="22"/>
                <w:szCs w:val="22"/>
                <w:color w:val="auto"/>
                <w:w w:val="85"/>
              </w:rPr>
              <w:t>Average</w:t>
            </w:r>
          </w:p>
        </w:tc>
        <w:tc>
          <w:tcPr>
            <w:tcW w:w="220" w:type="dxa"/>
            <w:vAlign w:val="bottom"/>
          </w:tcPr>
          <w:p>
            <w:pPr>
              <w:spacing w:after="0"/>
              <w:rPr>
                <w:sz w:val="24"/>
                <w:szCs w:val="24"/>
                <w:color w:val="auto"/>
              </w:rPr>
            </w:pPr>
          </w:p>
        </w:tc>
        <w:tc>
          <w:tcPr>
            <w:tcW w:w="1300" w:type="dxa"/>
            <w:vAlign w:val="bottom"/>
          </w:tcPr>
          <w:p>
            <w:pPr>
              <w:jc w:val="center"/>
              <w:ind w:right="92"/>
              <w:spacing w:after="0"/>
              <w:rPr>
                <w:sz w:val="20"/>
                <w:szCs w:val="20"/>
                <w:color w:val="auto"/>
              </w:rPr>
            </w:pPr>
            <w:r>
              <w:rPr>
                <w:rFonts w:ascii="Arial" w:cs="Arial" w:eastAsia="Arial" w:hAnsi="Arial"/>
                <w:sz w:val="22"/>
                <w:szCs w:val="22"/>
                <w:color w:val="auto"/>
                <w:w w:val="88"/>
              </w:rPr>
              <w:t>Aggregate</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22"/>
                <w:szCs w:val="22"/>
                <w:color w:val="auto"/>
                <w:w w:val="87"/>
              </w:rPr>
              <w:t>Exercise</w:t>
            </w:r>
          </w:p>
        </w:tc>
        <w:tc>
          <w:tcPr>
            <w:tcW w:w="1400" w:type="dxa"/>
            <w:vAlign w:val="bottom"/>
            <w:gridSpan w:val="2"/>
          </w:tcPr>
          <w:p>
            <w:pPr>
              <w:jc w:val="center"/>
              <w:ind w:right="180"/>
              <w:spacing w:after="0"/>
              <w:rPr>
                <w:sz w:val="20"/>
                <w:szCs w:val="20"/>
                <w:color w:val="auto"/>
              </w:rPr>
            </w:pPr>
            <w:r>
              <w:rPr>
                <w:rFonts w:ascii="Arial" w:cs="Arial" w:eastAsia="Arial" w:hAnsi="Arial"/>
                <w:sz w:val="22"/>
                <w:szCs w:val="22"/>
                <w:color w:val="auto"/>
                <w:w w:val="89"/>
              </w:rPr>
              <w:t>Remaining</w:t>
            </w:r>
          </w:p>
        </w:tc>
        <w:tc>
          <w:tcPr>
            <w:tcW w:w="220" w:type="dxa"/>
            <w:vAlign w:val="bottom"/>
          </w:tcPr>
          <w:p>
            <w:pPr>
              <w:spacing w:after="0"/>
              <w:rPr>
                <w:sz w:val="24"/>
                <w:szCs w:val="24"/>
                <w:color w:val="auto"/>
              </w:rPr>
            </w:pPr>
          </w:p>
        </w:tc>
        <w:tc>
          <w:tcPr>
            <w:tcW w:w="1300" w:type="dxa"/>
            <w:vAlign w:val="bottom"/>
          </w:tcPr>
          <w:p>
            <w:pPr>
              <w:jc w:val="center"/>
              <w:ind w:right="112"/>
              <w:spacing w:after="0"/>
              <w:rPr>
                <w:sz w:val="20"/>
                <w:szCs w:val="20"/>
                <w:color w:val="auto"/>
              </w:rPr>
            </w:pPr>
            <w:r>
              <w:rPr>
                <w:rFonts w:ascii="Arial" w:cs="Arial" w:eastAsia="Arial" w:hAnsi="Arial"/>
                <w:sz w:val="22"/>
                <w:szCs w:val="22"/>
                <w:color w:val="auto"/>
                <w:w w:val="94"/>
              </w:rPr>
              <w:t>Intrinsic</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55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Shares</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color w:val="auto"/>
                <w:w w:val="87"/>
              </w:rPr>
              <w:t>Price</w:t>
            </w:r>
          </w:p>
        </w:tc>
        <w:tc>
          <w:tcPr>
            <w:tcW w:w="18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Life (years)</w:t>
            </w: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22"/>
                <w:szCs w:val="22"/>
                <w:color w:val="auto"/>
                <w:w w:val="85"/>
              </w:rPr>
              <w:t>Value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22"/>
                <w:szCs w:val="22"/>
                <w:color w:val="auto"/>
              </w:rPr>
              <w:t>Outstanding at beginning of period</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422,972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25.97</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520" w:type="dxa"/>
            <w:vAlign w:val="bottom"/>
          </w:tcPr>
          <w:p>
            <w:pPr>
              <w:ind w:left="100"/>
              <w:spacing w:after="0"/>
              <w:rPr>
                <w:sz w:val="20"/>
                <w:szCs w:val="20"/>
                <w:color w:val="auto"/>
              </w:rPr>
            </w:pPr>
            <w:r>
              <w:rPr>
                <w:rFonts w:ascii="Arial" w:cs="Arial" w:eastAsia="Arial" w:hAnsi="Arial"/>
                <w:sz w:val="22"/>
                <w:szCs w:val="22"/>
                <w:color w:val="auto"/>
              </w:rPr>
              <w:t>Granted</w:t>
            </w:r>
          </w:p>
        </w:tc>
        <w:tc>
          <w:tcPr>
            <w:tcW w:w="1300" w:type="dxa"/>
            <w:vAlign w:val="bottom"/>
          </w:tcPr>
          <w:p>
            <w:pPr>
              <w:jc w:val="right"/>
              <w:spacing w:after="0"/>
              <w:rPr>
                <w:sz w:val="20"/>
                <w:szCs w:val="20"/>
                <w:color w:val="auto"/>
              </w:rPr>
            </w:pPr>
            <w:r>
              <w:rPr>
                <w:rFonts w:ascii="Arial" w:cs="Arial" w:eastAsia="Arial" w:hAnsi="Arial"/>
                <w:sz w:val="22"/>
                <w:szCs w:val="22"/>
                <w:color w:val="auto"/>
              </w:rPr>
              <w:t>769,115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35.94</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Forfeited</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(34,158)</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35.46</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520" w:type="dxa"/>
            <w:vAlign w:val="bottom"/>
          </w:tcPr>
          <w:p>
            <w:pPr>
              <w:ind w:left="100"/>
              <w:spacing w:after="0"/>
              <w:rPr>
                <w:sz w:val="20"/>
                <w:szCs w:val="20"/>
                <w:color w:val="auto"/>
              </w:rPr>
            </w:pPr>
            <w:r>
              <w:rPr>
                <w:rFonts w:ascii="Arial" w:cs="Arial" w:eastAsia="Arial" w:hAnsi="Arial"/>
                <w:sz w:val="22"/>
                <w:szCs w:val="22"/>
                <w:color w:val="auto"/>
              </w:rPr>
              <w:t>Expired / Cancelled</w:t>
            </w:r>
          </w:p>
        </w:tc>
        <w:tc>
          <w:tcPr>
            <w:tcW w:w="1300" w:type="dxa"/>
            <w:vAlign w:val="bottom"/>
          </w:tcPr>
          <w:p>
            <w:pPr>
              <w:jc w:val="right"/>
              <w:spacing w:after="0"/>
              <w:rPr>
                <w:sz w:val="20"/>
                <w:szCs w:val="20"/>
                <w:color w:val="auto"/>
              </w:rPr>
            </w:pPr>
            <w:r>
              <w:rPr>
                <w:rFonts w:ascii="Arial" w:cs="Arial" w:eastAsia="Arial" w:hAnsi="Arial"/>
                <w:sz w:val="22"/>
                <w:szCs w:val="22"/>
                <w:color w:val="auto"/>
              </w:rPr>
              <w:t>(2,185)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32.22</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22"/>
                <w:szCs w:val="22"/>
                <w:color w:val="auto"/>
              </w:rPr>
              <w:t>Exercised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(108,491)</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15.99</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40" w:type="dxa"/>
            <w:vAlign w:val="bottom"/>
            <w:gridSpan w:val="2"/>
          </w:tcPr>
          <w:p>
            <w:pPr>
              <w:spacing w:after="0" w:line="250" w:lineRule="exact"/>
              <w:rPr>
                <w:sz w:val="20"/>
                <w:szCs w:val="20"/>
                <w:color w:val="auto"/>
              </w:rPr>
            </w:pPr>
            <w:r>
              <w:rPr>
                <w:rFonts w:ascii="Arial" w:cs="Arial" w:eastAsia="Arial" w:hAnsi="Arial"/>
                <w:sz w:val="22"/>
                <w:szCs w:val="22"/>
                <w:color w:val="auto"/>
              </w:rPr>
              <w:t>Outstanding at end of period</w:t>
            </w:r>
          </w:p>
        </w:tc>
        <w:tc>
          <w:tcPr>
            <w:tcW w:w="13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1,047,253</w:t>
            </w:r>
          </w:p>
        </w:tc>
        <w:tc>
          <w:tcPr>
            <w:tcW w:w="360" w:type="dxa"/>
            <w:vAlign w:val="bottom"/>
            <w:tcBorders>
              <w:bottom w:val="single" w:sz="8" w:color="auto"/>
            </w:tcBorders>
            <w:gridSpan w:val="2"/>
          </w:tcPr>
          <w:p>
            <w:pPr>
              <w:jc w:val="right"/>
              <w:ind w:right="60"/>
              <w:spacing w:after="0" w:line="250"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34.00</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8.6</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11,337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Borders>
              <w:bottom w:val="single" w:sz="8" w:color="CCEEFF"/>
            </w:tcBorders>
            <w:shd w:val="clear" w:color="auto" w:fill="CCEEFF"/>
          </w:tcPr>
          <w:p>
            <w:pPr>
              <w:spacing w:after="0" w:line="229" w:lineRule="exact"/>
              <w:rPr>
                <w:sz w:val="20"/>
                <w:szCs w:val="20"/>
                <w:color w:val="auto"/>
              </w:rPr>
            </w:pPr>
            <w:r>
              <w:rPr>
                <w:rFonts w:ascii="Arial" w:cs="Arial" w:eastAsia="Arial" w:hAnsi="Arial"/>
                <w:sz w:val="22"/>
                <w:szCs w:val="22"/>
                <w:color w:val="auto"/>
              </w:rPr>
              <w:t>Exercisable at end of period</w:t>
            </w:r>
          </w:p>
        </w:tc>
        <w:tc>
          <w:tcPr>
            <w:tcW w:w="13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175,279</w:t>
            </w:r>
          </w:p>
        </w:tc>
        <w:tc>
          <w:tcPr>
            <w:tcW w:w="360" w:type="dxa"/>
            <w:vAlign w:val="bottom"/>
            <w:tcBorders>
              <w:bottom w:val="single" w:sz="8" w:color="auto"/>
            </w:tcBorders>
            <w:gridSpan w:val="2"/>
            <w:shd w:val="clear" w:color="auto" w:fill="CCEEFF"/>
          </w:tcPr>
          <w:p>
            <w:pPr>
              <w:jc w:val="right"/>
              <w:ind w:right="60"/>
              <w:spacing w:after="0" w:line="229"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26.14</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5.4</w:t>
            </w: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b w:val="1"/>
          <w:bCs w:val="1"/>
          <w:i w:val="1"/>
          <w:iCs w:val="1"/>
          <w:color w:val="auto"/>
        </w:rPr>
        <w:t xml:space="preserve">Stock Awards </w:t>
      </w:r>
      <w:r>
        <w:rPr>
          <w:rFonts w:ascii="Arial" w:cs="Arial" w:eastAsia="Arial" w:hAnsi="Arial"/>
          <w:sz w:val="22"/>
          <w:szCs w:val="22"/>
          <w:color w:val="auto"/>
        </w:rPr>
        <w:t>– Stock awards represent the issuance of the Company’s common stock, without restriction. The issuance of stock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awards results in compensation expense which is equal to the fair market value of the stock on the grant date, and is expensed immediately upon grant. The following table provides the compensation cost and income tax benefit for stock-based compensation related to stock awards: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4"/>
          </w:tcPr>
          <w:p>
            <w:pPr>
              <w:jc w:val="center"/>
              <w:ind w:left="312"/>
              <w:spacing w:after="0"/>
              <w:rPr>
                <w:sz w:val="20"/>
                <w:szCs w:val="20"/>
                <w:color w:val="auto"/>
              </w:rPr>
            </w:pPr>
            <w:r>
              <w:rPr>
                <w:rFonts w:ascii="Arial" w:cs="Arial" w:eastAsia="Arial" w:hAnsi="Arial"/>
                <w:sz w:val="22"/>
                <w:szCs w:val="22"/>
                <w:color w:val="auto"/>
                <w:w w:val="89"/>
              </w:rPr>
              <w:t>Three Months Ended</w:t>
            </w: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20" w:type="dxa"/>
            <w:vAlign w:val="bottom"/>
            <w:gridSpan w:val="5"/>
          </w:tcPr>
          <w:p>
            <w:pPr>
              <w:jc w:val="center"/>
              <w:ind w:right="232"/>
              <w:spacing w:after="0"/>
              <w:rPr>
                <w:sz w:val="20"/>
                <w:szCs w:val="20"/>
                <w:color w:val="auto"/>
              </w:rPr>
            </w:pPr>
            <w:r>
              <w:rPr>
                <w:rFonts w:ascii="Arial" w:cs="Arial" w:eastAsia="Arial" w:hAnsi="Arial"/>
                <w:sz w:val="22"/>
                <w:szCs w:val="22"/>
                <w:color w:val="auto"/>
                <w:w w:val="90"/>
              </w:rPr>
              <w:t>Nine Months Ended</w:t>
            </w:r>
          </w:p>
        </w:tc>
      </w:tr>
      <w:tr>
        <w:trPr>
          <w:trHeight w:val="260"/>
        </w:trPr>
        <w:tc>
          <w:tcPr>
            <w:tcW w:w="4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40" w:type="dxa"/>
            <w:vAlign w:val="bottom"/>
            <w:tcBorders>
              <w:bottom w:val="single" w:sz="8" w:color="auto"/>
            </w:tcBorders>
            <w:gridSpan w:val="4"/>
          </w:tcPr>
          <w:p>
            <w:pPr>
              <w:jc w:val="center"/>
              <w:ind w:left="312"/>
              <w:spacing w:after="0"/>
              <w:rPr>
                <w:sz w:val="20"/>
                <w:szCs w:val="20"/>
                <w:color w:val="auto"/>
              </w:rPr>
            </w:pPr>
            <w:r>
              <w:rPr>
                <w:rFonts w:ascii="Arial" w:cs="Arial" w:eastAsia="Arial" w:hAnsi="Arial"/>
                <w:sz w:val="22"/>
                <w:szCs w:val="22"/>
                <w:color w:val="auto"/>
                <w:w w:val="85"/>
              </w:rPr>
              <w:t>September 30,</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center"/>
              <w:ind w:left="592"/>
              <w:spacing w:after="0"/>
              <w:rPr>
                <w:sz w:val="20"/>
                <w:szCs w:val="20"/>
                <w:color w:val="auto"/>
              </w:rPr>
            </w:pPr>
            <w:r>
              <w:rPr>
                <w:rFonts w:ascii="Arial" w:cs="Arial" w:eastAsia="Arial" w:hAnsi="Arial"/>
                <w:sz w:val="22"/>
                <w:szCs w:val="22"/>
                <w:color w:val="auto"/>
                <w:w w:val="85"/>
              </w:rPr>
              <w:t>September 30,</w:t>
            </w:r>
          </w:p>
        </w:tc>
        <w:tc>
          <w:tcPr>
            <w:tcW w:w="1060" w:type="dxa"/>
            <w:vAlign w:val="bottom"/>
            <w:tcBorders>
              <w:bottom w:val="single" w:sz="8" w:color="auto"/>
            </w:tcBorders>
          </w:tcPr>
          <w:p>
            <w:pPr>
              <w:spacing w:after="0"/>
              <w:rPr>
                <w:sz w:val="22"/>
                <w:szCs w:val="22"/>
                <w:color w:val="auto"/>
              </w:rPr>
            </w:pPr>
          </w:p>
        </w:tc>
      </w:tr>
      <w:tr>
        <w:trPr>
          <w:trHeight w:val="264"/>
        </w:trPr>
        <w:tc>
          <w:tcPr>
            <w:tcW w:w="450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2019</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2018</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512"/>
              <w:spacing w:after="0"/>
              <w:rPr>
                <w:sz w:val="20"/>
                <w:szCs w:val="20"/>
                <w:color w:val="auto"/>
              </w:rPr>
            </w:pPr>
            <w:r>
              <w:rPr>
                <w:rFonts w:ascii="Arial" w:cs="Arial" w:eastAsia="Arial" w:hAnsi="Arial"/>
                <w:sz w:val="22"/>
                <w:szCs w:val="22"/>
                <w:color w:val="auto"/>
              </w:rPr>
              <w:t>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472"/>
              <w:spacing w:after="0"/>
              <w:rPr>
                <w:sz w:val="20"/>
                <w:szCs w:val="20"/>
                <w:color w:val="auto"/>
              </w:rPr>
            </w:pPr>
            <w:r>
              <w:rPr>
                <w:rFonts w:ascii="Arial" w:cs="Arial" w:eastAsia="Arial" w:hAnsi="Arial"/>
                <w:sz w:val="22"/>
                <w:szCs w:val="22"/>
                <w:color w:val="auto"/>
                <w:w w:val="93"/>
              </w:rPr>
              <w:t>2018</w:t>
            </w:r>
          </w:p>
        </w:tc>
      </w:tr>
      <w:tr>
        <w:trPr>
          <w:trHeight w:val="188"/>
        </w:trPr>
        <w:tc>
          <w:tcPr>
            <w:tcW w:w="45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w w:val="97"/>
              </w:rPr>
              <w:t>Stock-based compensation within operations and</w:t>
            </w:r>
          </w:p>
        </w:tc>
        <w:tc>
          <w:tcPr>
            <w:tcW w:w="2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251"/>
        </w:trPr>
        <w:tc>
          <w:tcPr>
            <w:tcW w:w="450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200" w:type="dxa"/>
            <w:vAlign w:val="bottom"/>
            <w:gridSpan w:val="2"/>
            <w:shd w:val="clear" w:color="auto" w:fill="CCEEFF"/>
          </w:tcPr>
          <w:p>
            <w:pPr>
              <w:jc w:val="right"/>
              <w:ind w:right="752"/>
              <w:spacing w:after="0" w:line="251" w:lineRule="exact"/>
              <w:rPr>
                <w:sz w:val="20"/>
                <w:szCs w:val="20"/>
                <w:color w:val="auto"/>
              </w:rPr>
            </w:pPr>
            <w:r>
              <w:rPr>
                <w:rFonts w:ascii="Arial" w:cs="Arial" w:eastAsia="Arial" w:hAnsi="Arial"/>
                <w:sz w:val="22"/>
                <w:szCs w:val="22"/>
                <w:color w:val="auto"/>
              </w:rPr>
              <w:t>$</w:t>
            </w:r>
          </w:p>
        </w:tc>
        <w:tc>
          <w:tcPr>
            <w:tcW w:w="620" w:type="dxa"/>
            <w:vAlign w:val="bottom"/>
            <w:gridSpan w:val="2"/>
            <w:shd w:val="clear" w:color="auto" w:fill="CCEEFF"/>
          </w:tcPr>
          <w:p>
            <w:pPr>
              <w:jc w:val="right"/>
              <w:ind w:right="240"/>
              <w:spacing w:after="0" w:line="251" w:lineRule="exact"/>
              <w:rPr>
                <w:sz w:val="20"/>
                <w:szCs w:val="20"/>
                <w:color w:val="auto"/>
              </w:rPr>
            </w:pPr>
            <w:r>
              <w:rPr>
                <w:rFonts w:ascii="Arial" w:cs="Arial" w:eastAsia="Arial" w:hAnsi="Arial"/>
                <w:sz w:val="22"/>
                <w:szCs w:val="22"/>
                <w:color w:val="auto"/>
                <w:w w:val="97"/>
              </w:rPr>
              <w:t>158</w:t>
            </w:r>
          </w:p>
        </w:tc>
        <w:tc>
          <w:tcPr>
            <w:tcW w:w="960" w:type="dxa"/>
            <w:vAlign w:val="bottom"/>
            <w:shd w:val="clear" w:color="auto" w:fill="CCEEFF"/>
          </w:tcPr>
          <w:p>
            <w:pPr>
              <w:jc w:val="right"/>
              <w:ind w:right="757"/>
              <w:spacing w:after="0"/>
              <w:rPr>
                <w:sz w:val="20"/>
                <w:szCs w:val="20"/>
                <w:color w:val="auto"/>
              </w:rPr>
            </w:pPr>
            <w:r>
              <w:rPr>
                <w:rFonts w:ascii="Arial" w:cs="Arial" w:eastAsia="Arial" w:hAnsi="Arial"/>
                <w:sz w:val="19"/>
                <w:szCs w:val="19"/>
                <w:color w:val="auto"/>
                <w:w w:val="75"/>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160</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32"/>
              <w:spacing w:after="0" w:line="251" w:lineRule="exact"/>
              <w:rPr>
                <w:sz w:val="20"/>
                <w:szCs w:val="20"/>
                <w:color w:val="auto"/>
              </w:rPr>
            </w:pPr>
            <w:r>
              <w:rPr>
                <w:rFonts w:ascii="Arial" w:cs="Arial" w:eastAsia="Arial" w:hAnsi="Arial"/>
                <w:sz w:val="22"/>
                <w:szCs w:val="22"/>
                <w:color w:val="auto"/>
                <w:w w:val="81"/>
              </w:rPr>
              <w:t>$</w:t>
            </w:r>
          </w:p>
        </w:tc>
        <w:tc>
          <w:tcPr>
            <w:tcW w:w="140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540</w:t>
            </w:r>
          </w:p>
        </w:tc>
        <w:tc>
          <w:tcPr>
            <w:tcW w:w="660" w:type="dxa"/>
            <w:vAlign w:val="bottom"/>
            <w:gridSpan w:val="2"/>
            <w:shd w:val="clear" w:color="auto" w:fill="CCEEFF"/>
          </w:tcPr>
          <w:p>
            <w:pPr>
              <w:jc w:val="right"/>
              <w:ind w:right="440"/>
              <w:spacing w:after="0" w:line="251" w:lineRule="exact"/>
              <w:rPr>
                <w:sz w:val="20"/>
                <w:szCs w:val="20"/>
                <w:color w:val="auto"/>
              </w:rPr>
            </w:pPr>
            <w:r>
              <w:rPr>
                <w:rFonts w:ascii="Arial" w:cs="Arial" w:eastAsia="Arial" w:hAnsi="Arial"/>
                <w:sz w:val="22"/>
                <w:szCs w:val="22"/>
                <w:color w:val="auto"/>
              </w:rPr>
              <w:t>$</w:t>
            </w:r>
          </w:p>
        </w:tc>
        <w:tc>
          <w:tcPr>
            <w:tcW w:w="10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440</w:t>
            </w:r>
          </w:p>
        </w:tc>
      </w:tr>
      <w:tr>
        <w:trPr>
          <w:trHeight w:val="307"/>
        </w:trPr>
        <w:tc>
          <w:tcPr>
            <w:tcW w:w="4500" w:type="dxa"/>
            <w:vAlign w:val="bottom"/>
          </w:tcPr>
          <w:p>
            <w:pPr>
              <w:spacing w:after="0"/>
              <w:rPr>
                <w:sz w:val="20"/>
                <w:szCs w:val="20"/>
                <w:color w:val="auto"/>
              </w:rPr>
            </w:pPr>
            <w:r>
              <w:rPr>
                <w:rFonts w:ascii="Arial" w:cs="Arial" w:eastAsia="Arial" w:hAnsi="Arial"/>
                <w:sz w:val="22"/>
                <w:szCs w:val="22"/>
                <w:color w:val="auto"/>
              </w:rPr>
              <w:t>Income tax benefit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22"/>
                <w:szCs w:val="22"/>
                <w:color w:val="auto"/>
              </w:rPr>
              <w:t>46</w:t>
            </w: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46</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22"/>
                <w:szCs w:val="22"/>
                <w:color w:val="auto"/>
              </w:rPr>
              <w:t>156</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127</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award transactions for the nine months ended September 30,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jc w:val="center"/>
              <w:ind w:right="232"/>
              <w:spacing w:after="0"/>
              <w:rPr>
                <w:sz w:val="20"/>
                <w:szCs w:val="20"/>
                <w:color w:val="auto"/>
              </w:rPr>
            </w:pPr>
            <w:r>
              <w:rPr>
                <w:rFonts w:ascii="Arial" w:cs="Arial" w:eastAsia="Arial" w:hAnsi="Arial"/>
                <w:sz w:val="22"/>
                <w:szCs w:val="22"/>
                <w:color w:val="auto"/>
                <w:w w:val="90"/>
              </w:rPr>
              <w:t>Weighted</w:t>
            </w:r>
          </w:p>
        </w:tc>
      </w:tr>
      <w:tr>
        <w:trPr>
          <w:trHeight w:val="230"/>
        </w:trPr>
        <w:tc>
          <w:tcPr>
            <w:tcW w:w="7260" w:type="dxa"/>
            <w:vAlign w:val="bottom"/>
          </w:tcPr>
          <w:p>
            <w:pPr>
              <w:spacing w:after="0"/>
              <w:rPr>
                <w:sz w:val="19"/>
                <w:szCs w:val="19"/>
                <w:color w:val="auto"/>
              </w:rPr>
            </w:pPr>
          </w:p>
        </w:tc>
        <w:tc>
          <w:tcPr>
            <w:tcW w:w="184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center"/>
              <w:ind w:right="23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726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9"/>
              </w:rPr>
              <w:t>Stock Awards</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23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72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stock awards at beginning of period</w:t>
            </w:r>
          </w:p>
        </w:tc>
        <w:tc>
          <w:tcPr>
            <w:tcW w:w="18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17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r>
      <w:tr>
        <w:trPr>
          <w:trHeight w:val="230"/>
        </w:trPr>
        <w:tc>
          <w:tcPr>
            <w:tcW w:w="726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13,368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line="229" w:lineRule="exact"/>
              <w:rPr>
                <w:sz w:val="20"/>
                <w:szCs w:val="20"/>
                <w:color w:val="auto"/>
              </w:rPr>
            </w:pPr>
            <w:r>
              <w:rPr>
                <w:rFonts w:ascii="Arial" w:cs="Arial" w:eastAsia="Arial" w:hAnsi="Arial"/>
                <w:sz w:val="22"/>
                <w:szCs w:val="22"/>
                <w:color w:val="auto"/>
              </w:rPr>
              <w:t>40.41</w:t>
            </w:r>
          </w:p>
        </w:tc>
      </w:tr>
      <w:tr>
        <w:trPr>
          <w:trHeight w:val="230"/>
        </w:trPr>
        <w:tc>
          <w:tcPr>
            <w:tcW w:w="72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8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(13,368)</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40.41</w:t>
            </w:r>
          </w:p>
        </w:tc>
      </w:tr>
      <w:tr>
        <w:trPr>
          <w:trHeight w:val="223"/>
        </w:trPr>
        <w:tc>
          <w:tcPr>
            <w:tcW w:w="7260" w:type="dxa"/>
            <w:vAlign w:val="bottom"/>
          </w:tcPr>
          <w:p>
            <w:pPr>
              <w:spacing w:after="0" w:line="223" w:lineRule="exact"/>
              <w:rPr>
                <w:sz w:val="20"/>
                <w:szCs w:val="20"/>
                <w:color w:val="auto"/>
              </w:rPr>
            </w:pPr>
            <w:r>
              <w:rPr>
                <w:rFonts w:ascii="Arial" w:cs="Arial" w:eastAsia="Arial" w:hAnsi="Arial"/>
                <w:sz w:val="22"/>
                <w:szCs w:val="22"/>
                <w:color w:val="auto"/>
              </w:rPr>
              <w:t>Nonvested stock awards at end of period</w:t>
            </w:r>
          </w:p>
        </w:tc>
        <w:tc>
          <w:tcPr>
            <w:tcW w:w="18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spacing w:after="0" w:line="223" w:lineRule="exact"/>
              <w:rPr>
                <w:sz w:val="20"/>
                <w:szCs w:val="20"/>
                <w:color w:val="auto"/>
              </w:rPr>
            </w:pPr>
            <w:r>
              <w:rPr>
                <w:rFonts w:ascii="Arial" w:cs="Arial" w:eastAsia="Arial" w:hAnsi="Arial"/>
                <w:sz w:val="22"/>
                <w:szCs w:val="22"/>
                <w:color w:val="auto"/>
              </w:rPr>
              <w:t>-</w:t>
            </w:r>
          </w:p>
        </w:tc>
      </w:tr>
      <w:tr>
        <w:trPr>
          <w:trHeight w:val="20"/>
        </w:trPr>
        <w:tc>
          <w:tcPr>
            <w:tcW w:w="72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The per unit weighted-average fair value at the date of grant for stock awards granted during the nine months ended September 30, 2019 and 2018 was $40.41 and $35.34,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6" w:name="page27"/>
    <w:bookmarkEnd w:id="2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Pension Plans and Other Postretirement Benefits</w:t>
      </w:r>
    </w:p>
    <w:p>
      <w:pPr>
        <w:spacing w:after="0" w:line="212" w:lineRule="exact"/>
        <w:rPr>
          <w:sz w:val="20"/>
          <w:szCs w:val="20"/>
          <w:color w:val="auto"/>
        </w:rPr>
      </w:pPr>
    </w:p>
    <w:p>
      <w:pPr>
        <w:ind w:right="80"/>
        <w:spacing w:after="0" w:line="226" w:lineRule="auto"/>
        <w:rPr>
          <w:sz w:val="20"/>
          <w:szCs w:val="20"/>
          <w:color w:val="auto"/>
        </w:rPr>
      </w:pPr>
      <w:r>
        <w:rPr>
          <w:rFonts w:ascii="Arial" w:cs="Arial" w:eastAsia="Arial" w:hAnsi="Arial"/>
          <w:sz w:val="22"/>
          <w:szCs w:val="22"/>
          <w:color w:val="auto"/>
        </w:rPr>
        <w:t>The Company maintains a qualified defined benefit pension plan (the “Pension Plan”),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6"/>
          </w:tcPr>
          <w:p>
            <w:pPr>
              <w:ind w:left="520"/>
              <w:spacing w:after="0"/>
              <w:rPr>
                <w:sz w:val="20"/>
                <w:szCs w:val="20"/>
                <w:color w:val="auto"/>
              </w:rPr>
            </w:pPr>
            <w:r>
              <w:rPr>
                <w:rFonts w:ascii="Arial" w:cs="Arial" w:eastAsia="Arial" w:hAnsi="Arial"/>
                <w:sz w:val="22"/>
                <w:szCs w:val="22"/>
                <w:color w:val="auto"/>
              </w:rPr>
              <w:t>Pension Benefits</w:t>
            </w: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jc w:val="right"/>
              <w:ind w:right="70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40" w:type="dxa"/>
            <w:vAlign w:val="bottom"/>
            <w:gridSpan w:val="4"/>
          </w:tcPr>
          <w:p>
            <w:pPr>
              <w:jc w:val="right"/>
              <w:ind w:right="752"/>
              <w:spacing w:after="0" w:line="202" w:lineRule="exact"/>
              <w:rPr>
                <w:sz w:val="20"/>
                <w:szCs w:val="20"/>
                <w:color w:val="auto"/>
              </w:rPr>
            </w:pPr>
            <w:r>
              <w:rPr>
                <w:rFonts w:ascii="Arial" w:cs="Arial" w:eastAsia="Arial" w:hAnsi="Arial"/>
                <w:sz w:val="22"/>
                <w:szCs w:val="22"/>
                <w:color w:val="auto"/>
              </w:rPr>
              <w:t>Nine Months Ended</w:t>
            </w:r>
          </w:p>
        </w:tc>
        <w:tc>
          <w:tcPr>
            <w:tcW w:w="20" w:type="dxa"/>
            <w:vAlign w:val="bottom"/>
          </w:tcPr>
          <w:p>
            <w:pPr>
              <w:spacing w:after="0"/>
              <w:rPr>
                <w:sz w:val="17"/>
                <w:szCs w:val="17"/>
                <w:color w:val="auto"/>
              </w:rPr>
            </w:pPr>
          </w:p>
        </w:tc>
      </w:tr>
      <w:tr>
        <w:trPr>
          <w:trHeight w:val="251"/>
        </w:trPr>
        <w:tc>
          <w:tcPr>
            <w:tcW w:w="4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line="251" w:lineRule="exact"/>
              <w:rPr>
                <w:sz w:val="20"/>
                <w:szCs w:val="20"/>
                <w:color w:val="auto"/>
              </w:rPr>
            </w:pPr>
            <w:r>
              <w:rPr>
                <w:rFonts w:ascii="Arial" w:cs="Arial" w:eastAsia="Arial" w:hAnsi="Arial"/>
                <w:sz w:val="22"/>
                <w:szCs w:val="22"/>
                <w:color w:val="auto"/>
              </w:rPr>
              <w:t>September 30,</w:t>
            </w:r>
          </w:p>
        </w:tc>
        <w:tc>
          <w:tcPr>
            <w:tcW w:w="9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line="251" w:lineRule="exact"/>
              <w:rPr>
                <w:sz w:val="20"/>
                <w:szCs w:val="20"/>
                <w:color w:val="auto"/>
              </w:rPr>
            </w:pPr>
            <w:r>
              <w:rPr>
                <w:rFonts w:ascii="Arial" w:cs="Arial" w:eastAsia="Arial" w:hAnsi="Arial"/>
                <w:sz w:val="22"/>
                <w:szCs w:val="22"/>
                <w:color w:val="auto"/>
              </w:rPr>
              <w:t>September 30,</w:t>
            </w: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45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2019</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w w:val="85"/>
              </w:rPr>
              <w:t>2018</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2019</w:t>
            </w:r>
          </w:p>
        </w:tc>
        <w:tc>
          <w:tcPr>
            <w:tcW w:w="2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w w:val="89"/>
              </w:rPr>
              <w:t>2018</w:t>
            </w:r>
          </w:p>
        </w:tc>
        <w:tc>
          <w:tcPr>
            <w:tcW w:w="20" w:type="dxa"/>
            <w:vAlign w:val="bottom"/>
          </w:tcPr>
          <w:p>
            <w:pPr>
              <w:spacing w:after="0"/>
              <w:rPr>
                <w:sz w:val="22"/>
                <w:szCs w:val="22"/>
                <w:color w:val="auto"/>
              </w:rPr>
            </w:pPr>
          </w:p>
        </w:tc>
      </w:tr>
      <w:tr>
        <w:trPr>
          <w:trHeight w:val="26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680</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9"/>
                <w:szCs w:val="19"/>
                <w:color w:val="auto"/>
                <w:w w:val="7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812</w:t>
            </w: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2,040</w:t>
            </w: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9"/>
                <w:szCs w:val="19"/>
                <w:color w:val="auto"/>
                <w:w w:val="7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2,436</w:t>
            </w:r>
          </w:p>
        </w:tc>
        <w:tc>
          <w:tcPr>
            <w:tcW w:w="20" w:type="dxa"/>
            <w:vAlign w:val="bottom"/>
          </w:tcPr>
          <w:p>
            <w:pPr>
              <w:spacing w:after="0"/>
              <w:rPr>
                <w:sz w:val="22"/>
                <w:szCs w:val="22"/>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22"/>
                <w:szCs w:val="22"/>
                <w:color w:val="auto"/>
              </w:rPr>
              <w:t>Interest cost</w:t>
            </w:r>
          </w:p>
        </w:tc>
        <w:tc>
          <w:tcPr>
            <w:tcW w:w="3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2"/>
                <w:szCs w:val="22"/>
                <w:color w:val="auto"/>
              </w:rPr>
              <w:t>2,954</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2,874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8,862</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8,622</w:t>
            </w:r>
          </w:p>
        </w:tc>
        <w:tc>
          <w:tcPr>
            <w:tcW w:w="20" w:type="dxa"/>
            <w:vAlign w:val="bottom"/>
          </w:tcPr>
          <w:p>
            <w:pPr>
              <w:spacing w:after="0"/>
              <w:rPr>
                <w:sz w:val="24"/>
                <w:szCs w:val="24"/>
                <w:color w:val="auto"/>
              </w:rPr>
            </w:pPr>
          </w:p>
        </w:tc>
      </w:tr>
      <w:tr>
        <w:trPr>
          <w:trHeight w:val="28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(3,818)</w:t>
            </w:r>
          </w:p>
        </w:tc>
        <w:tc>
          <w:tcPr>
            <w:tcW w:w="4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(4,553)</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(11,454)</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(13,659)</w:t>
            </w:r>
          </w:p>
        </w:tc>
        <w:tc>
          <w:tcPr>
            <w:tcW w:w="20" w:type="dxa"/>
            <w:vAlign w:val="bottom"/>
          </w:tcPr>
          <w:p>
            <w:pPr>
              <w:spacing w:after="0"/>
              <w:rPr>
                <w:sz w:val="24"/>
                <w:szCs w:val="24"/>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3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2"/>
                <w:szCs w:val="22"/>
                <w:color w:val="auto"/>
              </w:rPr>
              <w:t>155</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465</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396</w:t>
            </w:r>
          </w:p>
        </w:tc>
        <w:tc>
          <w:tcPr>
            <w:tcW w:w="20" w:type="dxa"/>
            <w:vAlign w:val="bottom"/>
          </w:tcPr>
          <w:p>
            <w:pPr>
              <w:spacing w:after="0"/>
              <w:rPr>
                <w:sz w:val="24"/>
                <w:szCs w:val="24"/>
                <w:color w:val="auto"/>
              </w:rPr>
            </w:pPr>
          </w:p>
        </w:tc>
      </w:tr>
      <w:tr>
        <w:trPr>
          <w:trHeight w:val="28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3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1,982</w:t>
            </w:r>
          </w:p>
        </w:tc>
        <w:tc>
          <w:tcPr>
            <w:tcW w:w="2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1,823</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5,946</w:t>
            </w:r>
          </w:p>
        </w:tc>
        <w:tc>
          <w:tcPr>
            <w:tcW w:w="22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5,469</w:t>
            </w:r>
          </w:p>
        </w:tc>
        <w:tc>
          <w:tcPr>
            <w:tcW w:w="20" w:type="dxa"/>
            <w:vAlign w:val="bottom"/>
          </w:tcPr>
          <w:p>
            <w:pPr>
              <w:spacing w:after="0"/>
              <w:rPr>
                <w:sz w:val="24"/>
                <w:szCs w:val="24"/>
                <w:color w:val="auto"/>
              </w:rPr>
            </w:pPr>
          </w:p>
        </w:tc>
      </w:tr>
      <w:tr>
        <w:trPr>
          <w:trHeight w:val="250"/>
        </w:trPr>
        <w:tc>
          <w:tcPr>
            <w:tcW w:w="452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color w:val="auto"/>
                <w:w w:val="75"/>
              </w:rPr>
              <w:t>$</w:t>
            </w:r>
          </w:p>
        </w:tc>
        <w:tc>
          <w:tcPr>
            <w:tcW w:w="1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1,953</w:t>
            </w:r>
          </w:p>
        </w:tc>
        <w:tc>
          <w:tcPr>
            <w:tcW w:w="220" w:type="dxa"/>
            <w:vAlign w:val="bottom"/>
          </w:tcPr>
          <w:p>
            <w:pPr>
              <w:spacing w:after="0"/>
              <w:rPr>
                <w:sz w:val="21"/>
                <w:szCs w:val="21"/>
                <w:color w:val="auto"/>
              </w:rPr>
            </w:pPr>
          </w:p>
        </w:tc>
        <w:tc>
          <w:tcPr>
            <w:tcW w:w="460" w:type="dxa"/>
            <w:vAlign w:val="bottom"/>
            <w:tcBorders>
              <w:bottom w:val="single" w:sz="8" w:color="auto"/>
            </w:tcBorders>
          </w:tcPr>
          <w:p>
            <w:pPr>
              <w:jc w:val="right"/>
              <w:ind w:right="263"/>
              <w:spacing w:after="0"/>
              <w:rPr>
                <w:sz w:val="20"/>
                <w:szCs w:val="20"/>
                <w:color w:val="auto"/>
              </w:rPr>
            </w:pPr>
            <w:r>
              <w:rPr>
                <w:rFonts w:ascii="Arial" w:cs="Arial" w:eastAsia="Arial" w:hAnsi="Arial"/>
                <w:sz w:val="19"/>
                <w:szCs w:val="19"/>
                <w:color w:val="auto"/>
                <w:w w:val="75"/>
              </w:rPr>
              <w:t>$</w:t>
            </w:r>
          </w:p>
        </w:tc>
        <w:tc>
          <w:tcPr>
            <w:tcW w:w="9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1,088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jc w:val="right"/>
              <w:ind w:right="212"/>
              <w:spacing w:after="0" w:line="250" w:lineRule="exact"/>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5,859</w:t>
            </w:r>
          </w:p>
        </w:tc>
        <w:tc>
          <w:tcPr>
            <w:tcW w:w="220" w:type="dxa"/>
            <w:vAlign w:val="bottom"/>
          </w:tcPr>
          <w:p>
            <w:pPr>
              <w:spacing w:after="0"/>
              <w:rPr>
                <w:sz w:val="21"/>
                <w:szCs w:val="21"/>
                <w:color w:val="auto"/>
              </w:rPr>
            </w:pPr>
          </w:p>
        </w:tc>
        <w:tc>
          <w:tcPr>
            <w:tcW w:w="5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w w:val="75"/>
              </w:rPr>
              <w:t>$</w:t>
            </w:r>
          </w:p>
        </w:tc>
        <w:tc>
          <w:tcPr>
            <w:tcW w:w="10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3,264</w:t>
            </w:r>
          </w:p>
        </w:tc>
        <w:tc>
          <w:tcPr>
            <w:tcW w:w="20" w:type="dxa"/>
            <w:vAlign w:val="bottom"/>
          </w:tcPr>
          <w:p>
            <w:pPr>
              <w:spacing w:after="0"/>
              <w:rPr>
                <w:sz w:val="21"/>
                <w:szCs w:val="21"/>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8"/>
        </w:trPr>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22"/>
                <w:szCs w:val="22"/>
                <w:color w:val="auto"/>
                <w:w w:val="94"/>
              </w:rPr>
              <w:t>Other</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4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6"/>
          </w:tcPr>
          <w:p>
            <w:pPr>
              <w:jc w:val="right"/>
              <w:ind w:right="820"/>
              <w:spacing w:after="0" w:line="251" w:lineRule="exact"/>
              <w:rPr>
                <w:sz w:val="20"/>
                <w:szCs w:val="20"/>
                <w:color w:val="auto"/>
              </w:rPr>
            </w:pPr>
            <w:r>
              <w:rPr>
                <w:rFonts w:ascii="Arial" w:cs="Arial" w:eastAsia="Arial" w:hAnsi="Arial"/>
                <w:sz w:val="22"/>
                <w:szCs w:val="22"/>
                <w:color w:val="auto"/>
                <w:w w:val="97"/>
              </w:rPr>
              <w:t>Postretirement Benefits</w:t>
            </w: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jc w:val="right"/>
              <w:ind w:right="56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40" w:type="dxa"/>
            <w:vAlign w:val="bottom"/>
            <w:gridSpan w:val="4"/>
          </w:tcPr>
          <w:p>
            <w:pPr>
              <w:jc w:val="right"/>
              <w:ind w:right="652"/>
              <w:spacing w:after="0" w:line="202" w:lineRule="exact"/>
              <w:rPr>
                <w:sz w:val="20"/>
                <w:szCs w:val="20"/>
                <w:color w:val="auto"/>
              </w:rPr>
            </w:pPr>
            <w:r>
              <w:rPr>
                <w:rFonts w:ascii="Arial" w:cs="Arial" w:eastAsia="Arial" w:hAnsi="Arial"/>
                <w:sz w:val="22"/>
                <w:szCs w:val="22"/>
                <w:color w:val="auto"/>
              </w:rPr>
              <w:t>Nine Months Ended</w:t>
            </w:r>
          </w:p>
        </w:tc>
        <w:tc>
          <w:tcPr>
            <w:tcW w:w="20" w:type="dxa"/>
            <w:vAlign w:val="bottom"/>
          </w:tcPr>
          <w:p>
            <w:pPr>
              <w:spacing w:after="0"/>
              <w:rPr>
                <w:sz w:val="17"/>
                <w:szCs w:val="17"/>
                <w:color w:val="auto"/>
              </w:rPr>
            </w:pPr>
          </w:p>
        </w:tc>
      </w:tr>
      <w:tr>
        <w:trPr>
          <w:trHeight w:val="251"/>
        </w:trPr>
        <w:tc>
          <w:tcPr>
            <w:tcW w:w="4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40" w:type="dxa"/>
            <w:vAlign w:val="bottom"/>
            <w:gridSpan w:val="5"/>
          </w:tcPr>
          <w:p>
            <w:pPr>
              <w:jc w:val="right"/>
              <w:ind w:right="860"/>
              <w:spacing w:after="0" w:line="251" w:lineRule="exact"/>
              <w:rPr>
                <w:sz w:val="20"/>
                <w:szCs w:val="20"/>
                <w:color w:val="auto"/>
              </w:rPr>
            </w:pPr>
            <w:r>
              <w:rPr>
                <w:rFonts w:ascii="Arial" w:cs="Arial" w:eastAsia="Arial" w:hAnsi="Arial"/>
                <w:sz w:val="22"/>
                <w:szCs w:val="22"/>
                <w:color w:val="auto"/>
              </w:rPr>
              <w:t>September 30,</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60" w:type="dxa"/>
            <w:vAlign w:val="bottom"/>
            <w:gridSpan w:val="5"/>
          </w:tcPr>
          <w:p>
            <w:pPr>
              <w:jc w:val="right"/>
              <w:ind w:right="1020"/>
              <w:spacing w:after="0" w:line="251" w:lineRule="exact"/>
              <w:rPr>
                <w:sz w:val="20"/>
                <w:szCs w:val="20"/>
                <w:color w:val="auto"/>
              </w:rPr>
            </w:pPr>
            <w:r>
              <w:rPr>
                <w:rFonts w:ascii="Arial" w:cs="Arial" w:eastAsia="Arial" w:hAnsi="Arial"/>
                <w:sz w:val="22"/>
                <w:szCs w:val="22"/>
                <w:color w:val="auto"/>
              </w:rPr>
              <w:t>September 30,</w:t>
            </w:r>
          </w:p>
        </w:tc>
      </w:tr>
      <w:tr>
        <w:trPr>
          <w:trHeight w:val="264"/>
        </w:trPr>
        <w:tc>
          <w:tcPr>
            <w:tcW w:w="45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color w:val="auto"/>
              </w:rPr>
              <w:t>2019</w:t>
            </w:r>
          </w:p>
        </w:tc>
        <w:tc>
          <w:tcPr>
            <w:tcW w:w="22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color w:val="auto"/>
                <w:w w:val="85"/>
              </w:rPr>
              <w:t>2018</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22"/>
                <w:szCs w:val="22"/>
                <w:color w:val="auto"/>
              </w:rPr>
              <w:t>2019</w:t>
            </w:r>
          </w:p>
        </w:tc>
        <w:tc>
          <w:tcPr>
            <w:tcW w:w="220" w:type="dxa"/>
            <w:vAlign w:val="bottom"/>
            <w:tcBorders>
              <w:top w:val="single" w:sz="8" w:color="auto"/>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22"/>
                <w:szCs w:val="22"/>
                <w:color w:val="auto"/>
                <w:w w:val="89"/>
              </w:rPr>
              <w:t>2018</w:t>
            </w:r>
          </w:p>
        </w:tc>
        <w:tc>
          <w:tcPr>
            <w:tcW w:w="20" w:type="dxa"/>
            <w:vAlign w:val="bottom"/>
          </w:tcPr>
          <w:p>
            <w:pPr>
              <w:spacing w:after="0"/>
              <w:rPr>
                <w:sz w:val="22"/>
                <w:szCs w:val="22"/>
                <w:color w:val="auto"/>
              </w:rPr>
            </w:pPr>
          </w:p>
        </w:tc>
      </w:tr>
      <w:tr>
        <w:trPr>
          <w:trHeight w:val="26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205</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9"/>
                <w:szCs w:val="19"/>
                <w:color w:val="auto"/>
                <w:w w:val="7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262</w:t>
            </w: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615</w:t>
            </w: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9"/>
                <w:szCs w:val="19"/>
                <w:color w:val="auto"/>
                <w:w w:val="7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786</w:t>
            </w:r>
          </w:p>
        </w:tc>
        <w:tc>
          <w:tcPr>
            <w:tcW w:w="20" w:type="dxa"/>
            <w:vAlign w:val="bottom"/>
          </w:tcPr>
          <w:p>
            <w:pPr>
              <w:spacing w:after="0"/>
              <w:rPr>
                <w:sz w:val="22"/>
                <w:szCs w:val="22"/>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22"/>
                <w:szCs w:val="22"/>
                <w:color w:val="auto"/>
              </w:rPr>
              <w:t>Interest cost</w:t>
            </w:r>
          </w:p>
        </w:tc>
        <w:tc>
          <w:tcPr>
            <w:tcW w:w="3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2"/>
                <w:szCs w:val="22"/>
                <w:color w:val="auto"/>
              </w:rPr>
              <w:t>750</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708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2,250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2,124</w:t>
            </w:r>
          </w:p>
        </w:tc>
        <w:tc>
          <w:tcPr>
            <w:tcW w:w="20" w:type="dxa"/>
            <w:vAlign w:val="bottom"/>
          </w:tcPr>
          <w:p>
            <w:pPr>
              <w:spacing w:after="0"/>
              <w:rPr>
                <w:sz w:val="24"/>
                <w:szCs w:val="24"/>
                <w:color w:val="auto"/>
              </w:rPr>
            </w:pPr>
          </w:p>
        </w:tc>
      </w:tr>
      <w:tr>
        <w:trPr>
          <w:trHeight w:val="28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(621)</w:t>
            </w:r>
          </w:p>
        </w:tc>
        <w:tc>
          <w:tcPr>
            <w:tcW w:w="4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(677)</w:t>
            </w: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(1,863)</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(2,031)</w:t>
            </w:r>
          </w:p>
        </w:tc>
        <w:tc>
          <w:tcPr>
            <w:tcW w:w="20" w:type="dxa"/>
            <w:vAlign w:val="bottom"/>
          </w:tcPr>
          <w:p>
            <w:pPr>
              <w:spacing w:after="0"/>
              <w:rPr>
                <w:sz w:val="24"/>
                <w:szCs w:val="24"/>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32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2"/>
                <w:szCs w:val="22"/>
                <w:color w:val="auto"/>
              </w:rPr>
              <w:t>(116)</w:t>
            </w:r>
          </w:p>
        </w:tc>
        <w:tc>
          <w:tcPr>
            <w:tcW w:w="4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22"/>
                <w:szCs w:val="22"/>
                <w:color w:val="auto"/>
              </w:rPr>
              <w:t>(127)</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(348)</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2"/>
                <w:szCs w:val="22"/>
                <w:color w:val="auto"/>
              </w:rPr>
              <w:t>(381)</w:t>
            </w:r>
          </w:p>
        </w:tc>
      </w:tr>
      <w:tr>
        <w:trPr>
          <w:trHeight w:val="284"/>
        </w:trPr>
        <w:tc>
          <w:tcPr>
            <w:tcW w:w="452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3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166</w:t>
            </w:r>
          </w:p>
        </w:tc>
        <w:tc>
          <w:tcPr>
            <w:tcW w:w="2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296</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498</w:t>
            </w:r>
          </w:p>
        </w:tc>
        <w:tc>
          <w:tcPr>
            <w:tcW w:w="22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888</w:t>
            </w:r>
          </w:p>
        </w:tc>
        <w:tc>
          <w:tcPr>
            <w:tcW w:w="20" w:type="dxa"/>
            <w:vAlign w:val="bottom"/>
          </w:tcPr>
          <w:p>
            <w:pPr>
              <w:spacing w:after="0"/>
              <w:rPr>
                <w:sz w:val="24"/>
                <w:szCs w:val="24"/>
                <w:color w:val="auto"/>
              </w:rPr>
            </w:pPr>
          </w:p>
        </w:tc>
      </w:tr>
      <w:tr>
        <w:trPr>
          <w:trHeight w:val="250"/>
        </w:trPr>
        <w:tc>
          <w:tcPr>
            <w:tcW w:w="452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320" w:type="dxa"/>
            <w:vAlign w:val="bottom"/>
          </w:tcPr>
          <w:p>
            <w:pPr>
              <w:jc w:val="right"/>
              <w:ind w:right="123"/>
              <w:spacing w:after="0"/>
              <w:rPr>
                <w:sz w:val="20"/>
                <w:szCs w:val="20"/>
                <w:color w:val="auto"/>
              </w:rPr>
            </w:pPr>
            <w:r>
              <w:rPr>
                <w:rFonts w:ascii="Arial" w:cs="Arial" w:eastAsia="Arial" w:hAnsi="Arial"/>
                <w:sz w:val="19"/>
                <w:szCs w:val="19"/>
                <w:color w:val="auto"/>
                <w:w w:val="75"/>
              </w:rPr>
              <w:t>$</w:t>
            </w:r>
          </w:p>
        </w:tc>
        <w:tc>
          <w:tcPr>
            <w:tcW w:w="1200" w:type="dxa"/>
            <w:vAlign w:val="bottom"/>
          </w:tcPr>
          <w:p>
            <w:pPr>
              <w:jc w:val="right"/>
              <w:spacing w:after="0" w:line="250" w:lineRule="exact"/>
              <w:rPr>
                <w:sz w:val="20"/>
                <w:szCs w:val="20"/>
                <w:color w:val="auto"/>
              </w:rPr>
            </w:pPr>
            <w:r>
              <w:rPr>
                <w:rFonts w:ascii="Arial" w:cs="Arial" w:eastAsia="Arial" w:hAnsi="Arial"/>
                <w:sz w:val="22"/>
                <w:szCs w:val="22"/>
                <w:color w:val="auto"/>
              </w:rPr>
              <w:t>384</w:t>
            </w:r>
          </w:p>
        </w:tc>
        <w:tc>
          <w:tcPr>
            <w:tcW w:w="220" w:type="dxa"/>
            <w:vAlign w:val="bottom"/>
          </w:tcPr>
          <w:p>
            <w:pPr>
              <w:spacing w:after="0"/>
              <w:rPr>
                <w:sz w:val="21"/>
                <w:szCs w:val="21"/>
                <w:color w:val="auto"/>
              </w:rPr>
            </w:pPr>
          </w:p>
        </w:tc>
        <w:tc>
          <w:tcPr>
            <w:tcW w:w="460" w:type="dxa"/>
            <w:vAlign w:val="bottom"/>
          </w:tcPr>
          <w:p>
            <w:pPr>
              <w:jc w:val="right"/>
              <w:ind w:right="263"/>
              <w:spacing w:after="0"/>
              <w:rPr>
                <w:sz w:val="20"/>
                <w:szCs w:val="20"/>
                <w:color w:val="auto"/>
              </w:rPr>
            </w:pPr>
            <w:r>
              <w:rPr>
                <w:rFonts w:ascii="Arial" w:cs="Arial" w:eastAsia="Arial" w:hAnsi="Arial"/>
                <w:sz w:val="19"/>
                <w:szCs w:val="19"/>
                <w:color w:val="auto"/>
                <w:w w:val="75"/>
              </w:rPr>
              <w:t>$</w:t>
            </w:r>
          </w:p>
        </w:tc>
        <w:tc>
          <w:tcPr>
            <w:tcW w:w="900" w:type="dxa"/>
            <w:vAlign w:val="bottom"/>
          </w:tcPr>
          <w:p>
            <w:pPr>
              <w:jc w:val="right"/>
              <w:spacing w:after="0" w:line="250" w:lineRule="exact"/>
              <w:rPr>
                <w:sz w:val="20"/>
                <w:szCs w:val="20"/>
                <w:color w:val="auto"/>
              </w:rPr>
            </w:pPr>
            <w:r>
              <w:rPr>
                <w:rFonts w:ascii="Arial" w:cs="Arial" w:eastAsia="Arial" w:hAnsi="Arial"/>
                <w:sz w:val="22"/>
                <w:szCs w:val="22"/>
                <w:color w:val="auto"/>
              </w:rPr>
              <w:t>462</w:t>
            </w:r>
          </w:p>
        </w:tc>
        <w:tc>
          <w:tcPr>
            <w:tcW w:w="60" w:type="dxa"/>
            <w:vAlign w:val="bottom"/>
          </w:tcPr>
          <w:p>
            <w:pPr>
              <w:spacing w:after="0"/>
              <w:rPr>
                <w:sz w:val="21"/>
                <w:szCs w:val="21"/>
                <w:color w:val="auto"/>
              </w:rPr>
            </w:pPr>
          </w:p>
        </w:tc>
        <w:tc>
          <w:tcPr>
            <w:tcW w:w="700" w:type="dxa"/>
            <w:vAlign w:val="bottom"/>
            <w:gridSpan w:val="2"/>
          </w:tcPr>
          <w:p>
            <w:pPr>
              <w:jc w:val="right"/>
              <w:ind w:right="212"/>
              <w:spacing w:after="0" w:line="250" w:lineRule="exact"/>
              <w:rPr>
                <w:sz w:val="20"/>
                <w:szCs w:val="20"/>
                <w:color w:val="auto"/>
              </w:rPr>
            </w:pPr>
            <w:r>
              <w:rPr>
                <w:rFonts w:ascii="Arial" w:cs="Arial" w:eastAsia="Arial" w:hAnsi="Arial"/>
                <w:sz w:val="22"/>
                <w:szCs w:val="22"/>
                <w:color w:val="auto"/>
              </w:rPr>
              <w:t>$</w:t>
            </w:r>
          </w:p>
        </w:tc>
        <w:tc>
          <w:tcPr>
            <w:tcW w:w="1200" w:type="dxa"/>
            <w:vAlign w:val="bottom"/>
          </w:tcPr>
          <w:p>
            <w:pPr>
              <w:jc w:val="right"/>
              <w:spacing w:after="0" w:line="250" w:lineRule="exact"/>
              <w:rPr>
                <w:sz w:val="20"/>
                <w:szCs w:val="20"/>
                <w:color w:val="auto"/>
              </w:rPr>
            </w:pPr>
            <w:r>
              <w:rPr>
                <w:rFonts w:ascii="Arial" w:cs="Arial" w:eastAsia="Arial" w:hAnsi="Arial"/>
                <w:sz w:val="22"/>
                <w:szCs w:val="22"/>
                <w:color w:val="auto"/>
              </w:rPr>
              <w:t>1,152</w:t>
            </w:r>
          </w:p>
        </w:tc>
        <w:tc>
          <w:tcPr>
            <w:tcW w:w="220" w:type="dxa"/>
            <w:vAlign w:val="bottom"/>
          </w:tcPr>
          <w:p>
            <w:pPr>
              <w:spacing w:after="0"/>
              <w:rPr>
                <w:sz w:val="21"/>
                <w:szCs w:val="21"/>
                <w:color w:val="auto"/>
              </w:rPr>
            </w:pPr>
          </w:p>
        </w:tc>
        <w:tc>
          <w:tcPr>
            <w:tcW w:w="560" w:type="dxa"/>
            <w:vAlign w:val="bottom"/>
          </w:tcPr>
          <w:p>
            <w:pPr>
              <w:jc w:val="right"/>
              <w:ind w:right="363"/>
              <w:spacing w:after="0"/>
              <w:rPr>
                <w:sz w:val="20"/>
                <w:szCs w:val="20"/>
                <w:color w:val="auto"/>
              </w:rPr>
            </w:pPr>
            <w:r>
              <w:rPr>
                <w:rFonts w:ascii="Arial" w:cs="Arial" w:eastAsia="Arial" w:hAnsi="Arial"/>
                <w:sz w:val="19"/>
                <w:szCs w:val="19"/>
                <w:color w:val="auto"/>
                <w:w w:val="75"/>
              </w:rPr>
              <w:t>$</w:t>
            </w:r>
          </w:p>
        </w:tc>
        <w:tc>
          <w:tcPr>
            <w:tcW w:w="1060" w:type="dxa"/>
            <w:vAlign w:val="bottom"/>
          </w:tcPr>
          <w:p>
            <w:pPr>
              <w:jc w:val="right"/>
              <w:spacing w:after="0" w:line="250" w:lineRule="exact"/>
              <w:rPr>
                <w:sz w:val="20"/>
                <w:szCs w:val="20"/>
                <w:color w:val="auto"/>
              </w:rPr>
            </w:pPr>
            <w:r>
              <w:rPr>
                <w:rFonts w:ascii="Arial" w:cs="Arial" w:eastAsia="Arial" w:hAnsi="Arial"/>
                <w:sz w:val="22"/>
                <w:szCs w:val="22"/>
                <w:color w:val="auto"/>
              </w:rPr>
              <w:t>1,386</w:t>
            </w:r>
          </w:p>
        </w:tc>
        <w:tc>
          <w:tcPr>
            <w:tcW w:w="20" w:type="dxa"/>
            <w:vAlign w:val="bottom"/>
          </w:tcPr>
          <w:p>
            <w:pPr>
              <w:spacing w:after="0"/>
              <w:rPr>
                <w:sz w:val="21"/>
                <w:szCs w:val="21"/>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The components of net periodic benefit cost other than service cost are presented on the consolidated statements of operations on the line item “Other.”</w:t>
      </w:r>
    </w:p>
    <w:p>
      <w:pPr>
        <w:spacing w:after="0" w:line="185" w:lineRule="exact"/>
        <w:rPr>
          <w:sz w:val="20"/>
          <w:szCs w:val="20"/>
          <w:color w:val="auto"/>
        </w:rPr>
      </w:pPr>
    </w:p>
    <w:p>
      <w:pPr>
        <w:ind w:right="400"/>
        <w:spacing w:after="0" w:line="239" w:lineRule="auto"/>
        <w:rPr>
          <w:sz w:val="20"/>
          <w:szCs w:val="20"/>
          <w:color w:val="auto"/>
        </w:rPr>
      </w:pPr>
      <w:r>
        <w:rPr>
          <w:rFonts w:ascii="Arial" w:cs="Arial" w:eastAsia="Arial" w:hAnsi="Arial"/>
          <w:sz w:val="22"/>
          <w:szCs w:val="22"/>
          <w:color w:val="auto"/>
        </w:rPr>
        <w:t>The Company made cash contributions of $8,442 to its Pension Plan during the first nine months of 2019, which completed the Company’s 2019 cash contributions.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Water and Wastewater Rates</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In August 2018, the Company’s operating subsidiary in Pennsylvania filed for a base rate increase in water and wastewater rates for its customers. In May 2019 the Company received an order from the Pennsylvania Public Utility Commission, resulting in an increase of $47,000 in annual revenue, and new rates went into effect on May 24, 2019. The rates in effect at the time of the filing also included $29,493 in Distribution System Improvement Charges (“DSIC”), which was 7.5% above prior base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7" w:name="page28"/>
    <w:bookmarkEnd w:id="2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rates. Consequently, the aggregate base rates increased by $76,493 since the last base rate increase and the DSIC was reset to zero.</w:t>
      </w:r>
    </w:p>
    <w:p>
      <w:pPr>
        <w:spacing w:after="0" w:line="241"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In December 2018, the Company’s operating subsidiary in New Jersey filed for a base rate increase in water rates for its customers. In May 2019, the Company received an order from the New Jersey Board of Public Utilities, resulting in an increase of $5,000 in annual revenues, and new rates went into effect on June 1, 2019.</w:t>
      </w:r>
    </w:p>
    <w:p>
      <w:pPr>
        <w:spacing w:after="0" w:line="185"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In addition to the Pennsylvania and New Jersey rate awards noted above, during the first nine months of 2019, the Company’s operating divisions in Ohio were granted base rate increases designed to increase total operating revenues on an annual basis by $974. Further, during the first nine months of 2019, the Company’s operating divisions in Illinois, North Carolina, Ohio, and Pennsylvania received approval to bill infrastructure rehabilitation surcharges designed to increase total operating revenues on an annual basis by $4,531.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jc w:val="right"/>
              <w:ind w:right="532"/>
              <w:spacing w:after="0"/>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20" w:type="dxa"/>
            <w:vAlign w:val="bottom"/>
            <w:gridSpan w:val="5"/>
          </w:tcPr>
          <w:p>
            <w:pPr>
              <w:jc w:val="right"/>
              <w:ind w:right="772"/>
              <w:spacing w:after="0"/>
              <w:rPr>
                <w:sz w:val="20"/>
                <w:szCs w:val="20"/>
                <w:color w:val="auto"/>
              </w:rPr>
            </w:pPr>
            <w:r>
              <w:rPr>
                <w:rFonts w:ascii="Arial" w:cs="Arial" w:eastAsia="Arial" w:hAnsi="Arial"/>
                <w:sz w:val="22"/>
                <w:szCs w:val="22"/>
                <w:color w:val="auto"/>
              </w:rPr>
              <w:t>Nine Months Ended</w:t>
            </w:r>
          </w:p>
        </w:tc>
      </w:tr>
      <w:tr>
        <w:trPr>
          <w:trHeight w:val="251"/>
        </w:trPr>
        <w:tc>
          <w:tcPr>
            <w:tcW w:w="45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jc w:val="right"/>
              <w:ind w:right="832"/>
              <w:spacing w:after="0" w:line="251" w:lineRule="exact"/>
              <w:rPr>
                <w:sz w:val="20"/>
                <w:szCs w:val="20"/>
                <w:color w:val="auto"/>
              </w:rPr>
            </w:pPr>
            <w:r>
              <w:rPr>
                <w:rFonts w:ascii="Arial" w:cs="Arial" w:eastAsia="Arial" w:hAnsi="Arial"/>
                <w:sz w:val="22"/>
                <w:szCs w:val="22"/>
                <w:color w:val="auto"/>
              </w:rPr>
              <w:t>September 30,</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right"/>
              <w:spacing w:after="0" w:line="251" w:lineRule="exact"/>
              <w:rPr>
                <w:sz w:val="20"/>
                <w:szCs w:val="20"/>
                <w:color w:val="auto"/>
              </w:rPr>
            </w:pPr>
            <w:r>
              <w:rPr>
                <w:rFonts w:ascii="Arial" w:cs="Arial" w:eastAsia="Arial" w:hAnsi="Arial"/>
                <w:sz w:val="22"/>
                <w:szCs w:val="22"/>
                <w:color w:val="auto"/>
              </w:rPr>
              <w:t>September 30,</w:t>
            </w:r>
          </w:p>
        </w:tc>
        <w:tc>
          <w:tcPr>
            <w:tcW w:w="1080" w:type="dxa"/>
            <w:vAlign w:val="bottom"/>
            <w:tcBorders>
              <w:bottom w:val="single" w:sz="8" w:color="auto"/>
            </w:tcBorders>
          </w:tcPr>
          <w:p>
            <w:pPr>
              <w:spacing w:after="0"/>
              <w:rPr>
                <w:sz w:val="21"/>
                <w:szCs w:val="21"/>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2019</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2018</w:t>
            </w:r>
          </w:p>
        </w:tc>
        <w:tc>
          <w:tcPr>
            <w:tcW w:w="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2019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w w:val="93"/>
              </w:rPr>
              <w:t>2018</w:t>
            </w:r>
          </w:p>
        </w:tc>
      </w:tr>
      <w:tr>
        <w:trPr>
          <w:trHeight w:val="223"/>
        </w:trPr>
        <w:tc>
          <w:tcPr>
            <w:tcW w:w="45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Property</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7,020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7,019</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9"/>
                <w:szCs w:val="19"/>
                <w:color w:val="auto"/>
                <w:w w:val="75"/>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20,415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32"/>
              <w:spacing w:after="0" w:line="223" w:lineRule="exact"/>
              <w:rPr>
                <w:sz w:val="20"/>
                <w:szCs w:val="20"/>
                <w:color w:val="auto"/>
              </w:rPr>
            </w:pPr>
            <w:r>
              <w:rPr>
                <w:rFonts w:ascii="Arial" w:cs="Arial" w:eastAsia="Arial" w:hAnsi="Arial"/>
                <w:sz w:val="22"/>
                <w:szCs w:val="22"/>
                <w:color w:val="auto"/>
                <w:w w:val="81"/>
              </w:rPr>
              <w:t>$</w:t>
            </w:r>
          </w:p>
        </w:tc>
        <w:tc>
          <w:tcPr>
            <w:tcW w:w="10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20,542</w:t>
            </w:r>
          </w:p>
        </w:tc>
      </w:tr>
      <w:tr>
        <w:trPr>
          <w:trHeight w:val="230"/>
        </w:trPr>
        <w:tc>
          <w:tcPr>
            <w:tcW w:w="4560" w:type="dxa"/>
            <w:vAlign w:val="bottom"/>
          </w:tcPr>
          <w:p>
            <w:pPr>
              <w:spacing w:after="0" w:line="229" w:lineRule="exact"/>
              <w:rPr>
                <w:sz w:val="20"/>
                <w:szCs w:val="20"/>
                <w:color w:val="auto"/>
              </w:rPr>
            </w:pPr>
            <w:r>
              <w:rPr>
                <w:rFonts w:ascii="Arial" w:cs="Arial" w:eastAsia="Arial" w:hAnsi="Arial"/>
                <w:sz w:val="22"/>
                <w:szCs w:val="22"/>
                <w:color w:val="auto"/>
              </w:rPr>
              <w:t>Gross receipts, excise and franchise</w:t>
            </w:r>
          </w:p>
        </w:tc>
        <w:tc>
          <w:tcPr>
            <w:tcW w:w="300" w:type="dxa"/>
            <w:vAlign w:val="bottom"/>
          </w:tcPr>
          <w:p>
            <w:pPr>
              <w:spacing w:after="0"/>
              <w:rPr>
                <w:sz w:val="19"/>
                <w:szCs w:val="19"/>
                <w:color w:val="auto"/>
              </w:rPr>
            </w:pPr>
          </w:p>
        </w:tc>
        <w:tc>
          <w:tcPr>
            <w:tcW w:w="134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3,423</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3,940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10,181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Arial" w:cs="Arial" w:eastAsia="Arial" w:hAnsi="Arial"/>
                <w:sz w:val="22"/>
                <w:szCs w:val="22"/>
                <w:color w:val="auto"/>
              </w:rPr>
              <w:t>10,994</w:t>
            </w:r>
          </w:p>
        </w:tc>
      </w:tr>
      <w:tr>
        <w:trPr>
          <w:trHeight w:val="230"/>
        </w:trPr>
        <w:tc>
          <w:tcPr>
            <w:tcW w:w="45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Payroll</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2,216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2,175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7,988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7,630</w:t>
            </w:r>
          </w:p>
        </w:tc>
      </w:tr>
      <w:tr>
        <w:trPr>
          <w:trHeight w:val="230"/>
        </w:trPr>
        <w:tc>
          <w:tcPr>
            <w:tcW w:w="4560" w:type="dxa"/>
            <w:vAlign w:val="bottom"/>
          </w:tcPr>
          <w:p>
            <w:pPr>
              <w:spacing w:after="0" w:line="229" w:lineRule="exact"/>
              <w:rPr>
                <w:sz w:val="20"/>
                <w:szCs w:val="20"/>
                <w:color w:val="auto"/>
              </w:rPr>
            </w:pPr>
            <w:r>
              <w:rPr>
                <w:rFonts w:ascii="Arial" w:cs="Arial" w:eastAsia="Arial" w:hAnsi="Arial"/>
                <w:sz w:val="22"/>
                <w:szCs w:val="22"/>
                <w:color w:val="auto"/>
              </w:rPr>
              <w:t>Regulatory assessments</w:t>
            </w:r>
          </w:p>
        </w:tc>
        <w:tc>
          <w:tcPr>
            <w:tcW w:w="300" w:type="dxa"/>
            <w:vAlign w:val="bottom"/>
          </w:tcPr>
          <w:p>
            <w:pPr>
              <w:spacing w:after="0"/>
              <w:rPr>
                <w:sz w:val="19"/>
                <w:szCs w:val="19"/>
                <w:color w:val="auto"/>
              </w:rPr>
            </w:pPr>
          </w:p>
        </w:tc>
        <w:tc>
          <w:tcPr>
            <w:tcW w:w="134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718</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747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2,213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Arial" w:cs="Arial" w:eastAsia="Arial" w:hAnsi="Arial"/>
                <w:sz w:val="22"/>
                <w:szCs w:val="22"/>
                <w:color w:val="auto"/>
              </w:rPr>
              <w:t>2,001</w:t>
            </w:r>
          </w:p>
        </w:tc>
      </w:tr>
      <w:tr>
        <w:trPr>
          <w:trHeight w:val="230"/>
        </w:trPr>
        <w:tc>
          <w:tcPr>
            <w:tcW w:w="45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Pumping fees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1,726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1,599</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3,967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4,014</w:t>
            </w:r>
          </w:p>
        </w:tc>
      </w:tr>
      <w:tr>
        <w:trPr>
          <w:trHeight w:val="230"/>
        </w:trPr>
        <w:tc>
          <w:tcPr>
            <w:tcW w:w="4560" w:type="dxa"/>
            <w:vAlign w:val="bottom"/>
          </w:tcPr>
          <w:p>
            <w:pPr>
              <w:spacing w:after="0" w:line="229" w:lineRule="exact"/>
              <w:rPr>
                <w:sz w:val="20"/>
                <w:szCs w:val="20"/>
                <w:color w:val="auto"/>
              </w:rPr>
            </w:pPr>
            <w:r>
              <w:rPr>
                <w:rFonts w:ascii="Arial" w:cs="Arial" w:eastAsia="Arial" w:hAnsi="Arial"/>
                <w:sz w:val="22"/>
                <w:szCs w:val="22"/>
                <w:color w:val="auto"/>
              </w:rPr>
              <w:t>Other</w:t>
            </w:r>
          </w:p>
        </w:tc>
        <w:tc>
          <w:tcPr>
            <w:tcW w:w="30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98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84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274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Arial" w:cs="Arial" w:eastAsia="Arial" w:hAnsi="Arial"/>
                <w:sz w:val="22"/>
                <w:szCs w:val="22"/>
                <w:color w:val="auto"/>
              </w:rPr>
              <w:t>179</w:t>
            </w:r>
          </w:p>
        </w:tc>
      </w:tr>
      <w:tr>
        <w:trPr>
          <w:trHeight w:val="20"/>
        </w:trPr>
        <w:tc>
          <w:tcPr>
            <w:tcW w:w="45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50"/>
        </w:trPr>
        <w:tc>
          <w:tcPr>
            <w:tcW w:w="4560" w:type="dxa"/>
            <w:vAlign w:val="bottom"/>
            <w:shd w:val="clear" w:color="auto" w:fill="CCEEFF"/>
          </w:tcPr>
          <w:p>
            <w:pPr>
              <w:spacing w:after="0" w:line="250" w:lineRule="exact"/>
              <w:rPr>
                <w:sz w:val="20"/>
                <w:szCs w:val="20"/>
                <w:color w:val="auto"/>
              </w:rPr>
            </w:pPr>
            <w:r>
              <w:rPr>
                <w:rFonts w:ascii="Arial" w:cs="Arial" w:eastAsia="Arial" w:hAnsi="Arial"/>
                <w:sz w:val="22"/>
                <w:szCs w:val="22"/>
                <w:color w:val="auto"/>
              </w:rPr>
              <w:t>Total taxes other than income</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15,201</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2"/>
              <w:spacing w:after="0" w:line="250" w:lineRule="exact"/>
              <w:rPr>
                <w:sz w:val="20"/>
                <w:szCs w:val="20"/>
                <w:color w:val="auto"/>
              </w:rPr>
            </w:pPr>
            <w:r>
              <w:rPr>
                <w:rFonts w:ascii="Arial" w:cs="Arial" w:eastAsia="Arial" w:hAnsi="Arial"/>
                <w:sz w:val="22"/>
                <w:szCs w:val="22"/>
                <w:color w:val="auto"/>
                <w:w w:val="81"/>
              </w:rPr>
              <w:t>$</w:t>
            </w:r>
          </w:p>
        </w:tc>
        <w:tc>
          <w:tcPr>
            <w:tcW w:w="11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15,564</w:t>
            </w:r>
          </w:p>
        </w:tc>
        <w:tc>
          <w:tcPr>
            <w:tcW w:w="620" w:type="dxa"/>
            <w:vAlign w:val="bottom"/>
            <w:gridSpan w:val="2"/>
            <w:shd w:val="clear" w:color="auto" w:fill="CCEEFF"/>
          </w:tcPr>
          <w:p>
            <w:pPr>
              <w:jc w:val="right"/>
              <w:ind w:right="163"/>
              <w:spacing w:after="0" w:line="250" w:lineRule="exact"/>
              <w:rPr>
                <w:sz w:val="20"/>
                <w:szCs w:val="20"/>
                <w:color w:val="auto"/>
              </w:rPr>
            </w:pPr>
            <w:r>
              <w:rPr>
                <w:rFonts w:ascii="Arial" w:cs="Arial" w:eastAsia="Arial" w:hAnsi="Arial"/>
                <w:sz w:val="22"/>
                <w:szCs w:val="22"/>
                <w:color w:val="auto"/>
              </w:rPr>
              <w:t>$</w:t>
            </w:r>
          </w:p>
        </w:tc>
        <w:tc>
          <w:tcPr>
            <w:tcW w:w="126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45,038</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32"/>
              <w:spacing w:after="0" w:line="250" w:lineRule="exact"/>
              <w:rPr>
                <w:sz w:val="20"/>
                <w:szCs w:val="20"/>
                <w:color w:val="auto"/>
              </w:rPr>
            </w:pPr>
            <w:r>
              <w:rPr>
                <w:rFonts w:ascii="Arial" w:cs="Arial" w:eastAsia="Arial" w:hAnsi="Arial"/>
                <w:sz w:val="22"/>
                <w:szCs w:val="22"/>
                <w:color w:val="auto"/>
              </w:rPr>
              <w:t>$</w:t>
            </w:r>
          </w:p>
        </w:tc>
        <w:tc>
          <w:tcPr>
            <w:tcW w:w="108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45,360</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Segment Information</w:t>
      </w:r>
    </w:p>
    <w:p>
      <w:pPr>
        <w:spacing w:after="0" w:line="212" w:lineRule="exact"/>
        <w:rPr>
          <w:sz w:val="20"/>
          <w:szCs w:val="20"/>
          <w:color w:val="auto"/>
        </w:rPr>
      </w:pPr>
    </w:p>
    <w:p>
      <w:pPr>
        <w:ind w:right="60"/>
        <w:spacing w:after="0" w:line="224" w:lineRule="auto"/>
        <w:rPr>
          <w:sz w:val="20"/>
          <w:szCs w:val="20"/>
          <w:color w:val="auto"/>
        </w:rPr>
      </w:pPr>
      <w:r>
        <w:rPr>
          <w:rFonts w:ascii="Arial" w:cs="Arial" w:eastAsia="Arial" w:hAnsi="Arial"/>
          <w:sz w:val="22"/>
          <w:szCs w:val="22"/>
          <w:color w:val="auto"/>
        </w:rPr>
        <w:t>The Company has ten operating segments and one reportable segment. The Regulated segment, the Company’s single reportable segment, is comprised of eight operating segments representing its water and wastewater regulated utility companies which are organized by the states where the Company provides water and wastewater services. These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Two operating segments are included within the Other category below. These segments are not quantitatively significant and are comprised of Aqua Infrastructure and Aqua Resources. Aqua Infrastructure provides non-utility raw water supply services for firms in the natural gas drilling industry. Aqua Resources manages a water system operating and maintenance contract, and offers, through a third-party, water and sewer service line protection solutions and repair services to households. In addition to these segments, Other is comprised of other business activities not included in the reportable segment,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8" w:name="page29"/>
    <w:bookmarkEnd w:id="2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ind w:right="360"/>
        <w:spacing w:after="0" w:line="239" w:lineRule="auto"/>
        <w:rPr>
          <w:sz w:val="20"/>
          <w:szCs w:val="20"/>
          <w:color w:val="auto"/>
        </w:rPr>
      </w:pPr>
      <w:r>
        <w:rPr>
          <w:rFonts w:ascii="Arial" w:cs="Arial" w:eastAsia="Arial" w:hAnsi="Arial"/>
          <w:sz w:val="22"/>
          <w:szCs w:val="22"/>
          <w:color w:val="auto"/>
        </w:rPr>
        <w:t>including corporate costs that have not been allocated to the Regulated segment and intersegment eliminations. Corporate costs include general and administrative expenses, and 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information about the Company’s reportable segment: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4"/>
                <w:szCs w:val="14"/>
                <w:color w:val="auto"/>
                <w:w w:val="96"/>
              </w:rPr>
              <w:t>Three Months Ended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8"/>
        </w:trPr>
        <w:tc>
          <w:tcPr>
            <w:tcW w:w="3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1"/>
              </w:rPr>
              <w:t>September 30, 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w w:val="97"/>
              </w:rPr>
              <w:t>September 30, 2018</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83"/>
        </w:trPr>
        <w:tc>
          <w:tcPr>
            <w:tcW w:w="32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Regulated</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Consolidated</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Regulated</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Consolidated</w:t>
            </w:r>
          </w:p>
        </w:tc>
      </w:tr>
      <w:tr>
        <w:trPr>
          <w:trHeight w:val="18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242,856</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243,626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225,361</w:t>
            </w:r>
          </w:p>
        </w:tc>
        <w:tc>
          <w:tcPr>
            <w:tcW w:w="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226,137</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81,078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82,022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68,964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68,624</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39,489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37,449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37,457</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106,470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103,674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104,293</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24,425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8,218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32,643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22,720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2,683</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25,403</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Allowance for funds used during construction</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3,066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3,066</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Equity earnings in joint venture</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Provision for income taxes (benefit)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(2,561)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(1,553)</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3,935</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88,888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88,489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80,126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78,216</w:t>
            </w:r>
          </w:p>
        </w:tc>
      </w:tr>
      <w:tr>
        <w:trPr>
          <w:trHeight w:val="420"/>
        </w:trPr>
        <w:tc>
          <w:tcPr>
            <w:tcW w:w="3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color w:val="auto"/>
                <w:w w:val="94"/>
              </w:rPr>
              <w:t>Nine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4"/>
                <w:szCs w:val="14"/>
                <w:color w:val="auto"/>
              </w:rPr>
              <w:t>Nine Months Ended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3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1"/>
              </w:rPr>
              <w:t>September 30, 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w w:val="97"/>
              </w:rPr>
              <w:t>September 30, 2018</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32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Regulated</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Consolidated</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Regulated</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Consolidated</w:t>
            </w:r>
          </w:p>
        </w:tc>
      </w:tr>
      <w:tr>
        <w:trPr>
          <w:trHeight w:val="18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661,082</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663,650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629,692</w:t>
            </w:r>
          </w:p>
        </w:tc>
        <w:tc>
          <w:tcPr>
            <w:tcW w:w="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632,344</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229,498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247,781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213,314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2,771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216,085</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118,113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110,010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110,037</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(2,560)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(2,140)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478</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254,858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262,404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260,384</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72,170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20,069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92,239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66,226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6,438</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72,664</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Allowance for funds used during construction</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12,280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8,510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8,510</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Equity earnings in joint venture</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w:t>
            </w:r>
          </w:p>
        </w:tc>
      </w:tr>
      <w:tr>
        <w:trPr>
          <w:trHeight w:val="203"/>
        </w:trPr>
        <w:tc>
          <w:tcPr>
            <w:tcW w:w="3220" w:type="dxa"/>
            <w:vAlign w:val="bottom"/>
          </w:tcPr>
          <w:p>
            <w:pPr>
              <w:spacing w:after="0"/>
              <w:rPr>
                <w:sz w:val="20"/>
                <w:szCs w:val="20"/>
                <w:color w:val="auto"/>
              </w:rPr>
            </w:pPr>
            <w:r>
              <w:rPr>
                <w:rFonts w:ascii="Arial" w:cs="Arial" w:eastAsia="Arial" w:hAnsi="Arial"/>
                <w:sz w:val="14"/>
                <w:szCs w:val="14"/>
                <w:color w:val="auto"/>
              </w:rPr>
              <w:t>Provision for income taxes (benefit)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291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(12,185)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(11,894)</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3,557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(2,120)</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1,437</w:t>
            </w:r>
          </w:p>
        </w:tc>
      </w:tr>
      <w:tr>
        <w:trPr>
          <w:trHeight w:val="203"/>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210,285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(49,969)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160,316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202,030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(6,385)</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195,645</w:t>
            </w:r>
          </w:p>
        </w:tc>
      </w:tr>
      <w:tr>
        <w:trPr>
          <w:trHeight w:val="218"/>
        </w:trPr>
        <w:tc>
          <w:tcPr>
            <w:tcW w:w="3220" w:type="dxa"/>
            <w:vAlign w:val="bottom"/>
          </w:tcPr>
          <w:p>
            <w:pPr>
              <w:spacing w:after="0"/>
              <w:rPr>
                <w:sz w:val="20"/>
                <w:szCs w:val="20"/>
                <w:color w:val="auto"/>
              </w:rPr>
            </w:pPr>
            <w:r>
              <w:rPr>
                <w:rFonts w:ascii="Arial" w:cs="Arial" w:eastAsia="Arial" w:hAnsi="Arial"/>
                <w:sz w:val="14"/>
                <w:szCs w:val="14"/>
                <w:color w:val="auto"/>
              </w:rPr>
              <w:t>Capital expenditures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401,558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401,558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343,219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343,219</w:t>
            </w:r>
          </w:p>
        </w:tc>
      </w:tr>
    </w:tbl>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60" w:type="dxa"/>
            <w:vAlign w:val="bottom"/>
          </w:tcPr>
          <w:p>
            <w:pPr>
              <w:jc w:val="right"/>
              <w:ind w:right="812"/>
              <w:spacing w:after="0"/>
              <w:rPr>
                <w:sz w:val="20"/>
                <w:szCs w:val="20"/>
                <w:color w:val="auto"/>
              </w:rPr>
            </w:pPr>
            <w:r>
              <w:rPr>
                <w:rFonts w:ascii="Arial" w:cs="Arial" w:eastAsia="Arial" w:hAnsi="Arial"/>
                <w:sz w:val="22"/>
                <w:szCs w:val="22"/>
                <w:color w:val="auto"/>
              </w:rPr>
              <w:t>September 30,</w:t>
            </w: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20" w:type="dxa"/>
            <w:vAlign w:val="bottom"/>
          </w:tcPr>
          <w:p>
            <w:pPr>
              <w:jc w:val="right"/>
              <w:ind w:right="732"/>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51"/>
        </w:trPr>
        <w:tc>
          <w:tcPr>
            <w:tcW w:w="3200" w:type="dxa"/>
            <w:vAlign w:val="bottom"/>
            <w:vMerge w:val="restart"/>
          </w:tcPr>
          <w:p>
            <w:pPr>
              <w:spacing w:after="0"/>
              <w:rPr>
                <w:sz w:val="20"/>
                <w:szCs w:val="20"/>
                <w:color w:val="auto"/>
              </w:rPr>
            </w:pPr>
            <w:r>
              <w:rPr>
                <w:rFonts w:ascii="Arial" w:cs="Arial" w:eastAsia="Arial" w:hAnsi="Arial"/>
                <w:sz w:val="22"/>
                <w:szCs w:val="22"/>
                <w:color w:val="auto"/>
              </w:rPr>
              <w:t>Total assets:</w:t>
            </w:r>
          </w:p>
        </w:tc>
        <w:tc>
          <w:tcPr>
            <w:tcW w:w="18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1212"/>
              <w:spacing w:after="0" w:line="251" w:lineRule="exact"/>
              <w:rPr>
                <w:sz w:val="20"/>
                <w:szCs w:val="20"/>
                <w:color w:val="auto"/>
              </w:rPr>
            </w:pPr>
            <w:r>
              <w:rPr>
                <w:rFonts w:ascii="Arial" w:cs="Arial" w:eastAsia="Arial" w:hAnsi="Arial"/>
                <w:sz w:val="22"/>
                <w:szCs w:val="22"/>
                <w:color w:val="auto"/>
              </w:rPr>
              <w:t>2019</w:t>
            </w:r>
          </w:p>
        </w:tc>
        <w:tc>
          <w:tcPr>
            <w:tcW w:w="3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right"/>
              <w:ind w:right="1112"/>
              <w:spacing w:after="0" w:line="251" w:lineRule="exact"/>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23"/>
        </w:trPr>
        <w:tc>
          <w:tcPr>
            <w:tcW w:w="320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line="229" w:lineRule="exact"/>
              <w:rPr>
                <w:sz w:val="20"/>
                <w:szCs w:val="20"/>
                <w:color w:val="auto"/>
              </w:rPr>
            </w:pPr>
            <w:r>
              <w:rPr>
                <w:rFonts w:ascii="Arial" w:cs="Arial" w:eastAsia="Arial" w:hAnsi="Arial"/>
                <w:sz w:val="22"/>
                <w:szCs w:val="22"/>
                <w:color w:val="auto"/>
              </w:rPr>
              <w:t>Regulated</w:t>
            </w:r>
          </w:p>
        </w:tc>
        <w:tc>
          <w:tcPr>
            <w:tcW w:w="2400" w:type="dxa"/>
            <w:vAlign w:val="bottom"/>
            <w:gridSpan w:val="2"/>
            <w:shd w:val="clear" w:color="auto" w:fill="CCEEFF"/>
          </w:tcPr>
          <w:p>
            <w:pPr>
              <w:jc w:val="right"/>
              <w:ind w:right="292"/>
              <w:spacing w:after="0" w:line="229" w:lineRule="exact"/>
              <w:rPr>
                <w:sz w:val="20"/>
                <w:szCs w:val="20"/>
                <w:color w:val="auto"/>
              </w:rPr>
            </w:pPr>
            <w:r>
              <w:rPr>
                <w:rFonts w:ascii="Arial" w:cs="Arial" w:eastAsia="Arial" w:hAnsi="Arial"/>
                <w:sz w:val="22"/>
                <w:szCs w:val="22"/>
                <w:color w:val="auto"/>
              </w:rPr>
              <w:t>$</w:t>
            </w:r>
          </w:p>
        </w:tc>
        <w:tc>
          <w:tcPr>
            <w:tcW w:w="25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7,238,003</w:t>
            </w:r>
          </w:p>
        </w:tc>
        <w:tc>
          <w:tcPr>
            <w:tcW w:w="840" w:type="dxa"/>
            <w:vAlign w:val="bottom"/>
            <w:gridSpan w:val="2"/>
            <w:shd w:val="clear" w:color="auto" w:fill="CCEEFF"/>
          </w:tcPr>
          <w:p>
            <w:pPr>
              <w:jc w:val="right"/>
              <w:ind w:right="252"/>
              <w:spacing w:after="0" w:line="229" w:lineRule="exact"/>
              <w:rPr>
                <w:sz w:val="20"/>
                <w:szCs w:val="20"/>
                <w:color w:val="auto"/>
              </w:rPr>
            </w:pPr>
            <w:r>
              <w:rPr>
                <w:rFonts w:ascii="Arial" w:cs="Arial" w:eastAsia="Arial" w:hAnsi="Arial"/>
                <w:sz w:val="22"/>
                <w:szCs w:val="22"/>
                <w:color w:val="auto"/>
              </w:rPr>
              <w:t>$</w:t>
            </w:r>
          </w:p>
        </w:tc>
        <w:tc>
          <w:tcPr>
            <w:tcW w:w="24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6,807,960</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180"/>
              <w:spacing w:after="0" w:line="229" w:lineRule="exact"/>
              <w:rPr>
                <w:sz w:val="20"/>
                <w:szCs w:val="20"/>
                <w:color w:val="auto"/>
              </w:rPr>
            </w:pPr>
            <w:r>
              <w:rPr>
                <w:rFonts w:ascii="Arial" w:cs="Arial" w:eastAsia="Arial" w:hAnsi="Arial"/>
                <w:sz w:val="22"/>
                <w:szCs w:val="22"/>
                <w:color w:val="auto"/>
              </w:rPr>
              <w:t>Other</w:t>
            </w:r>
          </w:p>
        </w:tc>
        <w:tc>
          <w:tcPr>
            <w:tcW w:w="18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2,102,967</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156,536</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shd w:val="clear" w:color="auto" w:fill="CCEEFF"/>
          </w:tcPr>
          <w:p>
            <w:pPr>
              <w:ind w:left="180"/>
              <w:spacing w:after="0" w:line="223" w:lineRule="exact"/>
              <w:rPr>
                <w:sz w:val="20"/>
                <w:szCs w:val="20"/>
                <w:color w:val="auto"/>
              </w:rPr>
            </w:pPr>
            <w:r>
              <w:rPr>
                <w:rFonts w:ascii="Arial" w:cs="Arial" w:eastAsia="Arial" w:hAnsi="Arial"/>
                <w:sz w:val="22"/>
                <w:szCs w:val="22"/>
                <w:color w:val="auto"/>
              </w:rPr>
              <w:t>Consolidated</w:t>
            </w:r>
          </w:p>
        </w:tc>
        <w:tc>
          <w:tcPr>
            <w:tcW w:w="1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92"/>
              <w:spacing w:after="0" w:line="223" w:lineRule="exact"/>
              <w:rPr>
                <w:sz w:val="20"/>
                <w:szCs w:val="20"/>
                <w:color w:val="auto"/>
              </w:rPr>
            </w:pPr>
            <w:r>
              <w:rPr>
                <w:rFonts w:ascii="Arial" w:cs="Arial" w:eastAsia="Arial" w:hAnsi="Arial"/>
                <w:sz w:val="22"/>
                <w:szCs w:val="22"/>
                <w:color w:val="auto"/>
                <w:w w:val="81"/>
              </w:rPr>
              <w:t>$</w:t>
            </w:r>
          </w:p>
        </w:tc>
        <w:tc>
          <w:tcPr>
            <w:tcW w:w="25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9,340,970</w:t>
            </w:r>
          </w:p>
        </w:tc>
        <w:tc>
          <w:tcPr>
            <w:tcW w:w="3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52"/>
              <w:spacing w:after="0" w:line="223" w:lineRule="exact"/>
              <w:rPr>
                <w:sz w:val="20"/>
                <w:szCs w:val="20"/>
                <w:color w:val="auto"/>
              </w:rPr>
            </w:pPr>
            <w:r>
              <w:rPr>
                <w:rFonts w:ascii="Arial" w:cs="Arial" w:eastAsia="Arial" w:hAnsi="Arial"/>
                <w:sz w:val="22"/>
                <w:szCs w:val="22"/>
                <w:color w:val="auto"/>
                <w:w w:val="81"/>
              </w:rPr>
              <w:t>$</w:t>
            </w:r>
          </w:p>
        </w:tc>
        <w:tc>
          <w:tcPr>
            <w:tcW w:w="24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6,964,496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Commitments and Contingencies</w:t>
      </w:r>
    </w:p>
    <w:p>
      <w:pPr>
        <w:spacing w:after="0" w:line="212"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September 30, 2019, the aggregate amount of $19,681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9" w:name="page30"/>
    <w:bookmarkEnd w:id="2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While the final outcome of these loss contingencies cannot be predicted with certainty, and unfavorable outcomes could negatively impact the Company, at this time in the opinion of management, the final resolution of these matters are not expected to have a material adverse effect on the Company’s financial position, results of operations or cash flows. Further, the Company has insurance coverage for certain of these loss contingencies, and as of September 30, 2019, estimates that approximately $7,838 of the amount accrued for these matters are probable of recovery through insurance, which amount is also reported in the Company’s consolidated balance sheet as deferred charges and other assets, net.</w:t>
      </w:r>
    </w:p>
    <w:p>
      <w:pPr>
        <w:spacing w:after="0" w:line="191"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Although the results of legal proceedings cannot be predicted with certainty,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In addition to the aforementioned loss contingencies, the Company self-insures its employee medical benefit program, and</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maintains stop-loss coverage to limit the exposure arising from these claims. The Company’s reserve for these claims totaled</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$1,852 at September 30, 2019 and represents a reserve for unpaid claim costs, including an estimate for the cost of incurred but not</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reported claims.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16 – </w:t>
      </w:r>
      <w:r>
        <w:rPr>
          <w:rFonts w:ascii="Arial" w:cs="Arial" w:eastAsia="Arial" w:hAnsi="Arial"/>
          <w:sz w:val="22"/>
          <w:szCs w:val="22"/>
          <w:b w:val="1"/>
          <w:bCs w:val="1"/>
          <w:i w:val="1"/>
          <w:iCs w:val="1"/>
          <w:color w:val="auto"/>
        </w:rPr>
        <w:t>Income Taxes</w:t>
      </w:r>
    </w:p>
    <w:p>
      <w:pPr>
        <w:spacing w:after="0" w:line="212"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color w:val="auto"/>
        </w:rPr>
        <w:t>During the nine months ended September 30, 2019, the Company’s Federal net operating loss (“NOL”) carryforward increased by $12,892. In addition, during the nine months ended September 30, 2019, the Company’s state NOL carryforward increased by</w:t>
      </w:r>
    </w:p>
    <w:p>
      <w:pPr>
        <w:spacing w:after="0" w:line="231" w:lineRule="auto"/>
        <w:rPr>
          <w:sz w:val="20"/>
          <w:szCs w:val="20"/>
          <w:color w:val="auto"/>
        </w:rPr>
      </w:pPr>
      <w:r>
        <w:rPr>
          <w:rFonts w:ascii="Arial" w:cs="Arial" w:eastAsia="Arial" w:hAnsi="Arial"/>
          <w:sz w:val="21"/>
          <w:szCs w:val="21"/>
          <w:color w:val="auto"/>
        </w:rPr>
        <w:t>$80,966. As of September 30, 2019, the balance of the Company’s Federal NOL was $23,727. The Company believes its Federal NOL carryforward is more likely than not to be recovered and requires no valuation allowance. As of September 30, 2019, the balance of the Company’s gross state NOL was $731,252, a portion of which is offset by a valuation allowance because the Company does not believe the state NOLs are more likely than not to be realized. The Company’s Federal and state NOL carryforwards begin to expire in 2032 and 2023, respectively. The Company’s Federal and state NOL carryforwards are reduced by an unrecognized tax position, on a gross basis, of $68,923 and $85,645, respectively. The amounts of the Company’s Federal and state NOL carryforwards prior to being reduced by the unrecognized tax positions were $92,650 and $816,897 respectively. The Company records its unrecognized tax benefit as a decrease to its deferred income tax asset, which is netted against the deferred income tax liability.</w:t>
      </w:r>
    </w:p>
    <w:p>
      <w:pPr>
        <w:spacing w:after="0" w:line="186"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As of September 30, 2019, the total gross unrecognized tax benefit was $17,383. As a result of the regulatory treatment afforded for qualifying infrastructure improvements in Pennsylvania, $28,886, if recognized, would affect the Company’s effective tax rate. At December 31, 2018, the Company had unrecognized tax benefits of $17,792.</w:t>
      </w:r>
    </w:p>
    <w:p>
      <w:pPr>
        <w:spacing w:after="0" w:line="185" w:lineRule="exact"/>
        <w:rPr>
          <w:sz w:val="20"/>
          <w:szCs w:val="20"/>
          <w:color w:val="auto"/>
        </w:rPr>
      </w:pPr>
    </w:p>
    <w:p>
      <w:pPr>
        <w:ind w:right="480"/>
        <w:spacing w:after="0" w:line="226" w:lineRule="auto"/>
        <w:rPr>
          <w:sz w:val="20"/>
          <w:szCs w:val="20"/>
          <w:color w:val="auto"/>
        </w:rPr>
      </w:pPr>
      <w:r>
        <w:rPr>
          <w:rFonts w:ascii="Arial" w:cs="Arial" w:eastAsia="Arial" w:hAnsi="Arial"/>
          <w:sz w:val="22"/>
          <w:szCs w:val="22"/>
          <w:color w:val="auto"/>
        </w:rPr>
        <w:t>Accounting rules for uncertain tax positions specify that tax positions for which the timing of resolution is uncertain should be classified as long-term liabilities. Judgment is required in evaluating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30" w:name="page31"/>
    <w:bookmarkEnd w:id="3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left="280" w:right="246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ind w:right="20"/>
        <w:spacing w:after="0" w:line="228" w:lineRule="auto"/>
        <w:rPr>
          <w:sz w:val="20"/>
          <w:szCs w:val="20"/>
          <w:color w:val="auto"/>
        </w:rPr>
      </w:pPr>
      <w:r>
        <w:rPr>
          <w:rFonts w:ascii="Arial" w:cs="Arial" w:eastAsia="Arial" w:hAnsi="Arial"/>
          <w:sz w:val="22"/>
          <w:szCs w:val="22"/>
          <w:color w:val="auto"/>
        </w:rPr>
        <w:t>Company’s uncertain tax positions and determining the provision for income taxes. Management believes that an adequate provision has been made for any adjustments that may result from tax examinations. Although the timing of income tax audit resolutions and negotiations with taxing authorities is highly uncertain, the Company does not anticipate a significant change to the total amount of unrecognized income tax benefits within the next 12 months.</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As of December 31, 2017, the Company had provisionally estimated that $175,108 of deferred income tax liabilities for our Pennsylvania subsidiary, Aqua Pennsylvania, will be a regulatory liability as a result of the accounting effect of the Tax Cuts and Jobs Acts (the “TCJA”). In May 2018, the Pennsylvania Public Utility Commission (“PA PUC”) issued an order that set forth the requirements for utilities to either immediately initiate the refund or otherwise address the impacts of the TCJA in the utilities’ next rate case. Aqua Pennsylvania filed a base rate case in August 2018, during which it expected the PA PUC to address the effects of the TCJA within the base rate case filing. Additionally, the PA PUC ordered that all rates charged by utilities, including those billed by Aqua Pennsylvania since January 1, 2018, are temporary and subject to refund pending the outcome of its review of the effects of the TCJA within the next base rate case. In February 2019, Aqua Pennsylvania filed a settlement for this base rate case, and on March 11, 2019, the administrative law judges issued a recommended decision approving the settlement on March 11, 2019. In May 2019 a final order was issued from the PA PUC affirming the Company’s regulatory liability of $175,108 and authorizing the Company to implement an average rate assumption method to reduce the regulatory liability over the remaining book lives beginning in June 2019 to reflect the fact that the benefit from the excess accumulated deferred taxes is now reflected in base rates.</w:t>
      </w:r>
    </w:p>
    <w:p>
      <w:pPr>
        <w:spacing w:after="0" w:line="150" w:lineRule="exact"/>
        <w:rPr>
          <w:sz w:val="20"/>
          <w:szCs w:val="20"/>
          <w:color w:val="auto"/>
        </w:rPr>
      </w:pPr>
    </w:p>
    <w:p>
      <w:pPr>
        <w:jc w:val="both"/>
        <w:ind w:right="20"/>
        <w:spacing w:after="0" w:line="256" w:lineRule="auto"/>
        <w:rPr>
          <w:sz w:val="20"/>
          <w:szCs w:val="20"/>
          <w:color w:val="auto"/>
        </w:rPr>
      </w:pPr>
      <w:r>
        <w:rPr>
          <w:rFonts w:ascii="Arial" w:cs="Arial" w:eastAsia="Arial" w:hAnsi="Arial"/>
          <w:sz w:val="19"/>
          <w:szCs w:val="19"/>
          <w:color w:val="auto"/>
        </w:rPr>
        <w:t>The Company’s accounting for income taxes on regulated operations is impacted by the FASB’s accounting guidance for regulated operations. Reductions in accumulated deferred income tax balances due to the reduction in the Federal corporate income tax rates to 21% under the provisions of the TCJA will result in amounts previously collected from utility customers for these deferred taxes to be refundable to such customers, generally through reductions in future rates. The TCJA includes provisions that stipulate how these excess deferred taxes related to certain accelerated tax depreciation deduction benefits are to be passed back to customers.</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22"/>
          <w:szCs w:val="22"/>
          <w:color w:val="auto"/>
        </w:rPr>
        <w:t>Our state regulatory commissions have or are in the process of issuing procedural orders directing how the tax law changes are to be reflected in our utility customer rates.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17 – </w:t>
      </w:r>
      <w:r>
        <w:rPr>
          <w:rFonts w:ascii="Arial" w:cs="Arial" w:eastAsia="Arial" w:hAnsi="Arial"/>
          <w:sz w:val="22"/>
          <w:szCs w:val="22"/>
          <w:b w:val="1"/>
          <w:bCs w:val="1"/>
          <w:i w:val="1"/>
          <w:iCs w:val="1"/>
          <w:color w:val="auto"/>
        </w:rPr>
        <w:t>Leases</w:t>
      </w:r>
    </w:p>
    <w:p>
      <w:pPr>
        <w:spacing w:after="0" w:line="212"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The Company leases land, office facilities, office equipment, and vehicles for use in its operations, which are accounted for as operating leases. Leases with a remaining term of 12 months or less are not recorded on the balance sheet; rather, lease expense is recognized on a straight-line basis over the lease term. Our leases have remaining lives of 1 year to 76 years.</w:t>
      </w:r>
    </w:p>
    <w:p>
      <w:pPr>
        <w:spacing w:after="0" w:line="148"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Some of the Company’s leases can be extended on a month-to-month basis, which allow us to terminate the lease at any given month without penalty while others include options to extend the leases for up to 50 years. The renewal of a month-to-month lease is at our sole discretion.</w:t>
      </w:r>
    </w:p>
    <w:p>
      <w:pPr>
        <w:spacing w:after="0" w:line="185" w:lineRule="exact"/>
        <w:rPr>
          <w:sz w:val="20"/>
          <w:szCs w:val="20"/>
          <w:color w:val="auto"/>
        </w:rPr>
      </w:pPr>
    </w:p>
    <w:p>
      <w:pPr>
        <w:ind w:right="180"/>
        <w:spacing w:after="0" w:line="226" w:lineRule="auto"/>
        <w:rPr>
          <w:sz w:val="20"/>
          <w:szCs w:val="20"/>
          <w:color w:val="auto"/>
        </w:rPr>
      </w:pPr>
      <w:r>
        <w:rPr>
          <w:rFonts w:ascii="Arial" w:cs="Arial" w:eastAsia="Arial" w:hAnsi="Arial"/>
          <w:sz w:val="22"/>
          <w:szCs w:val="22"/>
          <w:color w:val="auto"/>
        </w:rPr>
        <w:t>The Company accounts for lease and non-lease components of lease arrangements separately. For calculating lease liabilities, we may deem lease terms to include options to extend or terminate the lease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3" w:right="279" w:bottom="1440" w:gutter="0" w:footer="0" w:header="0"/>
        </w:sectPr>
      </w:pPr>
    </w:p>
    <w:bookmarkStart w:id="31" w:name="page32"/>
    <w:bookmarkEnd w:id="3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371"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when it’s reasonably certain that we will exercise that option. The Company’s lease agreements do not contain significant residual value guarantees, restrictions or covenants.</w:t>
      </w:r>
    </w:p>
    <w:p>
      <w:pPr>
        <w:spacing w:after="0" w:line="185" w:lineRule="exact"/>
        <w:rPr>
          <w:sz w:val="20"/>
          <w:szCs w:val="20"/>
          <w:color w:val="auto"/>
        </w:rPr>
      </w:pPr>
    </w:p>
    <w:p>
      <w:pPr>
        <w:ind w:right="220"/>
        <w:spacing w:after="0" w:line="272" w:lineRule="auto"/>
        <w:rPr>
          <w:sz w:val="20"/>
          <w:szCs w:val="20"/>
          <w:color w:val="auto"/>
        </w:rPr>
      </w:pPr>
      <w:r>
        <w:rPr>
          <w:rFonts w:ascii="Arial" w:cs="Arial" w:eastAsia="Arial" w:hAnsi="Arial"/>
          <w:sz w:val="19"/>
          <w:szCs w:val="19"/>
          <w:color w:val="auto"/>
        </w:rPr>
        <w:t>Lease liabilities and corresponding right-of-use assets are recorded based on the present value of the lease payments over the expected lease term, including leases with variable payments that are based on a market rate or an index. All other variable payments are expensed as incurred. Since the Company’s lease agreements do not provide an implicit interest rate, we utilize our incremental borrowing rate to determine the discount rate used to present value the lease payments.</w:t>
      </w:r>
    </w:p>
    <w:p>
      <w:pPr>
        <w:spacing w:after="0" w:line="157"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color w:val="auto"/>
        </w:rPr>
        <w:t>For the Company’s regulated utility operations, we utilize the FASB’s accounting guidance for leases for entities with regulated operations, which allows, for rate-making purposes, a lease to be accounted for as an operating lease even though the lease may be classified as a finance lease, since the amount of the lease payment is included in allowable costs as rental expense in the period it covers.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7"/>
        </w:trPr>
        <w:tc>
          <w:tcPr>
            <w:tcW w:w="6060" w:type="dxa"/>
            <w:vAlign w:val="bottom"/>
            <w:vMerge w:val="restart"/>
          </w:tcPr>
          <w:p>
            <w:pPr>
              <w:spacing w:after="0"/>
              <w:rPr>
                <w:sz w:val="20"/>
                <w:szCs w:val="20"/>
                <w:color w:val="auto"/>
              </w:rPr>
            </w:pPr>
            <w:r>
              <w:rPr>
                <w:rFonts w:ascii="Arial" w:cs="Arial" w:eastAsia="Arial" w:hAnsi="Arial"/>
                <w:sz w:val="18"/>
                <w:szCs w:val="18"/>
                <w:color w:val="auto"/>
              </w:rPr>
              <w:t>Components of lease expense were as follows:</w:t>
            </w:r>
          </w:p>
        </w:tc>
        <w:tc>
          <w:tcPr>
            <w:tcW w:w="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9"/>
              </w:rPr>
              <w:t>September 30, 2019</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8"/>
              </w:rPr>
              <w:t>September 30, 2019</w:t>
            </w:r>
          </w:p>
        </w:tc>
        <w:tc>
          <w:tcPr>
            <w:tcW w:w="0" w:type="dxa"/>
            <w:vAlign w:val="bottom"/>
          </w:tcPr>
          <w:p>
            <w:pPr>
              <w:spacing w:after="0"/>
              <w:rPr>
                <w:sz w:val="1"/>
                <w:szCs w:val="1"/>
                <w:color w:val="auto"/>
              </w:rPr>
            </w:pPr>
          </w:p>
        </w:tc>
      </w:tr>
      <w:tr>
        <w:trPr>
          <w:trHeight w:val="183"/>
        </w:trPr>
        <w:tc>
          <w:tcPr>
            <w:tcW w:w="606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lease cost</w:t>
            </w: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center"/>
              <w:ind w:left="1450"/>
              <w:spacing w:after="0" w:line="189" w:lineRule="exact"/>
              <w:rPr>
                <w:sz w:val="20"/>
                <w:szCs w:val="20"/>
                <w:color w:val="auto"/>
              </w:rPr>
            </w:pPr>
            <w:r>
              <w:rPr>
                <w:rFonts w:ascii="Arial" w:cs="Arial" w:eastAsia="Arial" w:hAnsi="Arial"/>
                <w:sz w:val="18"/>
                <w:szCs w:val="18"/>
                <w:color w:val="auto"/>
                <w:w w:val="86"/>
              </w:rPr>
              <w:t>529</w:t>
            </w: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350"/>
        </w:trPr>
        <w:tc>
          <w:tcPr>
            <w:tcW w:w="606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1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center"/>
              <w:ind w:left="1450"/>
              <w:spacing w:after="0" w:line="189" w:lineRule="exact"/>
              <w:rPr>
                <w:sz w:val="20"/>
                <w:szCs w:val="20"/>
                <w:color w:val="auto"/>
              </w:rPr>
            </w:pPr>
            <w:r>
              <w:rPr>
                <w:rFonts w:ascii="Arial" w:cs="Arial" w:eastAsia="Arial" w:hAnsi="Arial"/>
                <w:sz w:val="18"/>
                <w:szCs w:val="18"/>
                <w:color w:val="auto"/>
                <w:w w:val="86"/>
              </w:rPr>
              <w:t>338</w:t>
            </w: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472"/>
        </w:trPr>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7"/>
        </w:trPr>
        <w:tc>
          <w:tcPr>
            <w:tcW w:w="6060" w:type="dxa"/>
            <w:vAlign w:val="bottom"/>
            <w:vMerge w:val="restart"/>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2"/>
        </w:trPr>
        <w:tc>
          <w:tcPr>
            <w:tcW w:w="606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liabilities</w:t>
            </w:r>
          </w:p>
        </w:tc>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lease liabilities</w:t>
            </w: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12,883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jc w:val="right"/>
              <w:ind w:right="730"/>
              <w:spacing w:after="0"/>
              <w:rPr>
                <w:sz w:val="20"/>
                <w:szCs w:val="20"/>
                <w:color w:val="auto"/>
              </w:rPr>
            </w:pPr>
            <w:r>
              <w:rPr>
                <w:rFonts w:ascii="Arial" w:cs="Arial" w:eastAsia="Arial" w:hAnsi="Arial"/>
                <w:sz w:val="18"/>
                <w:szCs w:val="18"/>
                <w:color w:val="auto"/>
                <w:w w:val="93"/>
              </w:rPr>
              <w:t>September 30,</w:t>
            </w:r>
          </w:p>
        </w:tc>
        <w:tc>
          <w:tcPr>
            <w:tcW w:w="0" w:type="dxa"/>
            <w:vAlign w:val="bottom"/>
          </w:tcPr>
          <w:p>
            <w:pPr>
              <w:spacing w:after="0"/>
              <w:rPr>
                <w:sz w:val="1"/>
                <w:szCs w:val="1"/>
                <w:color w:val="auto"/>
              </w:rPr>
            </w:pPr>
          </w:p>
        </w:tc>
      </w:tr>
      <w:tr>
        <w:trPr>
          <w:trHeight w:val="217"/>
        </w:trPr>
        <w:tc>
          <w:tcPr>
            <w:tcW w:w="6060" w:type="dxa"/>
            <w:vAlign w:val="bottom"/>
            <w:vMerge w:val="restart"/>
          </w:tcPr>
          <w:p>
            <w:pPr>
              <w:spacing w:after="0"/>
              <w:rPr>
                <w:sz w:val="20"/>
                <w:szCs w:val="20"/>
                <w:color w:val="auto"/>
              </w:rPr>
            </w:pPr>
            <w:r>
              <w:rPr>
                <w:rFonts w:ascii="Arial" w:cs="Arial" w:eastAsia="Arial" w:hAnsi="Arial"/>
                <w:sz w:val="18"/>
                <w:szCs w:val="18"/>
                <w:color w:val="auto"/>
              </w:rPr>
              <w:t>Weighted average remaining lease term:</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years</w:t>
            </w:r>
          </w:p>
        </w:tc>
        <w:tc>
          <w:tcPr>
            <w:tcW w:w="0" w:type="dxa"/>
            <w:vAlign w:val="bottom"/>
          </w:tcPr>
          <w:p>
            <w:pPr>
              <w:spacing w:after="0"/>
              <w:rPr>
                <w:sz w:val="1"/>
                <w:szCs w:val="1"/>
                <w:color w:val="auto"/>
              </w:rPr>
            </w:pPr>
          </w:p>
        </w:tc>
      </w:tr>
      <w:tr>
        <w:trPr>
          <w:trHeight w:val="459"/>
        </w:trPr>
        <w:tc>
          <w:tcPr>
            <w:tcW w:w="60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32" w:name="page33"/>
    <w:bookmarkEnd w:id="3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39" w:lineRule="auto"/>
        <w:rPr>
          <w:sz w:val="20"/>
          <w:szCs w:val="20"/>
          <w:color w:val="auto"/>
        </w:rPr>
      </w:pPr>
      <w:r>
        <w:rPr>
          <w:rFonts w:ascii="Arial" w:cs="Arial" w:eastAsia="Arial" w:hAnsi="Arial"/>
          <w:sz w:val="22"/>
          <w:szCs w:val="22"/>
          <w:color w:val="auto"/>
        </w:rPr>
        <w:t>Maturities of operating lease liabilities and a reconciliation of the operating lease liabilities reported on our Consolidated Balance Sheets as of September 30, 2019 are as follows: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color w:val="auto"/>
                <w:w w:val="97"/>
              </w:rPr>
              <w:t>Operating Leases</w:t>
            </w:r>
          </w:p>
        </w:tc>
      </w:tr>
      <w:tr>
        <w:trPr>
          <w:trHeight w:val="264"/>
        </w:trPr>
        <w:tc>
          <w:tcPr>
            <w:tcW w:w="8780" w:type="dxa"/>
            <w:vAlign w:val="bottom"/>
            <w:shd w:val="clear" w:color="auto" w:fill="CCEEFF"/>
          </w:tcPr>
          <w:p>
            <w:pPr>
              <w:spacing w:after="0"/>
              <w:rPr>
                <w:sz w:val="20"/>
                <w:szCs w:val="20"/>
                <w:color w:val="auto"/>
              </w:rPr>
            </w:pPr>
            <w:r>
              <w:rPr>
                <w:rFonts w:ascii="Arial" w:cs="Arial" w:eastAsia="Arial" w:hAnsi="Arial"/>
                <w:sz w:val="22"/>
                <w:szCs w:val="22"/>
                <w:color w:val="auto"/>
              </w:rPr>
              <w:t>2019</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285</w:t>
            </w:r>
          </w:p>
        </w:tc>
      </w:tr>
      <w:tr>
        <w:trPr>
          <w:trHeight w:val="284"/>
        </w:trPr>
        <w:tc>
          <w:tcPr>
            <w:tcW w:w="8780" w:type="dxa"/>
            <w:vAlign w:val="bottom"/>
          </w:tcPr>
          <w:p>
            <w:pPr>
              <w:spacing w:after="0"/>
              <w:rPr>
                <w:sz w:val="20"/>
                <w:szCs w:val="20"/>
                <w:color w:val="auto"/>
              </w:rPr>
            </w:pPr>
            <w:r>
              <w:rPr>
                <w:rFonts w:ascii="Arial" w:cs="Arial" w:eastAsia="Arial" w:hAnsi="Arial"/>
                <w:sz w:val="22"/>
                <w:szCs w:val="22"/>
                <w:color w:val="auto"/>
              </w:rPr>
              <w:t>2020</w:t>
            </w:r>
          </w:p>
        </w:tc>
        <w:tc>
          <w:tcPr>
            <w:tcW w:w="34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1,614</w:t>
            </w:r>
          </w:p>
        </w:tc>
      </w:tr>
      <w:tr>
        <w:trPr>
          <w:trHeight w:val="284"/>
        </w:trPr>
        <w:tc>
          <w:tcPr>
            <w:tcW w:w="8780" w:type="dxa"/>
            <w:vAlign w:val="bottom"/>
            <w:shd w:val="clear" w:color="auto" w:fill="CCEEFF"/>
          </w:tcPr>
          <w:p>
            <w:pPr>
              <w:spacing w:after="0"/>
              <w:rPr>
                <w:sz w:val="20"/>
                <w:szCs w:val="20"/>
                <w:color w:val="auto"/>
              </w:rPr>
            </w:pPr>
            <w:r>
              <w:rPr>
                <w:rFonts w:ascii="Arial" w:cs="Arial" w:eastAsia="Arial" w:hAnsi="Arial"/>
                <w:sz w:val="22"/>
                <w:szCs w:val="22"/>
                <w:color w:val="auto"/>
              </w:rPr>
              <w:t>2021</w:t>
            </w:r>
          </w:p>
        </w:tc>
        <w:tc>
          <w:tcPr>
            <w:tcW w:w="340" w:type="dxa"/>
            <w:vAlign w:val="bottom"/>
            <w:shd w:val="clear" w:color="auto" w:fill="CCEEFF"/>
          </w:tcPr>
          <w:p>
            <w:pPr>
              <w:spacing w:after="0"/>
              <w:rPr>
                <w:sz w:val="24"/>
                <w:szCs w:val="2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1,375</w:t>
            </w:r>
          </w:p>
        </w:tc>
      </w:tr>
      <w:tr>
        <w:trPr>
          <w:trHeight w:val="284"/>
        </w:trPr>
        <w:tc>
          <w:tcPr>
            <w:tcW w:w="8780" w:type="dxa"/>
            <w:vAlign w:val="bottom"/>
          </w:tcPr>
          <w:p>
            <w:pPr>
              <w:spacing w:after="0"/>
              <w:rPr>
                <w:sz w:val="20"/>
                <w:szCs w:val="20"/>
                <w:color w:val="auto"/>
              </w:rPr>
            </w:pPr>
            <w:r>
              <w:rPr>
                <w:rFonts w:ascii="Arial" w:cs="Arial" w:eastAsia="Arial" w:hAnsi="Arial"/>
                <w:sz w:val="22"/>
                <w:szCs w:val="22"/>
                <w:color w:val="auto"/>
              </w:rPr>
              <w:t>2022</w:t>
            </w:r>
          </w:p>
        </w:tc>
        <w:tc>
          <w:tcPr>
            <w:tcW w:w="34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1,146</w:t>
            </w:r>
          </w:p>
        </w:tc>
      </w:tr>
      <w:tr>
        <w:trPr>
          <w:trHeight w:val="284"/>
        </w:trPr>
        <w:tc>
          <w:tcPr>
            <w:tcW w:w="8780" w:type="dxa"/>
            <w:vAlign w:val="bottom"/>
            <w:shd w:val="clear" w:color="auto" w:fill="CCEEFF"/>
          </w:tcPr>
          <w:p>
            <w:pPr>
              <w:spacing w:after="0"/>
              <w:rPr>
                <w:sz w:val="20"/>
                <w:szCs w:val="20"/>
                <w:color w:val="auto"/>
              </w:rPr>
            </w:pPr>
            <w:r>
              <w:rPr>
                <w:rFonts w:ascii="Arial" w:cs="Arial" w:eastAsia="Arial" w:hAnsi="Arial"/>
                <w:sz w:val="22"/>
                <w:szCs w:val="22"/>
                <w:color w:val="auto"/>
              </w:rPr>
              <w:t>2023</w:t>
            </w:r>
          </w:p>
        </w:tc>
        <w:tc>
          <w:tcPr>
            <w:tcW w:w="340" w:type="dxa"/>
            <w:vAlign w:val="bottom"/>
            <w:shd w:val="clear" w:color="auto" w:fill="CCEEFF"/>
          </w:tcPr>
          <w:p>
            <w:pPr>
              <w:spacing w:after="0"/>
              <w:rPr>
                <w:sz w:val="24"/>
                <w:szCs w:val="24"/>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771</w:t>
            </w:r>
          </w:p>
        </w:tc>
      </w:tr>
      <w:tr>
        <w:trPr>
          <w:trHeight w:val="284"/>
        </w:trPr>
        <w:tc>
          <w:tcPr>
            <w:tcW w:w="878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Thereafter</w:t>
            </w: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16,430</w:t>
            </w:r>
          </w:p>
        </w:tc>
      </w:tr>
      <w:tr>
        <w:trPr>
          <w:trHeight w:val="250"/>
        </w:trPr>
        <w:tc>
          <w:tcPr>
            <w:tcW w:w="8780" w:type="dxa"/>
            <w:vAlign w:val="bottom"/>
            <w:tcBorders>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Total operating lease payments</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23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21,621</w:t>
            </w:r>
          </w:p>
        </w:tc>
      </w:tr>
      <w:tr>
        <w:trPr>
          <w:trHeight w:val="20"/>
        </w:trPr>
        <w:tc>
          <w:tcPr>
            <w:tcW w:w="8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84"/>
        </w:trPr>
        <w:tc>
          <w:tcPr>
            <w:tcW w:w="8780" w:type="dxa"/>
            <w:vAlign w:val="bottom"/>
            <w:shd w:val="clear" w:color="auto" w:fill="CCEEFF"/>
          </w:tcPr>
          <w:p>
            <w:pPr>
              <w:spacing w:after="0"/>
              <w:rPr>
                <w:sz w:val="20"/>
                <w:szCs w:val="20"/>
                <w:color w:val="auto"/>
              </w:rPr>
            </w:pPr>
            <w:r>
              <w:rPr>
                <w:rFonts w:ascii="Arial" w:cs="Arial" w:eastAsia="Arial" w:hAnsi="Arial"/>
                <w:sz w:val="22"/>
                <w:szCs w:val="22"/>
                <w:color w:val="auto"/>
              </w:rPr>
              <w:t>Total operating lease payments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21,621</w:t>
            </w:r>
          </w:p>
        </w:tc>
      </w:tr>
      <w:tr>
        <w:trPr>
          <w:trHeight w:val="284"/>
        </w:trPr>
        <w:tc>
          <w:tcPr>
            <w:tcW w:w="878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Less operating lease liabilities</w:t>
            </w: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12,883</w:t>
            </w:r>
          </w:p>
        </w:tc>
      </w:tr>
      <w:tr>
        <w:trPr>
          <w:trHeight w:val="250"/>
        </w:trPr>
        <w:tc>
          <w:tcPr>
            <w:tcW w:w="8780" w:type="dxa"/>
            <w:vAlign w:val="bottom"/>
            <w:tcBorders>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Present value adjustment</w:t>
            </w: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23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8,738</w:t>
            </w:r>
          </w:p>
        </w:tc>
      </w:tr>
      <w:tr>
        <w:trPr>
          <w:trHeight w:val="20"/>
        </w:trPr>
        <w:tc>
          <w:tcPr>
            <w:tcW w:w="8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future annual minimum lease payments due for the Company’s leases as of December 31, 2018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shd w:val="clear" w:color="auto" w:fill="CCEEFF"/>
          </w:tcPr>
          <w:p>
            <w:pPr>
              <w:spacing w:after="0"/>
              <w:rPr>
                <w:sz w:val="20"/>
                <w:szCs w:val="20"/>
                <w:color w:val="auto"/>
              </w:rPr>
            </w:pPr>
            <w:r>
              <w:rPr>
                <w:rFonts w:ascii="Arial" w:cs="Arial" w:eastAsia="Arial" w:hAnsi="Arial"/>
                <w:sz w:val="22"/>
                <w:szCs w:val="22"/>
                <w:color w:val="auto"/>
              </w:rPr>
              <w:t>2019</w:t>
            </w:r>
          </w:p>
        </w:tc>
        <w:tc>
          <w:tcPr>
            <w:tcW w:w="4980" w:type="dxa"/>
            <w:vAlign w:val="bottom"/>
            <w:gridSpan w:val="2"/>
            <w:shd w:val="clear" w:color="auto" w:fill="CCEEFF"/>
          </w:tcPr>
          <w:p>
            <w:pPr>
              <w:jc w:val="right"/>
              <w:ind w:right="823"/>
              <w:spacing w:after="0"/>
              <w:rPr>
                <w:sz w:val="20"/>
                <w:szCs w:val="20"/>
                <w:color w:val="auto"/>
              </w:rPr>
            </w:pPr>
            <w:r>
              <w:rPr>
                <w:rFonts w:ascii="Arial" w:cs="Arial" w:eastAsia="Arial" w:hAnsi="Arial"/>
                <w:sz w:val="22"/>
                <w:szCs w:val="22"/>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2,221</w:t>
            </w:r>
          </w:p>
        </w:tc>
      </w:tr>
      <w:tr>
        <w:trPr>
          <w:trHeight w:val="230"/>
        </w:trPr>
        <w:tc>
          <w:tcPr>
            <w:tcW w:w="4860" w:type="dxa"/>
            <w:vAlign w:val="bottom"/>
          </w:tcPr>
          <w:p>
            <w:pPr>
              <w:spacing w:after="0" w:line="229" w:lineRule="exact"/>
              <w:rPr>
                <w:sz w:val="20"/>
                <w:szCs w:val="20"/>
                <w:color w:val="auto"/>
              </w:rPr>
            </w:pPr>
            <w:r>
              <w:rPr>
                <w:rFonts w:ascii="Arial" w:cs="Arial" w:eastAsia="Arial" w:hAnsi="Arial"/>
                <w:sz w:val="22"/>
                <w:szCs w:val="22"/>
                <w:color w:val="auto"/>
              </w:rPr>
              <w:t>2020</w:t>
            </w:r>
          </w:p>
        </w:tc>
        <w:tc>
          <w:tcPr>
            <w:tcW w:w="3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80" w:type="dxa"/>
            <w:vAlign w:val="bottom"/>
          </w:tcPr>
          <w:p>
            <w:pPr>
              <w:jc w:val="right"/>
              <w:spacing w:after="0" w:line="229" w:lineRule="exact"/>
              <w:rPr>
                <w:sz w:val="20"/>
                <w:szCs w:val="20"/>
                <w:color w:val="auto"/>
              </w:rPr>
            </w:pPr>
            <w:r>
              <w:rPr>
                <w:rFonts w:ascii="Arial" w:cs="Arial" w:eastAsia="Arial" w:hAnsi="Arial"/>
                <w:sz w:val="22"/>
                <w:szCs w:val="22"/>
                <w:color w:val="auto"/>
              </w:rPr>
              <w:t>1,682</w:t>
            </w:r>
          </w:p>
        </w:tc>
      </w:tr>
      <w:tr>
        <w:trPr>
          <w:trHeight w:val="230"/>
        </w:trPr>
        <w:tc>
          <w:tcPr>
            <w:tcW w:w="4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2021</w:t>
            </w:r>
          </w:p>
        </w:tc>
        <w:tc>
          <w:tcPr>
            <w:tcW w:w="3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1,443</w:t>
            </w:r>
          </w:p>
        </w:tc>
      </w:tr>
      <w:tr>
        <w:trPr>
          <w:trHeight w:val="230"/>
        </w:trPr>
        <w:tc>
          <w:tcPr>
            <w:tcW w:w="4860" w:type="dxa"/>
            <w:vAlign w:val="bottom"/>
          </w:tcPr>
          <w:p>
            <w:pPr>
              <w:spacing w:after="0" w:line="229" w:lineRule="exact"/>
              <w:rPr>
                <w:sz w:val="20"/>
                <w:szCs w:val="20"/>
                <w:color w:val="auto"/>
              </w:rPr>
            </w:pPr>
            <w:r>
              <w:rPr>
                <w:rFonts w:ascii="Arial" w:cs="Arial" w:eastAsia="Arial" w:hAnsi="Arial"/>
                <w:sz w:val="22"/>
                <w:szCs w:val="22"/>
                <w:color w:val="auto"/>
              </w:rPr>
              <w:t>2022</w:t>
            </w:r>
          </w:p>
        </w:tc>
        <w:tc>
          <w:tcPr>
            <w:tcW w:w="3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80" w:type="dxa"/>
            <w:vAlign w:val="bottom"/>
          </w:tcPr>
          <w:p>
            <w:pPr>
              <w:jc w:val="right"/>
              <w:spacing w:after="0" w:line="229" w:lineRule="exact"/>
              <w:rPr>
                <w:sz w:val="20"/>
                <w:szCs w:val="20"/>
                <w:color w:val="auto"/>
              </w:rPr>
            </w:pPr>
            <w:r>
              <w:rPr>
                <w:rFonts w:ascii="Arial" w:cs="Arial" w:eastAsia="Arial" w:hAnsi="Arial"/>
                <w:sz w:val="22"/>
                <w:szCs w:val="22"/>
                <w:color w:val="auto"/>
              </w:rPr>
              <w:t>1,221</w:t>
            </w:r>
          </w:p>
        </w:tc>
      </w:tr>
      <w:tr>
        <w:trPr>
          <w:trHeight w:val="230"/>
        </w:trPr>
        <w:tc>
          <w:tcPr>
            <w:tcW w:w="4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2023</w:t>
            </w:r>
          </w:p>
        </w:tc>
        <w:tc>
          <w:tcPr>
            <w:tcW w:w="3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848</w:t>
            </w:r>
          </w:p>
        </w:tc>
      </w:tr>
      <w:tr>
        <w:trPr>
          <w:trHeight w:val="230"/>
        </w:trPr>
        <w:tc>
          <w:tcPr>
            <w:tcW w:w="486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Thereafter</w:t>
            </w:r>
          </w:p>
        </w:tc>
        <w:tc>
          <w:tcPr>
            <w:tcW w:w="39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16,170</w:t>
            </w:r>
          </w:p>
        </w:tc>
      </w:tr>
      <w:tr>
        <w:trPr>
          <w:trHeight w:val="223"/>
        </w:trPr>
        <w:tc>
          <w:tcPr>
            <w:tcW w:w="486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Total</w:t>
            </w:r>
          </w:p>
        </w:tc>
        <w:tc>
          <w:tcPr>
            <w:tcW w:w="39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9"/>
                <w:szCs w:val="19"/>
                <w:color w:val="auto"/>
                <w:w w:val="75"/>
              </w:rPr>
              <w:t>$</w:t>
            </w:r>
          </w:p>
        </w:tc>
        <w:tc>
          <w:tcPr>
            <w:tcW w:w="15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23,585</w:t>
            </w:r>
          </w:p>
        </w:tc>
      </w:tr>
      <w:tr>
        <w:trPr>
          <w:trHeight w:val="20"/>
        </w:trPr>
        <w:tc>
          <w:tcPr>
            <w:tcW w:w="4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18 – </w:t>
      </w:r>
      <w:r>
        <w:rPr>
          <w:rFonts w:ascii="Arial" w:cs="Arial" w:eastAsia="Arial" w:hAnsi="Arial"/>
          <w:sz w:val="22"/>
          <w:szCs w:val="22"/>
          <w:b w:val="1"/>
          <w:bCs w:val="1"/>
          <w:i w:val="1"/>
          <w:iCs w:val="1"/>
          <w:color w:val="auto"/>
        </w:rPr>
        <w:t>Recent Accounting Pronouncements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Pronouncements to be adopted upon the effective date:</w:t>
      </w:r>
    </w:p>
    <w:p>
      <w:pPr>
        <w:spacing w:after="0" w:line="206" w:lineRule="exact"/>
        <w:rPr>
          <w:sz w:val="20"/>
          <w:szCs w:val="20"/>
          <w:color w:val="auto"/>
        </w:rPr>
      </w:pPr>
    </w:p>
    <w:p>
      <w:pPr>
        <w:ind w:right="400"/>
        <w:spacing w:after="0" w:line="264" w:lineRule="auto"/>
        <w:rPr>
          <w:sz w:val="20"/>
          <w:szCs w:val="20"/>
          <w:color w:val="auto"/>
        </w:rPr>
      </w:pPr>
      <w:r>
        <w:rPr>
          <w:rFonts w:ascii="Arial" w:cs="Arial" w:eastAsia="Arial" w:hAnsi="Arial"/>
          <w:sz w:val="19"/>
          <w:szCs w:val="19"/>
          <w:color w:val="auto"/>
        </w:rPr>
        <w:t>In August 2018, the FASB issued updated accounting guidance on accounting for cloud computing arrangements. The updated guidance requires entities that are customers in cloud computing arrangements to defer implementation costs if they would be capitalized by the entity in software licensing arrangements under the internal-use software guidance. The guidance may be applied retrospectively or prospectively to implementation costs incurred after the date of adoption. The updated accounting guidance is effective for fiscal years beginning after December 15, 2019 and interim periods within those fiscal years. Upon adoption, we do not believe the new guidance will have an impact on our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33" w:name="page34"/>
    <w:bookmarkEnd w:id="3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In August 2018, the FASB issued updated accounting guidance, which modifies the disclosures required for defined benefit pension and other postretirement benefit plans. The modifications in this update remove disclosures that are no longer considered cost beneficial, clarify the specific requirements of disclosures, and add disclosure requirements identified as relevant. The updated accounting guidance is effective for fiscal years ending after December 15, 2020, with early adoption available. The Company is evaluating the requirements of the updated guidance to determine the impact of adoption.</w:t>
      </w:r>
    </w:p>
    <w:p>
      <w:pPr>
        <w:spacing w:after="0" w:line="162"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In August 2018, the FASB issued updated accounting guidance, which modifies the disclosure requirements on fair value measurements. The modifications in this update eliminates, amends, and adds disclosure requirements for fair value measurements, which is expected to reduce costs for preparers while providing more decision-useful information for financial statement users. The updated accounting guidance is effective for fiscal years ending after December 15, 2019, with early adoption available. Upon adoption, we do not believe the new guidance will have an impact on our consolidated financial statements.</w:t>
      </w:r>
    </w:p>
    <w:p>
      <w:pPr>
        <w:spacing w:after="0" w:line="162"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In June 2016, the FASB issued updated accounting guidance on accounting for impairments of financial instruments, including trade receivables, which requires companies to estimate expected credit losses on trade receivables over their contractual life. Historically, companies reserve for expected credit losses by applying historical loss percentages to respective aging categories. Under the updated accounting guidance, companies will use a forward-looking methodology that incorporates lifetime expected credit losses, which will result in an allowance for expected credit losses for receivables that are either current or not yet due, which historically have not been reserved for. The updated accounting guidance is effective for fiscal years beginning after December 15, 2019 and interim periods within those fiscal years, with early adoption available. Upon adoption, we do not believe the new guidance will have an impact on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Pronouncements adopted during the year:</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In February 2016, the FASB issued updated accounting guidance on accounting for leases, which requires lessees to establish a right-of-use asset and a lease liability on the balance sheet for all leases with terms longer than 12 months. For income statement purposes, leases will be classified as either operating or finance. Operating leases will result in straight-line expense while finance leases will result in a front-loaded expense pattern. The updated accounting guidance is effective for fiscal years beginning after December 15, 2018, and interim periods within those fiscal years, with early adoption available. On January 1, 2019, the Company adopted the updated guidance as required using the modified retrospective approach, which provides a method for recording existing leases at adoption and in comparative periods that approximates the results of a full retrospective approach. Further, we elected the package of practical expedients permitted under the transition guidance within the updated guidance, which among other things, allowed the Company to carry forward its historical lease classification. The Company also elected the practical expedient related to land easements, allowing the Company to carry forward its accounting treatment for land easements on existing agreements. Adoption of the new guidance resulted in the recording, on the Company’s consolidated balance sheet, of a right-of-use asset and lease liability of $14,028 as of January 1, 2019, and there was no cumulative impact adjustment to retained earnings for prior periods accounted for under the previous lease guidance.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34" w:name="page35"/>
    <w:bookmarkEnd w:id="3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MANAGEMENT’S DISCUSSION AND ANALYSIS OF</w:t>
      </w:r>
    </w:p>
    <w:p>
      <w:pPr>
        <w:jc w:val="center"/>
        <w:ind w:right="40"/>
        <w:spacing w:after="0" w:line="217" w:lineRule="auto"/>
        <w:rPr>
          <w:sz w:val="20"/>
          <w:szCs w:val="20"/>
          <w:color w:val="auto"/>
        </w:rPr>
      </w:pPr>
      <w:r>
        <w:rPr>
          <w:rFonts w:ascii="Arial" w:cs="Arial" w:eastAsia="Arial" w:hAnsi="Arial"/>
          <w:sz w:val="22"/>
          <w:szCs w:val="22"/>
          <w:color w:val="auto"/>
        </w:rPr>
        <w:t>FINANCIAL CONDITION AND RESULTS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06" w:lineRule="exact"/>
        <w:rPr>
          <w:sz w:val="20"/>
          <w:szCs w:val="20"/>
          <w:color w:val="auto"/>
        </w:rPr>
      </w:pPr>
    </w:p>
    <w:p>
      <w:pPr>
        <w:ind w:left="4480"/>
        <w:spacing w:after="0"/>
        <w:rPr>
          <w:sz w:val="20"/>
          <w:szCs w:val="20"/>
          <w:color w:val="auto"/>
        </w:rPr>
      </w:pPr>
      <w:r>
        <w:rPr>
          <w:rFonts w:ascii="Arial" w:cs="Arial" w:eastAsia="Arial" w:hAnsi="Arial"/>
          <w:sz w:val="22"/>
          <w:szCs w:val="22"/>
          <w:u w:val="single" w:color="auto"/>
          <w:color w:val="auto"/>
        </w:rPr>
        <w:t>Forward-looking Statements</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changes in capital requirements and funding, our ability to close acquisitions, changes to the capital markets, and our ability to assimilate acquired operations, as well as those risks, uncertainties and other factors discussed in our Annual Report on Form 10-K for the fiscal year ended December 31, 2018 under the captions “Risk Factors” and “Management’s Discussion and Analysis of Financial Condition and Results of Operations” and elsewhere in such report and those included under the captions “Risk Factors” in this Quarterly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General Information</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Aqua America, Inc. (“we”, “us”, “our” or the “Company”), a Pennsylvania corporation, is the holding company for regulated utilities providing water or wastewater services to what we estimate to be almost three million people in Pennsylvania, Ohio, Texas, Illinois, North Carolina, New Jersey, Indiana, and Virginia. Our largest operating subsidiary, Aqua Pennsylvania, provides water or wastewater services to approximately one-half of the total number of people we serve, who are located in the suburban areas in counties north and west of the City of Philadelphia and in 27 other counties in Pennsylvania. Our other regulated utility subsidiaries provide similar services in seven other states. In addition, the Company’s market-based activities are conducted through Aqua Infrastructure, LLC and Aqua Resources, Inc. Aqua Infrastructure provides non-utility raw water supply services for firms in the natural gas drilling industry. Aqua Resources manages a water system operating and maintenance contract, and offers, through a third-party, water and sewer service line protection solutions and repair services to households.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3" w:right="259" w:bottom="1440" w:gutter="0" w:footer="0" w:header="0"/>
        </w:sectPr>
      </w:pPr>
    </w:p>
    <w:bookmarkStart w:id="35" w:name="page36"/>
    <w:bookmarkEnd w:id="3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Aqua America, Inc., which prior to its name change in 2004 was known as Philadelphia Suburban Corporation, was formed in 1968 as a holding company for its primary subsidiary, Aqua Pennsylvania, formerly known as Philadelphia Suburban Water Company. In the early 1990s, we embarked on a growth-through-acquisition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and the acquisition of American Water Works Company, Inc.’s regulated operations in Ohio in 2012. Since the early 1990s, our business strategy has been primarily directed toward the regulated water and wastewater utility industry, where we have more than quadrupled the number of regulated customers we serve, and have extended our regulated operations from southeastern Pennsylvania to include operations in seven other states. The Company seeks to acquire businesses in the U.S. regulated sector, which includes water and wastewater utilities and other regulated utilities, and to opportunistically pursue growth ventures in select market-based activities, such as infrastructure opportunities that are supplementary and complementary to our regulated businesses. On October 22, 2018, the Company entered into an agreement to acquire from LDC Funding LLC, the parent company of PNG Companies, a natural gas distribution company consisting of Peoples Natural Gas Company LLC, Peoples Gas Company LLC, and Delta Natural Gas Company Inc., which upon closing, will expand the Company’s regulated utility business to include natural gas distribution.</w:t>
      </w:r>
    </w:p>
    <w:p>
      <w:pPr>
        <w:spacing w:after="0" w:line="181" w:lineRule="exact"/>
        <w:rPr>
          <w:sz w:val="20"/>
          <w:szCs w:val="20"/>
          <w:color w:val="auto"/>
        </w:rPr>
      </w:pPr>
    </w:p>
    <w:p>
      <w:pPr>
        <w:ind w:right="760"/>
        <w:spacing w:after="0" w:line="239"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During the first nine months of 2019, we incurred $401,558 of capital expenditures, expended $619 for the acquisition of water and wastewater utility systems, issued $1,267,918 of common stock, $673,642 of tangible equity units, $1,310,061 of long-term debt, and repaid debt and made sinking fund contributions and other loan repayments, including the extinguishment of long-term debt, of $888,951. The capital expenditures were related to new and replacement water mains, improvements to treatment plants, tanks, hydrants, and service lines, well and booster improvements, and other enhancements and improvements. The issuance of common stock, tangible equity units, and long-term debt was comprised principally of the permanent financing for our acquisition of Peoples and funds borrowed under our revolving credit facility.</w:t>
      </w:r>
    </w:p>
    <w:p>
      <w:pPr>
        <w:spacing w:after="0" w:line="167" w:lineRule="exact"/>
        <w:rPr>
          <w:sz w:val="20"/>
          <w:szCs w:val="20"/>
          <w:color w:val="auto"/>
        </w:rPr>
      </w:pPr>
    </w:p>
    <w:p>
      <w:pPr>
        <w:ind w:right="300"/>
        <w:spacing w:after="0" w:line="254" w:lineRule="auto"/>
        <w:rPr>
          <w:sz w:val="20"/>
          <w:szCs w:val="20"/>
          <w:color w:val="auto"/>
        </w:rPr>
      </w:pPr>
      <w:r>
        <w:rPr>
          <w:rFonts w:ascii="Arial" w:cs="Arial" w:eastAsia="Arial" w:hAnsi="Arial"/>
          <w:sz w:val="19"/>
          <w:szCs w:val="19"/>
          <w:color w:val="auto"/>
        </w:rPr>
        <w:t>Pursuant to the Company’s growth strategy, on October 22, 2018, the Company entered into a purchase agreement (the “Acquisition Agreement”) with LDC Parent LLC (“Seller”), to acquire its interests in LDC Funding LLC (“LDC”). LDC is the parent of LDC Holdings LLC (“LDC Holdings”), and LDC Holdings is the parent of five natural gas utility companies, which includes Peoples Natural Gas Company, Peoples Gas Company, and Delta Natural Gas Company as well as other operating subsidiaries. This acquisition is referred to as the “Peoples Gas Acquisition,” and collectively these businesses are referred to as “Peoples.” Peoples is headquartered in Pittsburgh, Pennsylvania, and serves approximately 740,000 gas utility customers in western Pennsylvania, West Virginia, and Kentucky. At the closing of the Peoples Gas Acquisition, the Company will pay $4,275,000 in cash subject to adjustments for working capital, certain capital expenditures, transaction expenses and closing</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300"/>
        <w:spacing w:after="0" w:line="232" w:lineRule="auto"/>
        <w:rPr>
          <w:sz w:val="20"/>
          <w:szCs w:val="20"/>
          <w:color w:val="auto"/>
        </w:rPr>
      </w:pPr>
      <w:r>
        <w:rPr>
          <w:rFonts w:ascii="Arial" w:cs="Arial" w:eastAsia="Arial" w:hAnsi="Arial"/>
          <w:sz w:val="22"/>
          <w:szCs w:val="22"/>
          <w:color w:val="auto"/>
        </w:rPr>
        <w:t>indebtedness as set forth in the Acquisition Agreement. The Company expects to assume approximately $1,432,000 of Peoples’ indebtedness upon closing of the Peoples Gas Acquisition, which would reduce the cash purchase price by approximately $1,432,000.</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On October 22, 2018, the Company obtained a commitment (the “Bridge Commitment”) from certain banks to provide senior unsecured bridge loans in an aggregate amount of up to $5,100,000 to, among other things, backstop the Peoples Gas Acquisition purchase price and refinancing of certain debt of the Company and Peoples. On March 29, 2019, the Company entered into a Stock Purchase Agreement to issue shares of common stock in a private placement to fund a portion of the Peoples Gas Acquisition. We expect the private placement to close concurrently with the consummation of the Peoples Gas Acquisition. The gross proceeds of the Stock Purchase Agreement are expected to amount to approximately $750,000. Further, on April 18, 2019, the Company issued $1,293,750 of its common stock and $690,000 of its tangible equity units, with a stated amount of $50 per unit, and on April 26, 2019, the Company issued $900,000 of senior notes. As of September 30, 2019, the Company has terminated $4,350,000 of commitments under the Bridge Commitment. The remaining balance available under the Bridge Commitment is $750,000. Refer to Note 6 – </w:t>
      </w:r>
      <w:r>
        <w:rPr>
          <w:rFonts w:ascii="Arial" w:cs="Arial" w:eastAsia="Arial" w:hAnsi="Arial"/>
          <w:sz w:val="19"/>
          <w:szCs w:val="19"/>
          <w:i w:val="1"/>
          <w:iCs w:val="1"/>
          <w:color w:val="auto"/>
        </w:rPr>
        <w:t>Capitalization</w:t>
      </w:r>
      <w:r>
        <w:rPr>
          <w:rFonts w:ascii="Arial" w:cs="Arial" w:eastAsia="Arial" w:hAnsi="Arial"/>
          <w:sz w:val="19"/>
          <w:szCs w:val="19"/>
          <w:color w:val="auto"/>
        </w:rPr>
        <w:t xml:space="preserve"> to the consolidated financial statements for further information on these financings.</w:t>
      </w:r>
    </w:p>
    <w:p>
      <w:pPr>
        <w:spacing w:after="0" w:line="168" w:lineRule="exact"/>
        <w:rPr>
          <w:sz w:val="20"/>
          <w:szCs w:val="20"/>
          <w:color w:val="auto"/>
        </w:rPr>
      </w:pPr>
    </w:p>
    <w:p>
      <w:pPr>
        <w:ind w:right="120"/>
        <w:spacing w:after="0" w:line="237" w:lineRule="auto"/>
        <w:rPr>
          <w:sz w:val="20"/>
          <w:szCs w:val="20"/>
          <w:color w:val="auto"/>
        </w:rPr>
      </w:pPr>
      <w:r>
        <w:rPr>
          <w:rFonts w:ascii="Arial" w:cs="Arial" w:eastAsia="Arial" w:hAnsi="Arial"/>
          <w:sz w:val="21"/>
          <w:szCs w:val="21"/>
          <w:color w:val="auto"/>
        </w:rPr>
        <w:t>On May 18, 2019, the Company redeemed $313,500 of the Company’s outstanding notes that had maturities ranging from 2019-2037 and interest rates ranging from 3.57-5.83%. Additionally, the redemption of senior unsecured notes was subject to a make whole payment of $25,237, and $18,920 of this payment was expensed and is presented in the consolidated statements of operations on the line item “loss on debt extinguishment.” The balance of the payment, or $6,317, was deferred as it represents an amount by which the Company expects to receive prospective rate recovery.</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 xml:space="preserve">On October 23, 2018, the Company entered into interest rate swap agreements to mitigate interest rate risk associated with an anticipated $850,000 of future debt issuances to fund a portion of the Peoples Gas Acquisition. The interest rate swaps were settled on April 24, 2019 in conjunction with the issuance of $900,000 of long-term debt to be used to finance a portion of the purchase price of this acquisition and redeem $313,500 of the Company’s existing debt. Refer to Note 7 – </w:t>
      </w:r>
      <w:r>
        <w:rPr>
          <w:rFonts w:ascii="Arial" w:cs="Arial" w:eastAsia="Arial" w:hAnsi="Arial"/>
          <w:sz w:val="19"/>
          <w:szCs w:val="19"/>
          <w:i w:val="1"/>
          <w:iCs w:val="1"/>
          <w:color w:val="auto"/>
        </w:rPr>
        <w:t>Interest Rate Swap Agreements</w:t>
      </w:r>
      <w:r>
        <w:rPr>
          <w:rFonts w:ascii="Arial" w:cs="Arial" w:eastAsia="Arial" w:hAnsi="Arial"/>
          <w:sz w:val="19"/>
          <w:szCs w:val="19"/>
          <w:color w:val="auto"/>
        </w:rPr>
        <w:t xml:space="preserve"> to the consolidated financial statements in this report for further information. The interest rate swaps did not qualify for hedge accounting and any changes in the fair value of the swaps was included in our earnings.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Peoples Gas Acquisition is subject to certain other adjustments at closing and is subject to regulatory approval by the Pennsylvania Public Utility Commission (the “PaPUC”), and other customary closing conditions set forth in the Acquisition Agreement. Approval from the United States Federal Trade Commission was obtained in December 2018, and approvals from the public utility commissions of Kentucky and West Virginia were obtained in March 2019 and April 2019, respectively. On June 11, 2019, we filed a settlement agreement with the PaPUC, and all but two of the intervenors to the case have entered into or chosen not to oppose the settlement agreement. In October 2019, we received the decision of the Administrative Law Judge with respect to the PaPUC’s review of the Peoples Gas Acquisition who recommended that the PaPUC issue all approvals as are necessary for the Company to carry out the Peoples Gas Acquisition. The Peoples Gas Acquisition is expected to close in late 2019 or early 2020 once regulatory approval is obtained from the PaPUC, and closing conditions are met, and it is anticipated that this acquisition will result in the recording of goodwill. In the event that the Acquisition Agreement is terminated due to certain breaches by the Company, a fee of $120,000 would be payable to the Seller as a reverse termination fee.</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At September 30, 2019, we had $2,030,568 of cash and cash equivalents compared to $3,627 at December 31, 2018. The cash and cash equivalents balance at September 30, 2019 includes $1,968,123 of proceeds from the April 2019 financings held in an interest-bearing account to fund the Peoples acquisition. During the first nine months of 2019, we used the proceeds from the issuance of common stock, tangible equity units, long-term debt, and internally generated funds to fund the cash requirements discussed above, deposit financing proceeds into an interest-bearing account, and to pay dividends.</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At September 30, 2019, our $550,000 unsecured revolving credit facility, which expires in December 2023, had $532,362 available for borrowing. Additionally, at September 30, 2019, we had short-term lines of credit of $135,500, of which $125,500 was available for borrowing. One of our short-term lines of credit is an Aqua Pennsylvania $100,000 364-day unsecured revolving credit facility with four banks, which is used to provide working capital, and as of September 30, 2019, $90,000 was available for borrowing. Our short-term lines of credit of $135,500 are subject to renewal on an annual basis. Although we believe we will be able to renew these facilities, there is no assurance that they will be renewed, or what the terms of any such renewal will be.</w:t>
      </w:r>
    </w:p>
    <w:p>
      <w:pPr>
        <w:spacing w:after="0" w:line="165" w:lineRule="exact"/>
        <w:rPr>
          <w:sz w:val="20"/>
          <w:szCs w:val="20"/>
          <w:color w:val="auto"/>
        </w:rPr>
      </w:pPr>
    </w:p>
    <w:p>
      <w:pPr>
        <w:ind w:right="80"/>
        <w:spacing w:after="0" w:line="235" w:lineRule="auto"/>
        <w:rPr>
          <w:sz w:val="20"/>
          <w:szCs w:val="20"/>
          <w:color w:val="auto"/>
        </w:rPr>
      </w:pPr>
      <w:r>
        <w:rPr>
          <w:rFonts w:ascii="Arial" w:cs="Arial" w:eastAsia="Arial" w:hAnsi="Arial"/>
          <w:sz w:val="21"/>
          <w:szCs w:val="21"/>
          <w:color w:val="auto"/>
        </w:rPr>
        <w:t>As a result of the proceeds raised from the April 2019 financings that are being held for funding the Peoples acquisition the Company has a positive working capital position as of September 30, 2019. However, historically, the Company’s consolidated balance sheet has had a negative working capital position whereby our current liabilities routinely exceed our current assets. Management believes that internally generated funds along with existing credit facilities and the proceeds from the issuance of long-term debt, common equity, and tangible equity units will be adequate to provide sufficient working capital to maintain normal operations and to meet our financing requirements for at least the next twelve months.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left="4780"/>
        <w:spacing w:after="0"/>
        <w:rPr>
          <w:sz w:val="20"/>
          <w:szCs w:val="20"/>
          <w:color w:val="auto"/>
        </w:rPr>
      </w:pPr>
      <w:r>
        <w:rPr>
          <w:rFonts w:ascii="Arial" w:cs="Arial" w:eastAsia="Arial" w:hAnsi="Arial"/>
          <w:sz w:val="22"/>
          <w:szCs w:val="22"/>
          <w:u w:val="single" w:color="auto"/>
          <w:color w:val="auto"/>
        </w:rPr>
        <w:t>Results of Operations</w:t>
      </w:r>
    </w:p>
    <w:p>
      <w:pPr>
        <w:spacing w:after="0" w:line="206" w:lineRule="exact"/>
        <w:rPr>
          <w:sz w:val="20"/>
          <w:szCs w:val="20"/>
          <w:color w:val="auto"/>
        </w:rPr>
      </w:pPr>
    </w:p>
    <w:p>
      <w:pPr>
        <w:ind w:left="2660"/>
        <w:spacing w:after="0"/>
        <w:rPr>
          <w:sz w:val="20"/>
          <w:szCs w:val="20"/>
          <w:color w:val="auto"/>
        </w:rPr>
      </w:pPr>
      <w:r>
        <w:rPr>
          <w:rFonts w:ascii="Arial" w:cs="Arial" w:eastAsia="Arial" w:hAnsi="Arial"/>
          <w:sz w:val="22"/>
          <w:szCs w:val="22"/>
          <w:u w:val="single" w:color="auto"/>
          <w:color w:val="auto"/>
        </w:rPr>
        <w:t>Analysis of Third Quarter of 2019 Compared to Third Quarter of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Revenues increased by $17,489 or 7.7%, primarily due to:</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increase in water and wastewater rates, net of infrastructure rehabilitation surcharges, of $15,728; and</w:t>
      </w:r>
    </w:p>
    <w:p>
      <w:pPr>
        <w:ind w:left="660"/>
        <w:spacing w:after="0" w:line="217" w:lineRule="auto"/>
        <w:rPr>
          <w:sz w:val="20"/>
          <w:szCs w:val="20"/>
          <w:color w:val="auto"/>
        </w:rPr>
      </w:pPr>
      <w:r>
        <w:rPr>
          <w:rFonts w:ascii="Arial" w:cs="Arial" w:eastAsia="Arial" w:hAnsi="Arial"/>
          <w:sz w:val="22"/>
          <w:szCs w:val="22"/>
          <w:color w:val="auto"/>
        </w:rPr>
        <w:t>additional water and wastewater revenues of $1,901 associated with a larger customer base due to organic growth and utility acquisitions, and other growth ventures;</w:t>
      </w:r>
    </w:p>
    <w:p>
      <w:pPr>
        <w:spacing w:after="0" w:line="2" w:lineRule="exact"/>
        <w:rPr>
          <w:sz w:val="20"/>
          <w:szCs w:val="20"/>
          <w:color w:val="auto"/>
        </w:rPr>
      </w:pPr>
    </w:p>
    <w:p>
      <w:pPr>
        <w:ind w:left="660" w:right="200"/>
        <w:spacing w:after="0" w:line="293" w:lineRule="auto"/>
        <w:rPr>
          <w:sz w:val="20"/>
          <w:szCs w:val="20"/>
          <w:color w:val="auto"/>
        </w:rPr>
      </w:pPr>
      <w:r>
        <w:rPr>
          <w:rFonts w:ascii="Arial" w:cs="Arial" w:eastAsia="Arial" w:hAnsi="Arial"/>
          <w:sz w:val="19"/>
          <w:szCs w:val="19"/>
          <w:color w:val="auto"/>
        </w:rPr>
        <w:t>offset by a decrease in water and wastewater revenues of $353 as a result of an advisory for some of our customers served by our Illinois subsidiary. We expect this decrease in revenues to continue into the fourth quarter of 2019.</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expenses increased by $13,398 or 19.5%, primarily due to:</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prior year effect of a favorable reduction to a regulatory liability of $3,899;</w:t>
      </w:r>
    </w:p>
    <w:p>
      <w:pPr>
        <w:ind w:left="660" w:right="260"/>
        <w:spacing w:after="0" w:line="217" w:lineRule="auto"/>
        <w:rPr>
          <w:sz w:val="20"/>
          <w:szCs w:val="20"/>
          <w:color w:val="auto"/>
        </w:rPr>
      </w:pPr>
      <w:r>
        <w:rPr>
          <w:rFonts w:ascii="Arial" w:cs="Arial" w:eastAsia="Arial" w:hAnsi="Arial"/>
          <w:sz w:val="22"/>
          <w:szCs w:val="22"/>
          <w:color w:val="auto"/>
        </w:rPr>
        <w:t>transaction expenses of $2,496 for our planned Peoples Gas Acquisition, primarily representing expenses associated with obtaining regulatory approvals, investment banking fees, including bridge financing, legal expenses, and integration planning;</w:t>
      </w:r>
    </w:p>
    <w:p>
      <w:pPr>
        <w:spacing w:after="0" w:line="3" w:lineRule="exact"/>
        <w:rPr>
          <w:sz w:val="20"/>
          <w:szCs w:val="20"/>
          <w:color w:val="auto"/>
        </w:rPr>
      </w:pPr>
    </w:p>
    <w:p>
      <w:pPr>
        <w:ind w:left="660" w:right="360"/>
        <w:spacing w:after="0" w:line="228" w:lineRule="auto"/>
        <w:rPr>
          <w:sz w:val="20"/>
          <w:szCs w:val="20"/>
          <w:color w:val="auto"/>
        </w:rPr>
      </w:pPr>
      <w:r>
        <w:rPr>
          <w:rFonts w:ascii="Arial" w:cs="Arial" w:eastAsia="Arial" w:hAnsi="Arial"/>
          <w:sz w:val="21"/>
          <w:szCs w:val="21"/>
          <w:color w:val="auto"/>
        </w:rPr>
        <w:t>expenses of $2,284 associated with remediating an advisory for some of our customers served by our Illinois subsidiary. We expect that the expenses associated with remediating the advisory to continue in the fourth quarter of 2019; the prior year effect of the write-off of a reserve of $880 for the sale of a water system;</w:t>
      </w:r>
    </w:p>
    <w:p>
      <w:pPr>
        <w:spacing w:after="0" w:line="1" w:lineRule="exact"/>
        <w:rPr>
          <w:sz w:val="20"/>
          <w:szCs w:val="20"/>
          <w:color w:val="auto"/>
        </w:rPr>
      </w:pPr>
    </w:p>
    <w:p>
      <w:pPr>
        <w:ind w:left="660" w:right="140"/>
        <w:spacing w:after="0" w:line="230" w:lineRule="auto"/>
        <w:rPr>
          <w:sz w:val="20"/>
          <w:szCs w:val="20"/>
          <w:color w:val="auto"/>
        </w:rPr>
      </w:pPr>
      <w:r>
        <w:rPr>
          <w:rFonts w:ascii="Arial" w:cs="Arial" w:eastAsia="Arial" w:hAnsi="Arial"/>
          <w:sz w:val="22"/>
          <w:szCs w:val="22"/>
          <w:color w:val="auto"/>
        </w:rPr>
        <w:t>additional operating costs associated with acquired utility systems and pending acquisitions of utility systems of $684; and an increase in postretirement benefits of $572.</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Depreciation expense increased by $2,032 or 5.4%, primarily due to the utility plant placed in service since September 30, 2018.</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increased by $7,240 or 28.5%, primarily due to the following items:</w:t>
      </w:r>
    </w:p>
    <w:p>
      <w:pPr>
        <w:spacing w:after="0" w:line="206" w:lineRule="exact"/>
        <w:rPr>
          <w:sz w:val="20"/>
          <w:szCs w:val="20"/>
          <w:color w:val="auto"/>
        </w:rPr>
      </w:pPr>
    </w:p>
    <w:p>
      <w:pPr>
        <w:ind w:left="660" w:right="160"/>
        <w:spacing w:after="0" w:line="232" w:lineRule="auto"/>
        <w:rPr>
          <w:sz w:val="20"/>
          <w:szCs w:val="20"/>
          <w:color w:val="auto"/>
        </w:rPr>
      </w:pPr>
      <w:r>
        <w:rPr>
          <w:rFonts w:ascii="Arial" w:cs="Arial" w:eastAsia="Arial" w:hAnsi="Arial"/>
          <w:sz w:val="22"/>
          <w:szCs w:val="22"/>
          <w:color w:val="auto"/>
        </w:rPr>
        <w:t>pre-acquisition interest expense of $4,757 from the issuance of $900,000 long-term debt and $119,081 of amortizing notes in April 2019 partially for the planned Peoples Gas Acquisition; and an increase in average borrowings.</w:t>
      </w:r>
    </w:p>
    <w:p>
      <w:pPr>
        <w:spacing w:after="0" w:line="185"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Interest income increased by $9,636 primarily due to interest income of $9,071 earned on the proceeds from our April 2019 equity offerings.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9" w:name="page40"/>
    <w:bookmarkEnd w:id="39"/>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color w:val="auto"/>
        </w:rPr>
        <w:t>Allowance for funds used during construction (“AFUDC”) increased by $1,547, due to an increase in the average balance of utility plant construction work in progress, to which AFUDC is applied, and an increase in the AFUDC rate as a result of an increase in the amount of AFUDC related to equity.</w:t>
      </w:r>
    </w:p>
    <w:p>
      <w:pPr>
        <w:spacing w:after="0" w:line="185" w:lineRule="exact"/>
        <w:rPr>
          <w:sz w:val="20"/>
          <w:szCs w:val="20"/>
          <w:color w:val="auto"/>
        </w:rPr>
      </w:pPr>
    </w:p>
    <w:p>
      <w:pPr>
        <w:ind w:right="580"/>
        <w:spacing w:after="0" w:line="239" w:lineRule="auto"/>
        <w:rPr>
          <w:sz w:val="20"/>
          <w:szCs w:val="20"/>
          <w:color w:val="auto"/>
        </w:rPr>
      </w:pPr>
      <w:r>
        <w:rPr>
          <w:rFonts w:ascii="Arial" w:cs="Arial" w:eastAsia="Arial" w:hAnsi="Arial"/>
          <w:sz w:val="22"/>
          <w:szCs w:val="22"/>
          <w:color w:val="auto"/>
        </w:rPr>
        <w:t>Other increased by $1,169 primarily due to an increase in the non-service cost components of our net benefit cost for pension benefits.</w:t>
      </w:r>
    </w:p>
    <w:p>
      <w:pPr>
        <w:spacing w:after="0" w:line="185" w:lineRule="exact"/>
        <w:rPr>
          <w:sz w:val="20"/>
          <w:szCs w:val="20"/>
          <w:color w:val="auto"/>
        </w:rPr>
      </w:pPr>
    </w:p>
    <w:p>
      <w:pPr>
        <w:ind w:right="280"/>
        <w:spacing w:after="0" w:line="228" w:lineRule="auto"/>
        <w:rPr>
          <w:sz w:val="20"/>
          <w:szCs w:val="20"/>
          <w:color w:val="auto"/>
        </w:rPr>
      </w:pPr>
      <w:r>
        <w:rPr>
          <w:rFonts w:ascii="Arial" w:cs="Arial" w:eastAsia="Arial" w:hAnsi="Arial"/>
          <w:sz w:val="22"/>
          <w:szCs w:val="22"/>
          <w:color w:val="auto"/>
        </w:rPr>
        <w:t>Our effective income tax rate was -1.8% in the third quarter of 2019 and 4.8% in the third quarter of 2018. The Company’s provision for income taxes represents an income tax benefit due to the effects of tax deductions recognized for certain qualifying infrastructure improvements for Aqua Pennsylvania and the amortization of certain tax benefits associated with the Tax Cuts and Jobs Act.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Net income increased by $10,273 or 13.1%, primarily as a result of the factors described above.</w:t>
      </w:r>
    </w:p>
    <w:p>
      <w:pPr>
        <w:spacing w:after="0" w:line="206" w:lineRule="exact"/>
        <w:rPr>
          <w:sz w:val="20"/>
          <w:szCs w:val="20"/>
          <w:color w:val="auto"/>
        </w:rPr>
      </w:pPr>
    </w:p>
    <w:p>
      <w:pPr>
        <w:ind w:left="2280"/>
        <w:spacing w:after="0"/>
        <w:rPr>
          <w:sz w:val="20"/>
          <w:szCs w:val="20"/>
          <w:color w:val="auto"/>
        </w:rPr>
      </w:pPr>
      <w:r>
        <w:rPr>
          <w:rFonts w:ascii="Arial" w:cs="Arial" w:eastAsia="Arial" w:hAnsi="Arial"/>
          <w:sz w:val="22"/>
          <w:szCs w:val="22"/>
          <w:u w:val="single" w:color="auto"/>
          <w:color w:val="auto"/>
        </w:rPr>
        <w:t>Analysis of First Nine Months of 2019 Compared to First Nine Months of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Revenues increased by $31,306 or 5.0%, primarily due to:</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increase in water and wastewater rates, net of infrastructure rehabilitation surcharges, of $25,464; and</w:t>
      </w:r>
    </w:p>
    <w:p>
      <w:pPr>
        <w:ind w:left="660" w:right="20"/>
        <w:spacing w:after="0" w:line="217" w:lineRule="auto"/>
        <w:rPr>
          <w:sz w:val="20"/>
          <w:szCs w:val="20"/>
          <w:color w:val="auto"/>
        </w:rPr>
      </w:pPr>
      <w:r>
        <w:rPr>
          <w:rFonts w:ascii="Arial" w:cs="Arial" w:eastAsia="Arial" w:hAnsi="Arial"/>
          <w:sz w:val="22"/>
          <w:szCs w:val="22"/>
          <w:color w:val="auto"/>
        </w:rPr>
        <w:t>additional water and wastewater revenues of $9,964 associated with a larger customer base due to organic growth and utility acquisitions, and other growth ventures;</w:t>
      </w:r>
    </w:p>
    <w:p>
      <w:pPr>
        <w:spacing w:after="0" w:line="2" w:lineRule="exact"/>
        <w:rPr>
          <w:sz w:val="20"/>
          <w:szCs w:val="20"/>
          <w:color w:val="auto"/>
        </w:rPr>
      </w:pPr>
    </w:p>
    <w:p>
      <w:pPr>
        <w:ind w:left="660" w:right="60"/>
        <w:spacing w:after="0" w:line="226" w:lineRule="auto"/>
        <w:rPr>
          <w:sz w:val="20"/>
          <w:szCs w:val="20"/>
          <w:color w:val="auto"/>
        </w:rPr>
      </w:pPr>
      <w:r>
        <w:rPr>
          <w:rFonts w:ascii="Arial" w:cs="Arial" w:eastAsia="Arial" w:hAnsi="Arial"/>
          <w:sz w:val="22"/>
          <w:szCs w:val="22"/>
          <w:color w:val="auto"/>
        </w:rPr>
        <w:t>offset by a decrease in water and wastewater revenues of $1,118 as a result of an advisory for some of our customers served by our Illinois subsidiary. We expect this decrease in revenues to continue into the fourth quarter of 2019; and a decrease in customer water consumption.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Operations and maintenance expenses increased by $31,696 or 14.7%, primarily due to:</w:t>
      </w:r>
    </w:p>
    <w:p>
      <w:pPr>
        <w:spacing w:after="0" w:line="206" w:lineRule="exact"/>
        <w:rPr>
          <w:sz w:val="20"/>
          <w:szCs w:val="20"/>
          <w:color w:val="auto"/>
        </w:rPr>
      </w:pPr>
    </w:p>
    <w:p>
      <w:pPr>
        <w:ind w:left="660" w:right="180"/>
        <w:spacing w:after="0" w:line="223" w:lineRule="auto"/>
        <w:rPr>
          <w:sz w:val="20"/>
          <w:szCs w:val="20"/>
          <w:color w:val="auto"/>
        </w:rPr>
      </w:pPr>
      <w:r>
        <w:rPr>
          <w:rFonts w:ascii="Arial" w:cs="Arial" w:eastAsia="Arial" w:hAnsi="Arial"/>
          <w:sz w:val="22"/>
          <w:szCs w:val="22"/>
          <w:color w:val="auto"/>
        </w:rPr>
        <w:t>transaction expenses of $21,886 for our planned Peoples Gas Acquisition, primarily representing expenses associated with obtaining regulatory approvals, investment banking fees, including bridge financing, legal expenses, and integration planning;</w:t>
      </w:r>
    </w:p>
    <w:p>
      <w:pPr>
        <w:ind w:left="660"/>
        <w:spacing w:after="0" w:line="219" w:lineRule="auto"/>
        <w:rPr>
          <w:sz w:val="20"/>
          <w:szCs w:val="20"/>
          <w:color w:val="auto"/>
        </w:rPr>
      </w:pPr>
      <w:r>
        <w:rPr>
          <w:rFonts w:ascii="Arial" w:cs="Arial" w:eastAsia="Arial" w:hAnsi="Arial"/>
          <w:sz w:val="22"/>
          <w:szCs w:val="22"/>
          <w:color w:val="auto"/>
        </w:rPr>
        <w:t>the prior year effect of a favorable reduction to a regulatory liability of $3,899;</w:t>
      </w:r>
    </w:p>
    <w:p>
      <w:pPr>
        <w:ind w:left="660"/>
        <w:spacing w:after="0"/>
        <w:rPr>
          <w:sz w:val="20"/>
          <w:szCs w:val="20"/>
          <w:color w:val="auto"/>
        </w:rPr>
      </w:pPr>
      <w:r>
        <w:rPr>
          <w:rFonts w:ascii="Arial" w:cs="Arial" w:eastAsia="Arial" w:hAnsi="Arial"/>
          <w:sz w:val="19"/>
          <w:szCs w:val="19"/>
          <w:color w:val="auto"/>
        </w:rPr>
        <w:t>expenses of $3,271 associated with remediating an advisory for some of our customers served by our Illinois subsidiary.</w:t>
      </w:r>
    </w:p>
    <w:p>
      <w:pPr>
        <w:ind w:left="660"/>
        <w:spacing w:after="0"/>
        <w:rPr>
          <w:sz w:val="20"/>
          <w:szCs w:val="20"/>
          <w:color w:val="auto"/>
        </w:rPr>
      </w:pPr>
      <w:r>
        <w:rPr>
          <w:rFonts w:ascii="Arial" w:cs="Arial" w:eastAsia="Arial" w:hAnsi="Arial"/>
          <w:sz w:val="21"/>
          <w:szCs w:val="21"/>
          <w:color w:val="auto"/>
        </w:rPr>
        <w:t>We expect that the expenses associated with remediating the advisory to continue in the fourth quarter of 2019;</w:t>
      </w:r>
    </w:p>
    <w:p>
      <w:pPr>
        <w:ind w:left="660"/>
        <w:spacing w:after="0"/>
        <w:rPr>
          <w:sz w:val="20"/>
          <w:szCs w:val="20"/>
          <w:color w:val="auto"/>
        </w:rPr>
      </w:pPr>
      <w:r>
        <w:rPr>
          <w:rFonts w:ascii="Arial" w:cs="Arial" w:eastAsia="Arial" w:hAnsi="Arial"/>
          <w:sz w:val="19"/>
          <w:szCs w:val="19"/>
          <w:color w:val="auto"/>
        </w:rPr>
        <w:t>additional operating costs associated with acquired utility systems and pending acquisitions of utility systems of $3,017; and</w:t>
      </w:r>
    </w:p>
    <w:p>
      <w:pPr>
        <w:ind w:left="660"/>
        <w:spacing w:after="0" w:line="228" w:lineRule="auto"/>
        <w:rPr>
          <w:sz w:val="20"/>
          <w:szCs w:val="20"/>
          <w:color w:val="auto"/>
        </w:rPr>
      </w:pPr>
      <w:r>
        <w:rPr>
          <w:rFonts w:ascii="Arial" w:cs="Arial" w:eastAsia="Arial" w:hAnsi="Arial"/>
          <w:sz w:val="22"/>
          <w:szCs w:val="22"/>
          <w:color w:val="auto"/>
        </w:rPr>
        <w:t>the prior year effect of the write-off of a reserve of $880 for the sale of a water system;</w:t>
      </w:r>
    </w:p>
    <w:p>
      <w:pPr>
        <w:ind w:left="660"/>
        <w:spacing w:after="0" w:line="218" w:lineRule="auto"/>
        <w:rPr>
          <w:sz w:val="20"/>
          <w:szCs w:val="20"/>
          <w:color w:val="auto"/>
        </w:rPr>
      </w:pPr>
      <w:r>
        <w:rPr>
          <w:rFonts w:ascii="Arial" w:cs="Arial" w:eastAsia="Arial" w:hAnsi="Arial"/>
          <w:sz w:val="22"/>
          <w:szCs w:val="22"/>
          <w:color w:val="auto"/>
        </w:rPr>
        <w:t>offset by a decrease in insurance expenses of $1,611 due to lower claims.</w:t>
      </w:r>
    </w:p>
    <w:p>
      <w:pPr>
        <w:ind w:left="560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9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Depreciation expense increased by $8,076 or 7.3%, primarily due to the utility plant placed in service since September 30, 2018.</w:t>
      </w:r>
    </w:p>
    <w:p>
      <w:pPr>
        <w:spacing w:after="0" w:line="241"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Amortization expense decreased by $2,618 primarily due to the favorable effects of a one-time adjustment recorded in the second quarter of 2019 resulting from a rate order received for our Pennsylvania subsidiary.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 increased by $19,575 or 26.9%, primarily due to the following items:</w:t>
      </w:r>
    </w:p>
    <w:p>
      <w:pPr>
        <w:spacing w:after="0" w:line="206" w:lineRule="exact"/>
        <w:rPr>
          <w:sz w:val="20"/>
          <w:szCs w:val="20"/>
          <w:color w:val="auto"/>
        </w:rPr>
      </w:pPr>
    </w:p>
    <w:p>
      <w:pPr>
        <w:ind w:left="660" w:right="100"/>
        <w:spacing w:after="0" w:line="223" w:lineRule="auto"/>
        <w:rPr>
          <w:sz w:val="20"/>
          <w:szCs w:val="20"/>
          <w:color w:val="auto"/>
        </w:rPr>
      </w:pPr>
      <w:r>
        <w:rPr>
          <w:rFonts w:ascii="Arial" w:cs="Arial" w:eastAsia="Arial" w:hAnsi="Arial"/>
          <w:sz w:val="22"/>
          <w:szCs w:val="22"/>
          <w:color w:val="auto"/>
        </w:rPr>
        <w:t>pre-acquisition interest expense of $9,107 from the issuance of $900,000 long-term debt and $119,081 of amortizing notes in April 2019 partially for the planned Peoples Gas Acquisition; an increase in average borrowings; and</w:t>
      </w:r>
    </w:p>
    <w:p>
      <w:pPr>
        <w:spacing w:after="0" w:line="2" w:lineRule="exact"/>
        <w:rPr>
          <w:sz w:val="20"/>
          <w:szCs w:val="20"/>
          <w:color w:val="auto"/>
        </w:rPr>
      </w:pPr>
    </w:p>
    <w:p>
      <w:pPr>
        <w:jc w:val="both"/>
        <w:ind w:left="660" w:right="120"/>
        <w:spacing w:after="0" w:line="226" w:lineRule="auto"/>
        <w:rPr>
          <w:sz w:val="20"/>
          <w:szCs w:val="20"/>
          <w:color w:val="auto"/>
        </w:rPr>
      </w:pPr>
      <w:r>
        <w:rPr>
          <w:rFonts w:ascii="Arial" w:cs="Arial" w:eastAsia="Arial" w:hAnsi="Arial"/>
          <w:sz w:val="22"/>
          <w:szCs w:val="22"/>
          <w:color w:val="auto"/>
        </w:rPr>
        <w:t>overlapping interest expense incurred in the second quarter of 2019 of $448 associated with $313,500 of existing debt that was subsequently refinanced in May 2019 after receipt of the proceeds from the April 2019 issuance of $900,000 of long-term debt.</w:t>
      </w:r>
    </w:p>
    <w:p>
      <w:pPr>
        <w:spacing w:after="0" w:line="186" w:lineRule="exact"/>
        <w:rPr>
          <w:sz w:val="20"/>
          <w:szCs w:val="20"/>
          <w:color w:val="auto"/>
        </w:rPr>
      </w:pPr>
    </w:p>
    <w:p>
      <w:pPr>
        <w:ind w:right="420"/>
        <w:spacing w:after="0" w:line="239" w:lineRule="auto"/>
        <w:rPr>
          <w:sz w:val="20"/>
          <w:szCs w:val="20"/>
          <w:color w:val="auto"/>
        </w:rPr>
      </w:pPr>
      <w:r>
        <w:rPr>
          <w:rFonts w:ascii="Arial" w:cs="Arial" w:eastAsia="Arial" w:hAnsi="Arial"/>
          <w:sz w:val="22"/>
          <w:szCs w:val="22"/>
          <w:color w:val="auto"/>
        </w:rPr>
        <w:t>Interest income increased by $18,006 primarily due to interest income of $16,479 earned on the proceeds from our April 2019 equity offerings.</w:t>
      </w:r>
    </w:p>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Allowance for funds used during construction (“AFUDC”) increased by $3,770, due to an increase in the average balance of utility plant construction work in progress, to which AFUDC is applied, and an increase in the AFUDC rate as a result of an increase in the amount of AFUDC related to equity.</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The change in fair value of interest rate swap agreements of $23,742 represents expense recognized on the mark-to-market adjustment of our interest rate swap agreements that were entered into on October 23, 2018 to mitigate interest rate risk associated with an anticipated $850,000 of future debt issuances to fund a portion of the Peoples Gas Acquisition. The interest rate swap agreements did not qualify for hedge accounting, and any changes in the fair value of the swaps were included in earnings. On April 24, 2019, the Company settled the interest rate swap agreements upon issuance of $900,000 of long-term debt to be used to finance a portion of the purchase price of the Peoples Gas Acquisition and redeem $313,500 of the Company’s existing debt.</w:t>
      </w:r>
    </w:p>
    <w:p>
      <w:pPr>
        <w:spacing w:after="0" w:line="165"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The loss on debt extinguishment of $18,920 results from the extinguishment of $313,500 of existing debt that was refinanced in May 2019.</w:t>
      </w:r>
    </w:p>
    <w:p>
      <w:pPr>
        <w:spacing w:after="0" w:line="185" w:lineRule="exact"/>
        <w:rPr>
          <w:sz w:val="20"/>
          <w:szCs w:val="20"/>
          <w:color w:val="auto"/>
        </w:rPr>
      </w:pPr>
    </w:p>
    <w:p>
      <w:pPr>
        <w:ind w:right="320"/>
        <w:spacing w:after="0" w:line="239" w:lineRule="auto"/>
        <w:rPr>
          <w:sz w:val="20"/>
          <w:szCs w:val="20"/>
          <w:color w:val="auto"/>
        </w:rPr>
      </w:pPr>
      <w:r>
        <w:rPr>
          <w:rFonts w:ascii="Arial" w:cs="Arial" w:eastAsia="Arial" w:hAnsi="Arial"/>
          <w:sz w:val="22"/>
          <w:szCs w:val="22"/>
          <w:color w:val="auto"/>
        </w:rPr>
        <w:t>Equity earnings in joint venture increased by $410 due to an increase in the sale of raw water to firms in the natural gas drilling industry.</w:t>
      </w:r>
    </w:p>
    <w:p>
      <w:pPr>
        <w:spacing w:after="0" w:line="185" w:lineRule="exact"/>
        <w:rPr>
          <w:sz w:val="20"/>
          <w:szCs w:val="20"/>
          <w:color w:val="auto"/>
        </w:rPr>
      </w:pPr>
    </w:p>
    <w:p>
      <w:pPr>
        <w:ind w:right="500"/>
        <w:spacing w:after="0" w:line="239" w:lineRule="auto"/>
        <w:rPr>
          <w:sz w:val="20"/>
          <w:szCs w:val="20"/>
          <w:color w:val="auto"/>
        </w:rPr>
      </w:pPr>
      <w:r>
        <w:rPr>
          <w:rFonts w:ascii="Arial" w:cs="Arial" w:eastAsia="Arial" w:hAnsi="Arial"/>
          <w:sz w:val="22"/>
          <w:szCs w:val="22"/>
          <w:color w:val="auto"/>
        </w:rPr>
        <w:t>Other increased by $2,928 primarily due to an increase in the non-service cost components of our net benefit cost for pension benefits.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41" w:name="page42"/>
    <w:bookmarkEnd w:id="41"/>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AQUA AMERICA, INC. AND SUBSIDIARIES</w:t>
      </w:r>
    </w:p>
    <w:p>
      <w:pPr>
        <w:spacing w:after="0" w:line="20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MANAGEMENT’S DISCUSSION AND ANALYSIS OF</w:t>
      </w:r>
    </w:p>
    <w:p>
      <w:pPr>
        <w:jc w:val="center"/>
        <w:ind w:right="-159"/>
        <w:spacing w:after="0" w:line="217"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Our effective income tax rate was -8.0% during the first nine months of 2019 and 0.7% during the first nine months of 2018. The Company’s provision for income taxes represents an income tax benefit due to the effects of the change in the fair value of the interest rate swap agreement noted above of $23,742, the loss on debt extinguishment of $18,920 noted above, tax deductions recognized for certain qualifying infrastructure improvements for Aqua Pennsylvania, and the amortization of certain tax benefits associated with the Tax Cuts and Jobs Act. Our effective income tax rate decreased due to the decrease in our income before income taxes of $48,660, which results primarily from the change in fair value of interest rate swap agreements, transaction expenses for our planned acquisition of Peoples, and the loss on debt extinguishment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Net income decreased by $35,329 or 18.1%, primarily as a result of the factors described above.</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 xml:space="preserve">We describe the impact of recent accounting pronouncements in Note 18, </w:t>
      </w:r>
      <w:r>
        <w:rPr>
          <w:rFonts w:ascii="Arial" w:cs="Arial" w:eastAsia="Arial" w:hAnsi="Arial"/>
          <w:sz w:val="22"/>
          <w:szCs w:val="22"/>
          <w:i w:val="1"/>
          <w:iCs w:val="1"/>
          <w:color w:val="auto"/>
        </w:rPr>
        <w:t>Recent Accounting Pronouncements</w:t>
      </w:r>
      <w:r>
        <w:rPr>
          <w:rFonts w:ascii="Arial" w:cs="Arial" w:eastAsia="Arial" w:hAnsi="Arial"/>
          <w:sz w:val="22"/>
          <w:szCs w:val="22"/>
          <w:color w:val="auto"/>
        </w:rPr>
        <w:t>, to the consolidated financial statements in this report.</w:t>
      </w: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42" w:name="page43"/>
    <w:bookmarkEnd w:id="42"/>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06"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We are subject to market risks in the normal course of business, including changes in interest rates and equity prices. There have been no significant changes in our exposure to market risks since December 31, 2018. Refer to Item 7A of the Company’s Annual Report on Form 10-K for the year ended December 31, 2018, filed February 26, 2019, for additional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0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06"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6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06" w:lineRule="exact"/>
        <w:rPr>
          <w:sz w:val="20"/>
          <w:szCs w:val="20"/>
          <w:color w:val="auto"/>
        </w:rPr>
      </w:pPr>
    </w:p>
    <w:p>
      <w:pPr>
        <w:ind w:right="780"/>
        <w:spacing w:after="0" w:line="239" w:lineRule="auto"/>
        <w:rPr>
          <w:sz w:val="20"/>
          <w:szCs w:val="20"/>
          <w:color w:val="auto"/>
        </w:rPr>
      </w:pPr>
      <w:r>
        <w:rPr>
          <w:rFonts w:ascii="Arial" w:cs="Arial" w:eastAsia="Arial" w:hAnsi="Arial"/>
          <w:sz w:val="22"/>
          <w:szCs w:val="22"/>
          <w:color w:val="auto"/>
        </w:rPr>
        <w:t>No change in our internal control over financial reporting occurred during our most recent fiscal quarter that has materially affected, or is reasonably likely to materially affect, our internal control over financial reporting.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We are party to various legal proceedings. Although the results of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06" w:lineRule="exact"/>
        <w:rPr>
          <w:sz w:val="20"/>
          <w:szCs w:val="20"/>
          <w:color w:val="auto"/>
        </w:rPr>
      </w:pPr>
    </w:p>
    <w:p>
      <w:pPr>
        <w:jc w:val="both"/>
        <w:ind w:right="20"/>
        <w:spacing w:after="0" w:line="228" w:lineRule="auto"/>
        <w:rPr>
          <w:sz w:val="20"/>
          <w:szCs w:val="20"/>
          <w:color w:val="auto"/>
        </w:rPr>
      </w:pPr>
      <w:r>
        <w:rPr>
          <w:rFonts w:ascii="Arial" w:cs="Arial" w:eastAsia="Arial" w:hAnsi="Arial"/>
          <w:sz w:val="22"/>
          <w:szCs w:val="22"/>
          <w:color w:val="auto"/>
        </w:rPr>
        <w:t>Please review the risks disclosed in our Annual Report on Form 10-K for the year ended December 31, 2018, filed with the SEC on February 26, 2019, under “Part 1, Item 1A – Risk Factors.” For a discussion of specific risks related to the business of the pending Peoples Gas Acquisition, please see “Risk Factors related to Peoples” in our Current Report on Form 8-K/A filed with the SEC on April 15, 2019. In addition, we provide the following risk factors:</w:t>
      </w:r>
    </w:p>
    <w:p>
      <w:pPr>
        <w:spacing w:after="0" w:line="187"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b w:val="1"/>
          <w:bCs w:val="1"/>
          <w:i w:val="1"/>
          <w:iCs w:val="1"/>
          <w:color w:val="auto"/>
        </w:rPr>
        <w:t>Our water supply, including water provided to our customers, is subject to various contaminants which may result in disruption in our services, additional costs, fines, laws and/or regulations, and litigation which could harm our business, reputation,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Our water supplies, including water provided to our customers, are subject to possible contaminants, including those from: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naturally occurring compounds or man-made substances;</w:t>
      </w:r>
    </w:p>
    <w:p>
      <w:pPr>
        <w:ind w:left="660"/>
        <w:spacing w:after="0" w:line="217" w:lineRule="auto"/>
        <w:rPr>
          <w:sz w:val="20"/>
          <w:szCs w:val="20"/>
          <w:color w:val="auto"/>
        </w:rPr>
      </w:pPr>
      <w:r>
        <w:rPr>
          <w:rFonts w:ascii="Arial" w:cs="Arial" w:eastAsia="Arial" w:hAnsi="Arial"/>
          <w:sz w:val="22"/>
          <w:szCs w:val="22"/>
          <w:color w:val="auto"/>
        </w:rPr>
        <w:t>chemicals and other hazardous materials;</w:t>
      </w:r>
    </w:p>
    <w:p>
      <w:pPr>
        <w:ind w:left="660"/>
        <w:spacing w:after="0" w:line="218" w:lineRule="auto"/>
        <w:rPr>
          <w:sz w:val="20"/>
          <w:szCs w:val="20"/>
          <w:color w:val="auto"/>
        </w:rPr>
      </w:pPr>
      <w:r>
        <w:rPr>
          <w:rFonts w:ascii="Arial" w:cs="Arial" w:eastAsia="Arial" w:hAnsi="Arial"/>
          <w:sz w:val="22"/>
          <w:szCs w:val="22"/>
          <w:color w:val="auto"/>
        </w:rPr>
        <w:t>lead and other materials;</w:t>
      </w:r>
    </w:p>
    <w:p>
      <w:pPr>
        <w:ind w:left="660"/>
        <w:spacing w:after="0" w:line="218" w:lineRule="auto"/>
        <w:rPr>
          <w:sz w:val="20"/>
          <w:szCs w:val="20"/>
          <w:color w:val="auto"/>
        </w:rPr>
      </w:pPr>
      <w:r>
        <w:rPr>
          <w:rFonts w:ascii="Arial" w:cs="Arial" w:eastAsia="Arial" w:hAnsi="Arial"/>
          <w:sz w:val="22"/>
          <w:szCs w:val="22"/>
          <w:color w:val="auto"/>
        </w:rPr>
        <w:t>pharmaceuticals and personal care products; and</w:t>
      </w:r>
    </w:p>
    <w:p>
      <w:pPr>
        <w:ind w:left="660"/>
        <w:spacing w:after="0"/>
        <w:rPr>
          <w:sz w:val="20"/>
          <w:szCs w:val="20"/>
          <w:color w:val="auto"/>
        </w:rPr>
      </w:pPr>
      <w:r>
        <w:rPr>
          <w:rFonts w:ascii="Arial" w:cs="Arial" w:eastAsia="Arial" w:hAnsi="Arial"/>
          <w:sz w:val="22"/>
          <w:szCs w:val="22"/>
          <w:color w:val="auto"/>
        </w:rPr>
        <w:t>possible deliberate or terrorist attacks.</w:t>
      </w:r>
    </w:p>
    <w:p>
      <w:pPr>
        <w:spacing w:after="0" w:line="296"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Depending on the nature of the water contamination, we may have to interrupt the use of that water supply until we are able to substitute, where feasible, the flow of water from an uncontaminated water source, including if practicable, the purchase of water from other suppliers, or continue the water supply under restrictions on use for drinking or broader restrictions against all use except for basic sanitation and essential fire protection. We may incur significant costs, including, but not limited to, costs for water quality testing and monitoring, do not consume expenses and loss of revenue, treatment of the contaminated source through modification of our current treatment facilities or development of new treatment methods, the purchase of alternative water supplies, or litigation related matters, including governmental enforcement actions. In addition, the costs we could incur to decontaminate a water source or our water distribution system and dispose of waste could also be significant. The costs resulting from the contamination may not be recoverable in rates we charge our customer, or may not be recoverable in a timely manner. Further, we may incur a loss of revenue in the event we elect to waive customer’s water and wastewater charges. If we are unable to adequately treat the contaminated water supply or substitute a water supply from an uncontaminated water source in a timely or cost-effective manner, there may be an adverse effect on our business, reputation, financial condition, and results of operations. We could also be subject to:</w:t>
      </w:r>
    </w:p>
    <w:p>
      <w:pPr>
        <w:spacing w:after="0" w:line="200" w:lineRule="exact"/>
        <w:rPr>
          <w:sz w:val="20"/>
          <w:szCs w:val="20"/>
          <w:color w:val="auto"/>
        </w:rPr>
      </w:pPr>
    </w:p>
    <w:p>
      <w:pPr>
        <w:spacing w:after="0" w:line="207" w:lineRule="exact"/>
        <w:rPr>
          <w:sz w:val="20"/>
          <w:szCs w:val="20"/>
          <w:color w:val="auto"/>
        </w:rPr>
      </w:pPr>
    </w:p>
    <w:p>
      <w:pPr>
        <w:ind w:left="660"/>
        <w:spacing w:after="0" w:line="226" w:lineRule="auto"/>
        <w:rPr>
          <w:sz w:val="20"/>
          <w:szCs w:val="20"/>
          <w:color w:val="auto"/>
        </w:rPr>
      </w:pPr>
      <w:r>
        <w:rPr>
          <w:rFonts w:ascii="Arial" w:cs="Arial" w:eastAsia="Arial" w:hAnsi="Arial"/>
          <w:sz w:val="22"/>
          <w:szCs w:val="22"/>
          <w:color w:val="auto"/>
        </w:rPr>
        <w:t>claims for consequences arising out of human exposure to contamination and/or hazardous substances in our water supplies, including toxic torts;</w:t>
      </w:r>
    </w:p>
    <w:p>
      <w:pPr>
        <w:ind w:left="660"/>
        <w:spacing w:after="0" w:line="218" w:lineRule="auto"/>
        <w:rPr>
          <w:sz w:val="20"/>
          <w:szCs w:val="20"/>
          <w:color w:val="auto"/>
        </w:rPr>
      </w:pPr>
      <w:r>
        <w:rPr>
          <w:rFonts w:ascii="Arial" w:cs="Arial" w:eastAsia="Arial" w:hAnsi="Arial"/>
          <w:sz w:val="22"/>
          <w:szCs w:val="22"/>
          <w:color w:val="auto"/>
        </w:rPr>
        <w:t>claims for other environmental damage;</w:t>
      </w:r>
    </w:p>
    <w:p>
      <w:pPr>
        <w:ind w:left="660"/>
        <w:spacing w:after="0" w:line="218" w:lineRule="auto"/>
        <w:rPr>
          <w:sz w:val="20"/>
          <w:szCs w:val="20"/>
          <w:color w:val="auto"/>
        </w:rPr>
      </w:pPr>
      <w:r>
        <w:rPr>
          <w:rFonts w:ascii="Arial" w:cs="Arial" w:eastAsia="Arial" w:hAnsi="Arial"/>
          <w:sz w:val="22"/>
          <w:szCs w:val="22"/>
          <w:color w:val="auto"/>
        </w:rPr>
        <w:t>claims for customers’ business interruption as a result of an interruption in water service;</w:t>
      </w:r>
    </w:p>
    <w:p>
      <w:pPr>
        <w:ind w:left="660"/>
        <w:spacing w:after="0" w:line="218" w:lineRule="auto"/>
        <w:rPr>
          <w:sz w:val="20"/>
          <w:szCs w:val="20"/>
          <w:color w:val="auto"/>
        </w:rPr>
      </w:pPr>
      <w:r>
        <w:rPr>
          <w:rFonts w:ascii="Arial" w:cs="Arial" w:eastAsia="Arial" w:hAnsi="Arial"/>
          <w:sz w:val="22"/>
          <w:szCs w:val="22"/>
          <w:color w:val="auto"/>
        </w:rPr>
        <w:t>claims for breach of contract;</w:t>
      </w:r>
    </w:p>
    <w:p>
      <w:pPr>
        <w:ind w:left="660"/>
        <w:spacing w:after="0" w:line="218" w:lineRule="auto"/>
        <w:rPr>
          <w:sz w:val="20"/>
          <w:szCs w:val="20"/>
          <w:color w:val="auto"/>
        </w:rPr>
      </w:pPr>
      <w:r>
        <w:rPr>
          <w:rFonts w:ascii="Arial" w:cs="Arial" w:eastAsia="Arial" w:hAnsi="Arial"/>
          <w:sz w:val="22"/>
          <w:szCs w:val="22"/>
          <w:color w:val="auto"/>
        </w:rPr>
        <w:t>criminal enforcement actions;</w:t>
      </w:r>
    </w:p>
    <w:p>
      <w:pPr>
        <w:ind w:left="660"/>
        <w:spacing w:after="0"/>
        <w:rPr>
          <w:sz w:val="20"/>
          <w:szCs w:val="20"/>
          <w:color w:val="auto"/>
        </w:rPr>
      </w:pPr>
      <w:r>
        <w:rPr>
          <w:rFonts w:ascii="Arial" w:cs="Arial" w:eastAsia="Arial" w:hAnsi="Arial"/>
          <w:sz w:val="22"/>
          <w:szCs w:val="22"/>
          <w:color w:val="auto"/>
        </w:rPr>
        <w:t>regulatory fines; or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4" w:name="page45"/>
    <w:bookmarkEnd w:id="44"/>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claims.</w:t>
      </w:r>
    </w:p>
    <w:p>
      <w:pPr>
        <w:spacing w:after="0" w:line="314"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We incur substantial costs on an ongoing basis to comply with all laws and regulations. New or stricter laws and/or regulations could increase our costs. Although we may seek to recover these costs through an increase in customer rates, there is no guarantee that the various state regulators would approve such an increase.</w:t>
      </w:r>
    </w:p>
    <w:p>
      <w:pPr>
        <w:spacing w:after="0" w:line="185" w:lineRule="exact"/>
        <w:rPr>
          <w:sz w:val="20"/>
          <w:szCs w:val="20"/>
          <w:color w:val="auto"/>
        </w:rPr>
      </w:pPr>
    </w:p>
    <w:p>
      <w:pPr>
        <w:ind w:right="40"/>
        <w:spacing w:after="0" w:line="224" w:lineRule="auto"/>
        <w:rPr>
          <w:sz w:val="20"/>
          <w:szCs w:val="20"/>
          <w:color w:val="auto"/>
        </w:rPr>
      </w:pPr>
      <w:r>
        <w:rPr>
          <w:rFonts w:ascii="Arial" w:cs="Arial" w:eastAsia="Arial" w:hAnsi="Arial"/>
          <w:sz w:val="22"/>
          <w:szCs w:val="22"/>
          <w:color w:val="auto"/>
        </w:rPr>
        <w:t>We are devoting our attention to various emerging contaminants, including the Per- and Polyfluoroalkyl Substances (PFAS) family of chemicals and other chemicals and substances that do not have any regulatory standard in drinking water. We rely on governmental agencies to establish the standard of protection from these unregulated contaminants and we meet or exceed these standards, when established. There is no guarantee that the various state regulators would approve the costs associated with the treatment in our system of the emerging contaminants without the establishment of treatment standards by the appropriate governmental entities.</w:t>
      </w:r>
    </w:p>
    <w:p>
      <w:pPr>
        <w:spacing w:after="0" w:line="164"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We may incur costs to defend our position and/or incur reputational damage even if we are not liable for consequences arising out of human exposure to contamination and/or hazardous substances in our water supplies, other environmental damage, or our customers’ business interruption. Our insurance policies may not be sufficient to cover the costs of our defense or, in the event we are liable, these claims, and losses incurred may make it difficult for us to secure insurance in the future at acceptable rates. Such claims or actions could harm our business, reputation,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our earnings may differ from changes in our rate base</w:t>
      </w:r>
      <w:r>
        <w:rPr>
          <w:rFonts w:ascii="Arial" w:cs="Arial" w:eastAsia="Arial" w:hAnsi="Arial"/>
          <w:sz w:val="22"/>
          <w:szCs w:val="22"/>
          <w:b w:val="1"/>
          <w:bCs w:val="1"/>
          <w:color w:val="auto"/>
        </w:rPr>
        <w:t>.</w:t>
      </w:r>
    </w:p>
    <w:p>
      <w:pPr>
        <w:spacing w:after="0" w:line="226" w:lineRule="exact"/>
        <w:rPr>
          <w:sz w:val="20"/>
          <w:szCs w:val="20"/>
          <w:color w:val="auto"/>
        </w:rPr>
      </w:pPr>
    </w:p>
    <w:p>
      <w:pPr>
        <w:ind w:right="80"/>
        <w:spacing w:after="0" w:line="233" w:lineRule="auto"/>
        <w:rPr>
          <w:sz w:val="20"/>
          <w:szCs w:val="20"/>
          <w:color w:val="auto"/>
        </w:rPr>
      </w:pPr>
      <w:r>
        <w:rPr>
          <w:rFonts w:ascii="Arial" w:cs="Arial" w:eastAsia="Arial" w:hAnsi="Arial"/>
          <w:sz w:val="21"/>
          <w:szCs w:val="21"/>
          <w:color w:val="auto"/>
        </w:rPr>
        <w:t>Our business is capital intensive and requires significant capital investments for additions to or replacement of property, plant and equipment. These capital investments create assets that are used and useful in providing regulated utility service, and as a result, increase our rate base, on which we generate earnings through the regulatory process. Changes in our reported earnings, however, may differ from changes in our rate base in a given period due to several factors, including rate case timing and the terms of such rate cases; over-or under-earnings in a given period due to changes in operating costs; the effects of tax rates or tax treatment of capital investments, including the effect of repair tax; capital expenditures that are not eligible for a Distribution System Improvement Charge between rate cases; and acquisitions which have not yet been included in rate base. We anticipate that we may experience periods in which growth in earnings is less than growth in rate base; such differences may be significant and may persist over multiple reporting periods.</w:t>
      </w:r>
    </w:p>
    <w:p>
      <w:pPr>
        <w:spacing w:after="0" w:line="186" w:lineRule="exact"/>
        <w:rPr>
          <w:sz w:val="20"/>
          <w:szCs w:val="20"/>
          <w:color w:val="auto"/>
        </w:rPr>
      </w:pPr>
    </w:p>
    <w:p>
      <w:pPr>
        <w:jc w:val="both"/>
        <w:ind w:right="140"/>
        <w:spacing w:after="0" w:line="232" w:lineRule="auto"/>
        <w:rPr>
          <w:sz w:val="20"/>
          <w:szCs w:val="20"/>
          <w:color w:val="auto"/>
        </w:rPr>
      </w:pPr>
      <w:r>
        <w:rPr>
          <w:rFonts w:ascii="Arial" w:cs="Arial" w:eastAsia="Arial" w:hAnsi="Arial"/>
          <w:sz w:val="22"/>
          <w:szCs w:val="22"/>
          <w:b w:val="1"/>
          <w:bCs w:val="1"/>
          <w:i w:val="1"/>
          <w:iCs w:val="1"/>
          <w:color w:val="auto"/>
        </w:rPr>
        <w:t>The Company has incurred significant additional indebtedness in connection with the pending Peoples Gas Acquisition. As a result, it may be more difficult for the Company to pay or refinance its debts or take other actions, and the Company may need to divert cash to fund debt service payments.</w:t>
      </w:r>
    </w:p>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The Company has incurred significant additional indebtedness to finance the proposed Peoples Gas Acquisition and to fund the debt refinancing of the Company’s outstanding debt (the “Company Debt Refinancing”). Additionally, in connection with the proposed Peoples Gas Acquisition, the Company currently intends to assume approximately $1,432 million of Peoples’ indebtedness. The increase in the Company’s debt service obligations resulting from additional indebtedness could have a material adverse effect on the results of operations, financial condition and prospects of the combined company.</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45" w:name="page46"/>
    <w:bookmarkEnd w:id="45"/>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The Company’s increased indebtedness could also:</w:t>
      </w:r>
    </w:p>
    <w:p>
      <w:pPr>
        <w:spacing w:after="0" w:line="193" w:lineRule="exact"/>
        <w:rPr>
          <w:sz w:val="20"/>
          <w:szCs w:val="20"/>
          <w:color w:val="auto"/>
        </w:rPr>
      </w:pPr>
    </w:p>
    <w:p>
      <w:pPr>
        <w:jc w:val="both"/>
        <w:ind w:left="660" w:right="180"/>
        <w:spacing w:after="0" w:line="223" w:lineRule="auto"/>
        <w:rPr>
          <w:sz w:val="20"/>
          <w:szCs w:val="20"/>
          <w:color w:val="auto"/>
        </w:rPr>
      </w:pPr>
      <w:r>
        <w:rPr>
          <w:rFonts w:ascii="Arial" w:cs="Arial" w:eastAsia="Arial" w:hAnsi="Arial"/>
          <w:sz w:val="22"/>
          <w:szCs w:val="22"/>
          <w:color w:val="auto"/>
        </w:rPr>
        <w:t>make it more difficult and/or costly for the Company to pay or refinance its debts as they become due, particularly during adverse economic and industry conditions, because a decrease in revenues or increase in costs could cause cash flow from operations to be insufficient to make scheduled debt service payments;</w:t>
      </w:r>
    </w:p>
    <w:p>
      <w:pPr>
        <w:spacing w:after="0" w:line="2" w:lineRule="exact"/>
        <w:rPr>
          <w:sz w:val="20"/>
          <w:szCs w:val="20"/>
          <w:color w:val="auto"/>
        </w:rPr>
      </w:pPr>
    </w:p>
    <w:p>
      <w:pPr>
        <w:ind w:left="660" w:right="180"/>
        <w:spacing w:after="0" w:line="217" w:lineRule="auto"/>
        <w:rPr>
          <w:sz w:val="20"/>
          <w:szCs w:val="20"/>
          <w:color w:val="auto"/>
        </w:rPr>
      </w:pPr>
      <w:r>
        <w:rPr>
          <w:rFonts w:ascii="Arial" w:cs="Arial" w:eastAsia="Arial" w:hAnsi="Arial"/>
          <w:sz w:val="22"/>
          <w:szCs w:val="22"/>
          <w:color w:val="auto"/>
        </w:rPr>
        <w:t>limit the Company’s flexibility to pursue other strategic opportunities or react to changes in its business and the industry sectors in which it operates and, consequently, put the Company at a competitive disadvantage to its competitors that have less debt;</w:t>
      </w:r>
    </w:p>
    <w:p>
      <w:pPr>
        <w:spacing w:after="0" w:line="3" w:lineRule="exact"/>
        <w:rPr>
          <w:sz w:val="20"/>
          <w:szCs w:val="20"/>
          <w:color w:val="auto"/>
        </w:rPr>
      </w:pPr>
    </w:p>
    <w:p>
      <w:pPr>
        <w:ind w:left="660" w:right="80"/>
        <w:spacing w:after="0" w:line="252" w:lineRule="auto"/>
        <w:rPr>
          <w:sz w:val="20"/>
          <w:szCs w:val="20"/>
          <w:color w:val="auto"/>
        </w:rPr>
      </w:pPr>
      <w:r>
        <w:rPr>
          <w:rFonts w:ascii="Arial" w:cs="Arial" w:eastAsia="Arial" w:hAnsi="Arial"/>
          <w:sz w:val="19"/>
          <w:szCs w:val="19"/>
          <w:color w:val="auto"/>
        </w:rPr>
        <w:t>require a substantial portion of the Company’s available cash to be used for debt service payments, thereby reducing the availability of its cash to fund working capital, capital expenditures, development projects, acquisitions, dividend payments and other general corporate purposes, which could harm the Company’s prospects for growth;</w:t>
      </w:r>
    </w:p>
    <w:p>
      <w:pPr>
        <w:spacing w:after="0" w:line="1" w:lineRule="exact"/>
        <w:rPr>
          <w:sz w:val="20"/>
          <w:szCs w:val="20"/>
          <w:color w:val="auto"/>
        </w:rPr>
      </w:pPr>
    </w:p>
    <w:p>
      <w:pPr>
        <w:ind w:left="660" w:right="220"/>
        <w:spacing w:after="0" w:line="217" w:lineRule="auto"/>
        <w:rPr>
          <w:sz w:val="20"/>
          <w:szCs w:val="20"/>
          <w:color w:val="auto"/>
        </w:rPr>
      </w:pPr>
      <w:r>
        <w:rPr>
          <w:rFonts w:ascii="Arial" w:cs="Arial" w:eastAsia="Arial" w:hAnsi="Arial"/>
          <w:sz w:val="22"/>
          <w:szCs w:val="22"/>
          <w:color w:val="auto"/>
        </w:rPr>
        <w:t>result in a downgrade in the credit ratings on the Company’s indebtedness, which could limit the Company’s ability to borrow additional funds on favorable terms or at all (including in order to refinance the Bridge Commitment (if drawn) and/or its other debt), increase the interest rates under its credit facilities and under any new indebtedness it may incur; make it more difficult for the Company to raise capital to fund working capital, make capital expenditures, pay dividends, pursue strategic initiatives or for other purposes;</w:t>
      </w:r>
    </w:p>
    <w:p>
      <w:pPr>
        <w:spacing w:after="0" w:line="4" w:lineRule="exact"/>
        <w:rPr>
          <w:sz w:val="20"/>
          <w:szCs w:val="20"/>
          <w:color w:val="auto"/>
        </w:rPr>
      </w:pPr>
    </w:p>
    <w:p>
      <w:pPr>
        <w:ind w:left="660" w:right="960"/>
        <w:spacing w:after="0" w:line="217" w:lineRule="auto"/>
        <w:rPr>
          <w:sz w:val="20"/>
          <w:szCs w:val="20"/>
          <w:color w:val="auto"/>
        </w:rPr>
      </w:pPr>
      <w:r>
        <w:rPr>
          <w:rFonts w:ascii="Arial" w:cs="Arial" w:eastAsia="Arial" w:hAnsi="Arial"/>
          <w:sz w:val="22"/>
          <w:szCs w:val="22"/>
          <w:color w:val="auto"/>
        </w:rPr>
        <w:t>result in higher interest expense, which could be further increased in the event of increases in interest rates on the Company’s current or future borrowings subject to variable rates of interest; and</w:t>
      </w:r>
    </w:p>
    <w:p>
      <w:pPr>
        <w:spacing w:after="0" w:line="2" w:lineRule="exact"/>
        <w:rPr>
          <w:sz w:val="20"/>
          <w:szCs w:val="20"/>
          <w:color w:val="auto"/>
        </w:rPr>
      </w:pPr>
    </w:p>
    <w:p>
      <w:pPr>
        <w:ind w:left="660" w:right="20"/>
        <w:spacing w:after="0" w:line="260" w:lineRule="auto"/>
        <w:rPr>
          <w:sz w:val="20"/>
          <w:szCs w:val="20"/>
          <w:color w:val="auto"/>
        </w:rPr>
      </w:pPr>
      <w:r>
        <w:rPr>
          <w:rFonts w:ascii="Arial" w:cs="Arial" w:eastAsia="Arial" w:hAnsi="Arial"/>
          <w:sz w:val="19"/>
          <w:szCs w:val="19"/>
          <w:color w:val="auto"/>
        </w:rPr>
        <w:t>require that additional materially adverse terms, conditions or covenants be placed on the Company under its debt instruments, which covenants might include, for example, limitations on additional borrowings and specific restrictions on uses of its assets, as well as prohibitions or limitations on its ability to create liens, pay dividends, receive distributions from its subsidiaries, redeem or repurchase its stock or make investments, any of which could hinder its access to capital markets and limit or delay its ability to carry out its capital expenditure program or otherwise limit its flexibility in the conduct of its business and make it more vulnerable to economic downturns and adverse competitive and industry conditions.</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increased indebtedness in connection with the proposed Peoples Gas Acquisition could cause us to place more reliance on cash flow from operations to pay principal and interest on debt and to satisfy our other obligations. Based on the current and expected results of operations and financial condition of the Company and the financing structure for the Peoples Gas Acquisition, the Company believes that its cash flow from operations, together with the proceeds from borrowings, and issuances of equity and debt securities in the capital markets will generate sufficient cash on a consolidated basis to make all of the principal and interest payments when such payments are due under the Company’s and its current subsidiaries’ existing credit facilities, indentures and other instruments governing their outstanding indebtedness, including the indebtedness incurred to fund the Peoples Gas Acquisition and the Company Debt Refinancing, and under the indebtedness of Peoples anticipated to be assumed as a result of the Peoples Gas Acquisition. However, the Company’s expectation is based upon numerous estimates and assumptions and is subject to numerous uncertainties. Additionally, LDC and its subsidiaries will not guarantee any indebtedness of the Company or any of its other subsidiaries, nor will any of them have any obligation to provide funds (nor will we have any ability to require them to provide funds), whether in the form of dividends, loans or otherwise, to enable the Company to pay dividends on its common stock or to enable the Company and its other subsidiaries to make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6" w:name="page47"/>
    <w:bookmarkEnd w:id="46"/>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7"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color w:val="auto"/>
        </w:rPr>
        <w:t>required debt service payments or meet its other cash needs. As a result, the Company has substantially increased its debt services obligations, which may increase further, in anticipation of the Peoples Gas Acquisition without any assurance that the Company will receive any cash from LDC or any of its subsidiaries to assist the Company in servicing its indebtedness, paying dividends on its common stock or meetings its other cash needs.</w:t>
      </w:r>
    </w:p>
    <w:p>
      <w:pPr>
        <w:spacing w:after="0" w:line="173" w:lineRule="exact"/>
        <w:rPr>
          <w:sz w:val="20"/>
          <w:szCs w:val="20"/>
          <w:color w:val="auto"/>
        </w:rPr>
      </w:pPr>
    </w:p>
    <w:p>
      <w:pPr>
        <w:ind w:right="20"/>
        <w:spacing w:after="0" w:line="344" w:lineRule="auto"/>
        <w:rPr>
          <w:sz w:val="20"/>
          <w:szCs w:val="20"/>
          <w:color w:val="auto"/>
        </w:rPr>
      </w:pPr>
      <w:r>
        <w:rPr>
          <w:rFonts w:ascii="Arial" w:cs="Arial" w:eastAsia="Arial" w:hAnsi="Arial"/>
          <w:sz w:val="18"/>
          <w:szCs w:val="18"/>
          <w:b w:val="1"/>
          <w:bCs w:val="1"/>
          <w:i w:val="1"/>
          <w:iCs w:val="1"/>
          <w:color w:val="auto"/>
        </w:rPr>
        <w:t>The price of our common stock may be volatile. This volatility may affect the price at which you could sell our common stock, and the sale or resale of substantial amounts of our common stock could adversely affect the market price of our common stock.</w:t>
      </w:r>
    </w:p>
    <w:p>
      <w:pPr>
        <w:spacing w:after="0" w:line="82"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The sale or issuance of substantial amounts of our common stock, or the perception that additional sales or issuances could occur, could adversely affect the market price of our common stock, even if the business is doing well. In addition, the availability for sale of substantial amounts of our common stock could adversely impact its market price. Shares of our common stock will also be issuable upon settlement or redemption of the purchase contracts and the number of shares may be substantial. The settlement rates for the purchase contracts will be subject to certain anti-dilution adjustments that could increase, potentially significantly, the number of shares of our common stock issuable upon such settlement or redemption. Any of the foregoing may also impair our ability to raise additional capital through the sale of our equity securities.</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Company’s purchases of its common stock for the quarter ended September 30,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240" w:type="dxa"/>
            <w:vAlign w:val="bottom"/>
            <w:gridSpan w:val="7"/>
          </w:tcPr>
          <w:p>
            <w:pPr>
              <w:spacing w:after="0"/>
              <w:rPr>
                <w:sz w:val="20"/>
                <w:szCs w:val="20"/>
                <w:color w:val="auto"/>
              </w:rPr>
            </w:pPr>
            <w:r>
              <w:rPr>
                <w:rFonts w:ascii="Arial" w:cs="Arial" w:eastAsia="Arial" w:hAnsi="Arial"/>
                <w:sz w:val="22"/>
                <w:szCs w:val="22"/>
                <w:color w:val="auto"/>
              </w:rPr>
              <w:t>Issuer Purchases of Equity Securities</w:t>
            </w:r>
          </w:p>
        </w:tc>
        <w:tc>
          <w:tcPr>
            <w:tcW w:w="188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Total</w:t>
            </w:r>
          </w:p>
        </w:tc>
        <w:tc>
          <w:tcPr>
            <w:tcW w:w="1840" w:type="dxa"/>
            <w:vAlign w:val="bottom"/>
            <w:vMerge w:val="restart"/>
          </w:tcPr>
          <w:p>
            <w:pPr>
              <w:jc w:val="right"/>
              <w:spacing w:after="0"/>
              <w:rPr>
                <w:sz w:val="20"/>
                <w:szCs w:val="20"/>
                <w:color w:val="auto"/>
              </w:rPr>
            </w:pPr>
            <w:r>
              <w:rPr>
                <w:rFonts w:ascii="Arial" w:cs="Arial" w:eastAsia="Arial" w:hAnsi="Arial"/>
                <w:sz w:val="22"/>
                <w:szCs w:val="22"/>
                <w:color w:val="auto"/>
              </w:rPr>
              <w:t>Maximum</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 of</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Shares</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Shares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Purchased</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that May</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as Part of</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Yet be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20" w:type="dxa"/>
            <w:vAlign w:val="bottom"/>
            <w:gridSpan w:val="2"/>
          </w:tcPr>
          <w:p>
            <w:pPr>
              <w:jc w:val="right"/>
              <w:ind w:right="140"/>
              <w:spacing w:after="0" w:line="229" w:lineRule="exact"/>
              <w:rPr>
                <w:sz w:val="20"/>
                <w:szCs w:val="20"/>
                <w:color w:val="auto"/>
              </w:rPr>
            </w:pPr>
            <w:r>
              <w:rPr>
                <w:rFonts w:ascii="Arial" w:cs="Arial" w:eastAsia="Arial" w:hAnsi="Arial"/>
                <w:sz w:val="22"/>
                <w:szCs w:val="22"/>
                <w:color w:val="auto"/>
              </w:rPr>
              <w:t>Total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Publicly</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Purchased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20" w:type="dxa"/>
            <w:vAlign w:val="bottom"/>
            <w:gridSpan w:val="2"/>
          </w:tcPr>
          <w:p>
            <w:pPr>
              <w:jc w:val="right"/>
              <w:ind w:right="140"/>
              <w:spacing w:after="0" w:line="229" w:lineRule="exact"/>
              <w:rPr>
                <w:sz w:val="20"/>
                <w:szCs w:val="20"/>
                <w:color w:val="auto"/>
              </w:rPr>
            </w:pPr>
            <w:r>
              <w:rPr>
                <w:rFonts w:ascii="Arial" w:cs="Arial" w:eastAsia="Arial" w:hAnsi="Arial"/>
                <w:sz w:val="22"/>
                <w:szCs w:val="22"/>
                <w:color w:val="auto"/>
              </w:rPr>
              <w:t>Number</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w w:val="92"/>
              </w:rPr>
              <w:t>Average</w:t>
            </w: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Announced</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Under the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20" w:type="dxa"/>
            <w:vAlign w:val="bottom"/>
            <w:gridSpan w:val="2"/>
          </w:tcPr>
          <w:p>
            <w:pPr>
              <w:jc w:val="right"/>
              <w:ind w:right="140"/>
              <w:spacing w:after="0" w:line="229" w:lineRule="exact"/>
              <w:rPr>
                <w:sz w:val="20"/>
                <w:szCs w:val="20"/>
                <w:color w:val="auto"/>
              </w:rPr>
            </w:pPr>
            <w:r>
              <w:rPr>
                <w:rFonts w:ascii="Arial" w:cs="Arial" w:eastAsia="Arial" w:hAnsi="Arial"/>
                <w:sz w:val="22"/>
                <w:szCs w:val="22"/>
                <w:color w:val="auto"/>
              </w:rPr>
              <w:t>of Shares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260"/>
              <w:spacing w:after="0" w:line="229" w:lineRule="exact"/>
              <w:rPr>
                <w:sz w:val="20"/>
                <w:szCs w:val="20"/>
                <w:color w:val="auto"/>
              </w:rPr>
            </w:pPr>
            <w:r>
              <w:rPr>
                <w:rFonts w:ascii="Arial" w:cs="Arial" w:eastAsia="Arial" w:hAnsi="Arial"/>
                <w:sz w:val="22"/>
                <w:szCs w:val="22"/>
                <w:color w:val="auto"/>
              </w:rPr>
              <w:t>Price Paid</w:t>
            </w:r>
          </w:p>
        </w:tc>
        <w:tc>
          <w:tcPr>
            <w:tcW w:w="18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Plans or</w:t>
            </w:r>
          </w:p>
        </w:tc>
        <w:tc>
          <w:tcPr>
            <w:tcW w:w="1840" w:type="dxa"/>
            <w:vAlign w:val="bottom"/>
          </w:tcPr>
          <w:p>
            <w:pPr>
              <w:jc w:val="right"/>
              <w:spacing w:after="0" w:line="229" w:lineRule="exact"/>
              <w:rPr>
                <w:sz w:val="20"/>
                <w:szCs w:val="20"/>
                <w:color w:val="auto"/>
              </w:rPr>
            </w:pPr>
            <w:r>
              <w:rPr>
                <w:rFonts w:ascii="Arial" w:cs="Arial" w:eastAsia="Arial" w:hAnsi="Arial"/>
                <w:sz w:val="22"/>
                <w:szCs w:val="22"/>
                <w:color w:val="auto"/>
              </w:rPr>
              <w:t>Plan or</w:t>
            </w:r>
          </w:p>
        </w:tc>
        <w:tc>
          <w:tcPr>
            <w:tcW w:w="0" w:type="dxa"/>
            <w:vAlign w:val="bottom"/>
          </w:tcPr>
          <w:p>
            <w:pPr>
              <w:spacing w:after="0"/>
              <w:rPr>
                <w:sz w:val="1"/>
                <w:szCs w:val="1"/>
                <w:color w:val="auto"/>
              </w:rPr>
            </w:pPr>
          </w:p>
        </w:tc>
      </w:tr>
      <w:tr>
        <w:trPr>
          <w:trHeight w:val="224"/>
        </w:trPr>
        <w:tc>
          <w:tcPr>
            <w:tcW w:w="3460" w:type="dxa"/>
            <w:vAlign w:val="bottom"/>
            <w:gridSpan w:val="2"/>
          </w:tcPr>
          <w:p>
            <w:pPr>
              <w:spacing w:after="0" w:line="224" w:lineRule="exact"/>
              <w:rPr>
                <w:sz w:val="20"/>
                <w:szCs w:val="20"/>
                <w:color w:val="auto"/>
              </w:rPr>
            </w:pPr>
            <w:r>
              <w:rPr>
                <w:rFonts w:ascii="Arial" w:cs="Arial" w:eastAsia="Arial" w:hAnsi="Arial"/>
                <w:sz w:val="22"/>
                <w:szCs w:val="22"/>
                <w:color w:val="auto"/>
              </w:rPr>
              <w:t>Period</w:t>
            </w:r>
          </w:p>
        </w:tc>
        <w:tc>
          <w:tcPr>
            <w:tcW w:w="2120" w:type="dxa"/>
            <w:vAlign w:val="bottom"/>
            <w:gridSpan w:val="2"/>
          </w:tcPr>
          <w:p>
            <w:pPr>
              <w:jc w:val="right"/>
              <w:ind w:right="140"/>
              <w:spacing w:after="0" w:line="224" w:lineRule="exact"/>
              <w:rPr>
                <w:sz w:val="20"/>
                <w:szCs w:val="20"/>
                <w:color w:val="auto"/>
              </w:rPr>
            </w:pPr>
            <w:r>
              <w:rPr>
                <w:rFonts w:ascii="Arial" w:cs="Arial" w:eastAsia="Arial" w:hAnsi="Arial"/>
                <w:sz w:val="22"/>
                <w:szCs w:val="22"/>
                <w:color w:val="auto"/>
              </w:rPr>
              <w:t>Purchased (1)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260"/>
              <w:spacing w:after="0" w:line="224" w:lineRule="exact"/>
              <w:rPr>
                <w:sz w:val="20"/>
                <w:szCs w:val="20"/>
                <w:color w:val="auto"/>
              </w:rPr>
            </w:pPr>
            <w:r>
              <w:rPr>
                <w:rFonts w:ascii="Arial" w:cs="Arial" w:eastAsia="Arial" w:hAnsi="Arial"/>
                <w:sz w:val="22"/>
                <w:szCs w:val="22"/>
                <w:color w:val="auto"/>
              </w:rPr>
              <w:t>per Share</w:t>
            </w:r>
          </w:p>
        </w:tc>
        <w:tc>
          <w:tcPr>
            <w:tcW w:w="188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Programs</w:t>
            </w:r>
          </w:p>
        </w:tc>
        <w:tc>
          <w:tcPr>
            <w:tcW w:w="1840" w:type="dxa"/>
            <w:vAlign w:val="bottom"/>
          </w:tcPr>
          <w:p>
            <w:pPr>
              <w:jc w:val="right"/>
              <w:spacing w:after="0" w:line="224" w:lineRule="exact"/>
              <w:rPr>
                <w:sz w:val="20"/>
                <w:szCs w:val="20"/>
                <w:color w:val="auto"/>
              </w:rPr>
            </w:pPr>
            <w:r>
              <w:rPr>
                <w:rFonts w:ascii="Arial" w:cs="Arial" w:eastAsia="Arial" w:hAnsi="Arial"/>
                <w:sz w:val="22"/>
                <w:szCs w:val="22"/>
                <w:color w:val="auto"/>
              </w:rPr>
              <w:t>Programs</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60" w:type="dxa"/>
            <w:vAlign w:val="bottom"/>
            <w:gridSpan w:val="2"/>
            <w:shd w:val="clear" w:color="auto" w:fill="CCEEFF"/>
          </w:tcPr>
          <w:p>
            <w:pPr>
              <w:spacing w:after="0" w:line="250" w:lineRule="exact"/>
              <w:rPr>
                <w:sz w:val="20"/>
                <w:szCs w:val="20"/>
                <w:color w:val="auto"/>
              </w:rPr>
            </w:pPr>
            <w:r>
              <w:rPr>
                <w:rFonts w:ascii="Arial" w:cs="Arial" w:eastAsia="Arial" w:hAnsi="Arial"/>
                <w:sz w:val="22"/>
                <w:szCs w:val="22"/>
                <w:color w:val="auto"/>
              </w:rPr>
              <w:t>July 1 - 31, 2019</w:t>
            </w:r>
          </w:p>
        </w:tc>
        <w:tc>
          <w:tcPr>
            <w:tcW w:w="2120" w:type="dxa"/>
            <w:vAlign w:val="bottom"/>
            <w:gridSpan w:val="2"/>
            <w:shd w:val="clear" w:color="auto" w:fill="CCEEFF"/>
          </w:tcPr>
          <w:p>
            <w:pPr>
              <w:jc w:val="right"/>
              <w:ind w:right="140"/>
              <w:spacing w:after="0" w:line="250" w:lineRule="exact"/>
              <w:rPr>
                <w:sz w:val="20"/>
                <w:szCs w:val="20"/>
                <w:color w:val="auto"/>
              </w:rPr>
            </w:pPr>
            <w:r>
              <w:rPr>
                <w:rFonts w:ascii="Arial" w:cs="Arial" w:eastAsia="Arial" w:hAnsi="Arial"/>
                <w:sz w:val="22"/>
                <w:szCs w:val="22"/>
                <w:color w:val="auto"/>
              </w:rPr>
              <w:t>189</w:t>
            </w:r>
          </w:p>
        </w:tc>
        <w:tc>
          <w:tcPr>
            <w:tcW w:w="600" w:type="dxa"/>
            <w:vAlign w:val="bottom"/>
            <w:gridSpan w:val="2"/>
            <w:shd w:val="clear" w:color="auto" w:fill="CCEEFF"/>
          </w:tcPr>
          <w:p>
            <w:pPr>
              <w:jc w:val="right"/>
              <w:ind w:right="252"/>
              <w:spacing w:after="0" w:line="250" w:lineRule="exact"/>
              <w:rPr>
                <w:sz w:val="20"/>
                <w:szCs w:val="20"/>
                <w:color w:val="auto"/>
              </w:rPr>
            </w:pPr>
            <w:r>
              <w:rPr>
                <w:rFonts w:ascii="Arial" w:cs="Arial" w:eastAsia="Arial" w:hAnsi="Arial"/>
                <w:sz w:val="22"/>
                <w:szCs w:val="22"/>
                <w:color w:val="auto"/>
              </w:rPr>
              <w:t>$</w:t>
            </w:r>
          </w:p>
        </w:tc>
        <w:tc>
          <w:tcPr>
            <w:tcW w:w="1520" w:type="dxa"/>
            <w:vAlign w:val="bottom"/>
            <w:gridSpan w:val="3"/>
            <w:shd w:val="clear" w:color="auto" w:fill="CCEEFF"/>
          </w:tcPr>
          <w:p>
            <w:pPr>
              <w:jc w:val="right"/>
              <w:ind w:right="260"/>
              <w:spacing w:after="0" w:line="250" w:lineRule="exact"/>
              <w:rPr>
                <w:sz w:val="20"/>
                <w:szCs w:val="20"/>
                <w:color w:val="auto"/>
              </w:rPr>
            </w:pPr>
            <w:r>
              <w:rPr>
                <w:rFonts w:ascii="Arial" w:cs="Arial" w:eastAsia="Arial" w:hAnsi="Arial"/>
                <w:sz w:val="22"/>
                <w:szCs w:val="22"/>
                <w:color w:val="auto"/>
              </w:rPr>
              <w:t>40.89</w:t>
            </w:r>
          </w:p>
        </w:tc>
        <w:tc>
          <w:tcPr>
            <w:tcW w:w="162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line="25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84"/>
        </w:trPr>
        <w:tc>
          <w:tcPr>
            <w:tcW w:w="3460" w:type="dxa"/>
            <w:vAlign w:val="bottom"/>
            <w:gridSpan w:val="2"/>
          </w:tcPr>
          <w:p>
            <w:pPr>
              <w:spacing w:after="0"/>
              <w:rPr>
                <w:sz w:val="20"/>
                <w:szCs w:val="20"/>
                <w:color w:val="auto"/>
              </w:rPr>
            </w:pPr>
            <w:r>
              <w:rPr>
                <w:rFonts w:ascii="Arial" w:cs="Arial" w:eastAsia="Arial" w:hAnsi="Arial"/>
                <w:sz w:val="22"/>
                <w:szCs w:val="22"/>
                <w:color w:val="auto"/>
              </w:rPr>
              <w:t>August 1 -31, 2019</w:t>
            </w:r>
          </w:p>
        </w:tc>
        <w:tc>
          <w:tcPr>
            <w:tcW w:w="212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600" w:type="dxa"/>
            <w:vAlign w:val="bottom"/>
            <w:gridSpan w:val="2"/>
          </w:tcPr>
          <w:p>
            <w:pPr>
              <w:jc w:val="right"/>
              <w:ind w:right="252"/>
              <w:spacing w:after="0"/>
              <w:rPr>
                <w:sz w:val="20"/>
                <w:szCs w:val="20"/>
                <w:color w:val="auto"/>
              </w:rPr>
            </w:pPr>
            <w:r>
              <w:rPr>
                <w:rFonts w:ascii="Arial" w:cs="Arial" w:eastAsia="Arial" w:hAnsi="Arial"/>
                <w:sz w:val="22"/>
                <w:szCs w:val="22"/>
                <w:color w:val="auto"/>
              </w:rPr>
              <w:t>$</w:t>
            </w:r>
          </w:p>
        </w:tc>
        <w:tc>
          <w:tcPr>
            <w:tcW w:w="1520" w:type="dxa"/>
            <w:vAlign w:val="bottom"/>
            <w:gridSpan w:val="3"/>
          </w:tcPr>
          <w:p>
            <w:pPr>
              <w:jc w:val="right"/>
              <w:ind w:right="260"/>
              <w:spacing w:after="0"/>
              <w:rPr>
                <w:sz w:val="20"/>
                <w:szCs w:val="20"/>
                <w:color w:val="auto"/>
              </w:rPr>
            </w:pPr>
            <w:r>
              <w:rPr>
                <w:rFonts w:ascii="Arial" w:cs="Arial" w:eastAsia="Arial" w:hAnsi="Arial"/>
                <w:sz w:val="22"/>
                <w:szCs w:val="22"/>
                <w:color w:val="auto"/>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84"/>
        </w:trPr>
        <w:tc>
          <w:tcPr>
            <w:tcW w:w="346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September 1 - 30, 2019</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0"/>
        </w:trPr>
        <w:tc>
          <w:tcPr>
            <w:tcW w:w="3460" w:type="dxa"/>
            <w:vAlign w:val="bottom"/>
            <w:gridSpan w:val="2"/>
          </w:tcPr>
          <w:p>
            <w:pPr>
              <w:spacing w:after="0" w:line="250" w:lineRule="exact"/>
              <w:rPr>
                <w:sz w:val="20"/>
                <w:szCs w:val="20"/>
                <w:color w:val="auto"/>
              </w:rPr>
            </w:pPr>
            <w:r>
              <w:rPr>
                <w:rFonts w:ascii="Arial" w:cs="Arial" w:eastAsia="Arial" w:hAnsi="Arial"/>
                <w:sz w:val="22"/>
                <w:szCs w:val="22"/>
                <w:color w:val="auto"/>
              </w:rPr>
              <w:t>Total</w:t>
            </w:r>
          </w:p>
        </w:tc>
        <w:tc>
          <w:tcPr>
            <w:tcW w:w="1980" w:type="dxa"/>
            <w:vAlign w:val="bottom"/>
          </w:tcPr>
          <w:p>
            <w:pPr>
              <w:jc w:val="right"/>
              <w:spacing w:after="0" w:line="250" w:lineRule="exact"/>
              <w:rPr>
                <w:sz w:val="20"/>
                <w:szCs w:val="20"/>
                <w:color w:val="auto"/>
              </w:rPr>
            </w:pPr>
            <w:r>
              <w:rPr>
                <w:rFonts w:ascii="Arial" w:cs="Arial" w:eastAsia="Arial" w:hAnsi="Arial"/>
                <w:sz w:val="22"/>
                <w:szCs w:val="22"/>
                <w:color w:val="auto"/>
              </w:rPr>
              <w:t>189</w:t>
            </w:r>
          </w:p>
        </w:tc>
        <w:tc>
          <w:tcPr>
            <w:tcW w:w="140" w:type="dxa"/>
            <w:vAlign w:val="bottom"/>
          </w:tcPr>
          <w:p>
            <w:pPr>
              <w:spacing w:after="0"/>
              <w:rPr>
                <w:sz w:val="21"/>
                <w:szCs w:val="21"/>
                <w:color w:val="auto"/>
              </w:rPr>
            </w:pPr>
          </w:p>
        </w:tc>
        <w:tc>
          <w:tcPr>
            <w:tcW w:w="600" w:type="dxa"/>
            <w:vAlign w:val="bottom"/>
            <w:gridSpan w:val="2"/>
          </w:tcPr>
          <w:p>
            <w:pPr>
              <w:jc w:val="right"/>
              <w:ind w:right="252"/>
              <w:spacing w:after="0" w:line="250" w:lineRule="exact"/>
              <w:rPr>
                <w:sz w:val="20"/>
                <w:szCs w:val="20"/>
                <w:color w:val="auto"/>
              </w:rPr>
            </w:pPr>
            <w:r>
              <w:rPr>
                <w:rFonts w:ascii="Arial" w:cs="Arial" w:eastAsia="Arial" w:hAnsi="Arial"/>
                <w:sz w:val="22"/>
                <w:szCs w:val="22"/>
                <w:color w:val="auto"/>
              </w:rPr>
              <w:t>$</w:t>
            </w:r>
          </w:p>
        </w:tc>
        <w:tc>
          <w:tcPr>
            <w:tcW w:w="1520" w:type="dxa"/>
            <w:vAlign w:val="bottom"/>
            <w:gridSpan w:val="3"/>
          </w:tcPr>
          <w:p>
            <w:pPr>
              <w:jc w:val="right"/>
              <w:ind w:right="260"/>
              <w:spacing w:after="0" w:line="250" w:lineRule="exact"/>
              <w:rPr>
                <w:sz w:val="20"/>
                <w:szCs w:val="20"/>
                <w:color w:val="auto"/>
              </w:rPr>
            </w:pPr>
            <w:r>
              <w:rPr>
                <w:rFonts w:ascii="Arial" w:cs="Arial" w:eastAsia="Arial" w:hAnsi="Arial"/>
                <w:sz w:val="22"/>
                <w:szCs w:val="22"/>
                <w:color w:val="auto"/>
              </w:rPr>
              <w:t>40.89</w:t>
            </w:r>
          </w:p>
        </w:tc>
        <w:tc>
          <w:tcPr>
            <w:tcW w:w="162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184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960" w:firstLine="8"/>
        <w:spacing w:after="0" w:line="239" w:lineRule="auto"/>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These amounts represent shares we acquired from employees associated with the withholding of shares to pay certain withholding taxes upon the vesting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53"/>
        </w:trPr>
        <w:tc>
          <w:tcPr>
            <w:tcW w:w="2180" w:type="dxa"/>
            <w:vAlign w:val="bottom"/>
            <w:gridSpan w:val="4"/>
          </w:tcPr>
          <w:p>
            <w:pPr>
              <w:spacing w:after="0"/>
              <w:rPr>
                <w:rFonts w:ascii="Arial" w:cs="Arial" w:eastAsia="Arial" w:hAnsi="Arial"/>
                <w:sz w:val="22"/>
                <w:szCs w:val="22"/>
                <w:color w:val="0563C1"/>
              </w:rPr>
            </w:pPr>
            <w:hyperlink w:anchor="page2">
              <w:r>
                <w:rPr>
                  <w:rFonts w:ascii="Arial" w:cs="Arial" w:eastAsia="Arial" w:hAnsi="Arial"/>
                  <w:sz w:val="22"/>
                  <w:szCs w:val="22"/>
                  <w:color w:val="0563C1"/>
                </w:rPr>
                <w:t>Table of Contents</w:t>
              </w:r>
            </w:hyperlink>
          </w:p>
        </w:tc>
        <w:tc>
          <w:tcPr>
            <w:tcW w:w="19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003"/>
        </w:trPr>
        <w:tc>
          <w:tcPr>
            <w:tcW w:w="1540" w:type="dxa"/>
            <w:vAlign w:val="bottom"/>
            <w:tcBorders>
              <w:top w:val="single" w:sz="8" w:color="0563C1"/>
            </w:tcBorders>
            <w:gridSpan w:val="2"/>
          </w:tcPr>
          <w:p>
            <w:pPr>
              <w:spacing w:after="0"/>
              <w:rPr>
                <w:sz w:val="20"/>
                <w:szCs w:val="20"/>
                <w:color w:val="auto"/>
              </w:rPr>
            </w:pPr>
            <w:r>
              <w:rPr>
                <w:rFonts w:ascii="Arial" w:cs="Arial" w:eastAsia="Arial" w:hAnsi="Arial"/>
                <w:sz w:val="22"/>
                <w:szCs w:val="22"/>
                <w:color w:val="auto"/>
                <w:w w:val="93"/>
              </w:rPr>
              <w:t>Item 6 – Exhibits</w:t>
            </w:r>
          </w:p>
        </w:tc>
        <w:tc>
          <w:tcPr>
            <w:tcW w:w="640" w:type="dxa"/>
            <w:vAlign w:val="bottom"/>
            <w:gridSpan w:val="2"/>
          </w:tcPr>
          <w:p>
            <w:pPr>
              <w:spacing w:after="0"/>
              <w:rPr>
                <w:sz w:val="24"/>
                <w:szCs w:val="24"/>
                <w:color w:val="auto"/>
              </w:rPr>
            </w:pPr>
          </w:p>
        </w:tc>
        <w:tc>
          <w:tcPr>
            <w:tcW w:w="19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4"/>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b w:val="1"/>
                <w:bCs w:val="1"/>
                <w:color w:val="auto"/>
              </w:rPr>
              <w:t>Exhibit No.</w:t>
            </w:r>
          </w:p>
        </w:tc>
        <w:tc>
          <w:tcPr>
            <w:tcW w:w="9240" w:type="dxa"/>
            <w:vAlign w:val="bottom"/>
            <w:gridSpan w:val="5"/>
          </w:tcPr>
          <w:p>
            <w:pPr>
              <w:ind w:left="40"/>
              <w:spacing w:after="0"/>
              <w:rPr>
                <w:sz w:val="20"/>
                <w:szCs w:val="20"/>
                <w:color w:val="auto"/>
              </w:rPr>
            </w:pPr>
            <w:r>
              <w:rPr>
                <w:rFonts w:ascii="Arial" w:cs="Arial" w:eastAsia="Arial" w:hAnsi="Arial"/>
                <w:sz w:val="22"/>
                <w:szCs w:val="22"/>
                <w:b w:val="1"/>
                <w:bCs w:val="1"/>
                <w:color w:val="auto"/>
              </w:rPr>
              <w:t>Description</w:t>
            </w:r>
          </w:p>
        </w:tc>
      </w:tr>
      <w:tr>
        <w:trPr>
          <w:trHeight w:val="196"/>
        </w:trPr>
        <w:tc>
          <w:tcPr>
            <w:tcW w:w="20" w:type="dxa"/>
            <w:vAlign w:val="bottom"/>
          </w:tcPr>
          <w:p>
            <w:pPr>
              <w:spacing w:after="0"/>
              <w:rPr>
                <w:sz w:val="17"/>
                <w:szCs w:val="17"/>
                <w:color w:val="auto"/>
              </w:rPr>
            </w:pPr>
          </w:p>
        </w:tc>
        <w:tc>
          <w:tcPr>
            <w:tcW w:w="1520" w:type="dxa"/>
            <w:vAlign w:val="bottom"/>
            <w:tcBorders>
              <w:top w:val="single" w:sz="8" w:color="auto"/>
            </w:tcBorders>
          </w:tcPr>
          <w:p>
            <w:pPr>
              <w:spacing w:after="0" w:line="197" w:lineRule="exact"/>
              <w:rPr>
                <w:sz w:val="20"/>
                <w:szCs w:val="20"/>
                <w:color w:val="auto"/>
              </w:rPr>
            </w:pPr>
            <w:r>
              <w:rPr>
                <w:rFonts w:ascii="Arial" w:cs="Arial" w:eastAsia="Arial" w:hAnsi="Arial"/>
                <w:sz w:val="22"/>
                <w:szCs w:val="22"/>
                <w:color w:val="auto"/>
              </w:rPr>
              <w:t>31.1</w:t>
            </w:r>
          </w:p>
        </w:tc>
        <w:tc>
          <w:tcPr>
            <w:tcW w:w="16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9240" w:type="dxa"/>
            <w:vAlign w:val="bottom"/>
            <w:tcBorders>
              <w:top w:val="single" w:sz="8" w:color="auto"/>
            </w:tcBorders>
            <w:gridSpan w:val="5"/>
          </w:tcPr>
          <w:p>
            <w:pPr>
              <w:spacing w:after="0" w:line="197" w:lineRule="exact"/>
              <w:rPr>
                <w:rFonts w:ascii="Arial" w:cs="Arial" w:eastAsia="Arial" w:hAnsi="Arial"/>
                <w:sz w:val="22"/>
                <w:szCs w:val="22"/>
                <w:color w:val="0563C1"/>
                <w:w w:val="98"/>
              </w:rPr>
            </w:pPr>
            <w:hyperlink w:anchor="page50">
              <w:r>
                <w:rPr>
                  <w:rFonts w:ascii="Arial" w:cs="Arial" w:eastAsia="Arial" w:hAnsi="Arial"/>
                  <w:sz w:val="22"/>
                  <w:szCs w:val="22"/>
                  <w:color w:val="0563C1"/>
                  <w:w w:val="98"/>
                </w:rPr>
                <w:t>Certification of Chief Executive Officer, filed pursuant to Rule 13a-14(a) under the Securities and</w:t>
              </w:r>
            </w:hyperlink>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00" w:type="dxa"/>
            <w:vAlign w:val="bottom"/>
            <w:tcBorders>
              <w:top w:val="single" w:sz="8" w:color="0563C1"/>
            </w:tcBorders>
            <w:gridSpan w:val="4"/>
          </w:tcPr>
          <w:p>
            <w:pPr>
              <w:spacing w:after="0" w:line="209" w:lineRule="exact"/>
              <w:rPr>
                <w:rFonts w:ascii="Arial" w:cs="Arial" w:eastAsia="Arial" w:hAnsi="Arial"/>
                <w:sz w:val="22"/>
                <w:szCs w:val="22"/>
                <w:color w:val="0563C1"/>
              </w:rPr>
            </w:pPr>
            <w:hyperlink w:anchor="page50">
              <w:r>
                <w:rPr>
                  <w:rFonts w:ascii="Arial" w:cs="Arial" w:eastAsia="Arial" w:hAnsi="Arial"/>
                  <w:sz w:val="22"/>
                  <w:szCs w:val="22"/>
                  <w:color w:val="0563C1"/>
                </w:rPr>
                <w:t>Exchange Act of 1934</w:t>
              </w:r>
            </w:hyperlink>
          </w:p>
        </w:tc>
        <w:tc>
          <w:tcPr>
            <w:tcW w:w="740" w:type="dxa"/>
            <w:vAlign w:val="bottom"/>
          </w:tcPr>
          <w:p>
            <w:pPr>
              <w:spacing w:after="0"/>
              <w:rPr>
                <w:sz w:val="18"/>
                <w:szCs w:val="18"/>
                <w:color w:val="auto"/>
              </w:rPr>
            </w:pPr>
          </w:p>
        </w:tc>
      </w:tr>
      <w:tr>
        <w:trPr>
          <w:trHeight w:val="20"/>
        </w:trPr>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920" w:type="dxa"/>
            <w:vAlign w:val="bottom"/>
            <w:shd w:val="clear" w:color="auto" w:fill="0563C1"/>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31.2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5"/>
          </w:tcPr>
          <w:p>
            <w:pPr>
              <w:spacing w:after="0"/>
              <w:rPr>
                <w:rFonts w:ascii="Arial" w:cs="Arial" w:eastAsia="Arial" w:hAnsi="Arial"/>
                <w:sz w:val="22"/>
                <w:szCs w:val="22"/>
                <w:color w:val="0563C1"/>
                <w:w w:val="99"/>
              </w:rPr>
            </w:pPr>
            <w:hyperlink w:anchor="page51">
              <w:r>
                <w:rPr>
                  <w:rFonts w:ascii="Arial" w:cs="Arial" w:eastAsia="Arial" w:hAnsi="Arial"/>
                  <w:sz w:val="22"/>
                  <w:szCs w:val="22"/>
                  <w:color w:val="0563C1"/>
                  <w:w w:val="99"/>
                </w:rPr>
                <w:t>Certification of Chief Financial Officer, filed pursuant to Rule 13a-14(a) under the Securities and</w:t>
              </w:r>
            </w:hyperlink>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40" w:type="dxa"/>
            <w:vAlign w:val="bottom"/>
            <w:tcBorders>
              <w:top w:val="single" w:sz="8" w:color="0563C1"/>
            </w:tcBorders>
            <w:gridSpan w:val="3"/>
          </w:tcPr>
          <w:p>
            <w:pPr>
              <w:spacing w:after="0" w:line="209" w:lineRule="exact"/>
              <w:rPr>
                <w:rFonts w:ascii="Arial" w:cs="Arial" w:eastAsia="Arial" w:hAnsi="Arial"/>
                <w:sz w:val="22"/>
                <w:szCs w:val="22"/>
                <w:color w:val="0563C1"/>
              </w:rPr>
            </w:pPr>
            <w:hyperlink w:anchor="page51">
              <w:r>
                <w:rPr>
                  <w:rFonts w:ascii="Arial" w:cs="Arial" w:eastAsia="Arial" w:hAnsi="Arial"/>
                  <w:sz w:val="22"/>
                  <w:szCs w:val="22"/>
                  <w:color w:val="0563C1"/>
                </w:rPr>
                <w:t>Exchange Act of 1934</w:t>
              </w:r>
            </w:hyperlink>
          </w:p>
        </w:tc>
        <w:tc>
          <w:tcPr>
            <w:tcW w:w="800" w:type="dxa"/>
            <w:vAlign w:val="bottom"/>
            <w:gridSpan w:val="2"/>
          </w:tcPr>
          <w:p>
            <w:pPr>
              <w:spacing w:after="0"/>
              <w:rPr>
                <w:sz w:val="18"/>
                <w:szCs w:val="18"/>
                <w:color w:val="auto"/>
              </w:rPr>
            </w:pPr>
          </w:p>
        </w:tc>
      </w:tr>
      <w:tr>
        <w:trPr>
          <w:trHeight w:val="20"/>
        </w:trPr>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920" w:type="dxa"/>
            <w:vAlign w:val="bottom"/>
            <w:shd w:val="clear" w:color="auto" w:fill="0563C1"/>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32.1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5"/>
          </w:tcPr>
          <w:p>
            <w:pPr>
              <w:spacing w:after="0"/>
              <w:rPr>
                <w:rFonts w:ascii="Arial" w:cs="Arial" w:eastAsia="Arial" w:hAnsi="Arial"/>
                <w:sz w:val="22"/>
                <w:szCs w:val="22"/>
                <w:color w:val="0563C1"/>
              </w:rPr>
            </w:pPr>
            <w:hyperlink w:anchor="page52">
              <w:r>
                <w:rPr>
                  <w:rFonts w:ascii="Arial" w:cs="Arial" w:eastAsia="Arial" w:hAnsi="Arial"/>
                  <w:sz w:val="22"/>
                  <w:szCs w:val="22"/>
                  <w:color w:val="0563C1"/>
                </w:rPr>
                <w:t>Certification of Chief Executive Officer, furnished pursuant to 18 U.S.C. Section 1350</w:t>
              </w:r>
            </w:hyperlink>
          </w:p>
        </w:tc>
      </w:tr>
      <w:tr>
        <w:trPr>
          <w:trHeight w:val="20"/>
        </w:trPr>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7420" w:type="dxa"/>
            <w:vAlign w:val="bottom"/>
            <w:gridSpan w:val="2"/>
            <w:shd w:val="clear" w:color="auto" w:fill="0563C1"/>
          </w:tcPr>
          <w:p>
            <w:pPr>
              <w:spacing w:after="0" w:line="20" w:lineRule="exact"/>
              <w:rPr>
                <w:sz w:val="1"/>
                <w:szCs w:val="1"/>
                <w:color w:val="auto"/>
              </w:rPr>
            </w:pPr>
          </w:p>
        </w:tc>
        <w:tc>
          <w:tcPr>
            <w:tcW w:w="1820" w:type="dxa"/>
            <w:vAlign w:val="bottom"/>
            <w:tcBorders>
              <w:left w:val="single" w:sz="8" w:color="0563C1"/>
            </w:tcBorders>
            <w:gridSpan w:val="3"/>
          </w:tcPr>
          <w:p>
            <w:pPr>
              <w:spacing w:after="0" w:line="20" w:lineRule="exact"/>
              <w:rPr>
                <w:sz w:val="1"/>
                <w:szCs w:val="1"/>
                <w:color w:val="auto"/>
              </w:rPr>
            </w:pPr>
          </w:p>
        </w:tc>
      </w:tr>
      <w:tr>
        <w:trPr>
          <w:trHeight w:val="439"/>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32.2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5"/>
          </w:tcPr>
          <w:p>
            <w:pPr>
              <w:spacing w:after="0"/>
              <w:rPr>
                <w:rFonts w:ascii="Arial" w:cs="Arial" w:eastAsia="Arial" w:hAnsi="Arial"/>
                <w:sz w:val="22"/>
                <w:szCs w:val="22"/>
                <w:color w:val="0563C1"/>
              </w:rPr>
            </w:pPr>
            <w:hyperlink w:anchor="page53">
              <w:r>
                <w:rPr>
                  <w:rFonts w:ascii="Arial" w:cs="Arial" w:eastAsia="Arial" w:hAnsi="Arial"/>
                  <w:sz w:val="22"/>
                  <w:szCs w:val="22"/>
                  <w:color w:val="0563C1"/>
                </w:rPr>
                <w:t>Certification of Chief Financial Officer, furnished pursuant to 18 U.S.C. Section 1350</w:t>
              </w:r>
            </w:hyperlink>
          </w:p>
        </w:tc>
      </w:tr>
      <w:tr>
        <w:trPr>
          <w:trHeight w:val="20"/>
        </w:trPr>
        <w:tc>
          <w:tcPr>
            <w:tcW w:w="20" w:type="dxa"/>
            <w:vAlign w:val="bottom"/>
          </w:tcPr>
          <w:p>
            <w:pPr>
              <w:spacing w:after="0" w:line="20" w:lineRule="exact"/>
              <w:rPr>
                <w:sz w:val="1"/>
                <w:szCs w:val="1"/>
                <w:color w:val="auto"/>
              </w:rPr>
            </w:pPr>
          </w:p>
        </w:tc>
        <w:tc>
          <w:tcPr>
            <w:tcW w:w="2160" w:type="dxa"/>
            <w:vAlign w:val="bottom"/>
            <w:tcBorders>
              <w:right w:val="single" w:sz="8" w:color="0000EE"/>
            </w:tcBorders>
            <w:gridSpan w:val="3"/>
          </w:tcPr>
          <w:p>
            <w:pPr>
              <w:spacing w:after="0" w:line="20" w:lineRule="exact"/>
              <w:rPr>
                <w:sz w:val="1"/>
                <w:szCs w:val="1"/>
                <w:color w:val="auto"/>
              </w:rPr>
            </w:pPr>
          </w:p>
        </w:tc>
        <w:tc>
          <w:tcPr>
            <w:tcW w:w="7420" w:type="dxa"/>
            <w:vAlign w:val="bottom"/>
            <w:gridSpan w:val="2"/>
            <w:shd w:val="clear" w:color="auto" w:fill="0563C1"/>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r>
      <w:tr>
        <w:trPr>
          <w:trHeight w:val="445"/>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101.INS</w:t>
            </w:r>
          </w:p>
        </w:tc>
        <w:tc>
          <w:tcPr>
            <w:tcW w:w="9240" w:type="dxa"/>
            <w:vAlign w:val="bottom"/>
            <w:gridSpan w:val="5"/>
          </w:tcPr>
          <w:p>
            <w:pPr>
              <w:spacing w:after="0"/>
              <w:rPr>
                <w:sz w:val="20"/>
                <w:szCs w:val="20"/>
                <w:color w:val="auto"/>
              </w:rPr>
            </w:pPr>
            <w:r>
              <w:rPr>
                <w:rFonts w:ascii="Arial" w:cs="Arial" w:eastAsia="Arial" w:hAnsi="Arial"/>
                <w:sz w:val="22"/>
                <w:szCs w:val="22"/>
                <w:color w:val="auto"/>
                <w:w w:val="92"/>
              </w:rPr>
              <w:t>Inline XBRL Instance Document – The instance document does not appear in the Interactive Data File</w:t>
            </w:r>
          </w:p>
        </w:tc>
      </w:tr>
      <w:tr>
        <w:trPr>
          <w:trHeight w:val="275"/>
        </w:trPr>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40" w:type="dxa"/>
            <w:vAlign w:val="bottom"/>
            <w:gridSpan w:val="5"/>
          </w:tcPr>
          <w:p>
            <w:pPr>
              <w:spacing w:after="0"/>
              <w:rPr>
                <w:sz w:val="20"/>
                <w:szCs w:val="20"/>
                <w:color w:val="auto"/>
              </w:rPr>
            </w:pPr>
            <w:r>
              <w:rPr>
                <w:rFonts w:ascii="Arial" w:cs="Arial" w:eastAsia="Arial" w:hAnsi="Arial"/>
                <w:sz w:val="22"/>
                <w:szCs w:val="22"/>
                <w:color w:val="auto"/>
              </w:rPr>
              <w:t>because its XBRL tags are embedded within the Inline XBRL document.</w:t>
            </w:r>
          </w:p>
        </w:tc>
      </w:tr>
      <w:tr>
        <w:trPr>
          <w:trHeight w:val="459"/>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101.SCH</w:t>
            </w:r>
          </w:p>
        </w:tc>
        <w:tc>
          <w:tcPr>
            <w:tcW w:w="9240" w:type="dxa"/>
            <w:vAlign w:val="bottom"/>
            <w:gridSpan w:val="5"/>
          </w:tcPr>
          <w:p>
            <w:pPr>
              <w:spacing w:after="0"/>
              <w:rPr>
                <w:sz w:val="20"/>
                <w:szCs w:val="20"/>
                <w:color w:val="auto"/>
              </w:rPr>
            </w:pPr>
            <w:r>
              <w:rPr>
                <w:rFonts w:ascii="Arial" w:cs="Arial" w:eastAsia="Arial" w:hAnsi="Arial"/>
                <w:sz w:val="22"/>
                <w:szCs w:val="22"/>
                <w:color w:val="auto"/>
              </w:rPr>
              <w:t>Inline XBRL Taxonomy Extension Schema Document</w:t>
            </w:r>
          </w:p>
        </w:tc>
      </w:tr>
      <w:tr>
        <w:trPr>
          <w:trHeight w:val="459"/>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101.CAL</w:t>
            </w:r>
          </w:p>
        </w:tc>
        <w:tc>
          <w:tcPr>
            <w:tcW w:w="9240" w:type="dxa"/>
            <w:vAlign w:val="bottom"/>
            <w:gridSpan w:val="5"/>
          </w:tcPr>
          <w:p>
            <w:pPr>
              <w:spacing w:after="0"/>
              <w:rPr>
                <w:sz w:val="20"/>
                <w:szCs w:val="20"/>
                <w:color w:val="auto"/>
              </w:rPr>
            </w:pPr>
            <w:r>
              <w:rPr>
                <w:rFonts w:ascii="Arial" w:cs="Arial" w:eastAsia="Arial" w:hAnsi="Arial"/>
                <w:sz w:val="22"/>
                <w:szCs w:val="22"/>
                <w:color w:val="auto"/>
              </w:rPr>
              <w:t>Inline XBRL Taxonomy Extension Calculation Linkbase Document</w:t>
            </w:r>
          </w:p>
        </w:tc>
      </w:tr>
      <w:tr>
        <w:trPr>
          <w:trHeight w:val="459"/>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101.DEF</w:t>
            </w:r>
          </w:p>
        </w:tc>
        <w:tc>
          <w:tcPr>
            <w:tcW w:w="9240" w:type="dxa"/>
            <w:vAlign w:val="bottom"/>
            <w:gridSpan w:val="5"/>
          </w:tcPr>
          <w:p>
            <w:pPr>
              <w:spacing w:after="0"/>
              <w:rPr>
                <w:sz w:val="20"/>
                <w:szCs w:val="20"/>
                <w:color w:val="auto"/>
              </w:rPr>
            </w:pPr>
            <w:r>
              <w:rPr>
                <w:rFonts w:ascii="Arial" w:cs="Arial" w:eastAsia="Arial" w:hAnsi="Arial"/>
                <w:sz w:val="22"/>
                <w:szCs w:val="22"/>
                <w:color w:val="auto"/>
              </w:rPr>
              <w:t>Inline XBRL Taxonomy Extension Definition Linkbase Document</w:t>
            </w:r>
          </w:p>
        </w:tc>
      </w:tr>
      <w:tr>
        <w:trPr>
          <w:trHeight w:val="459"/>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101.LAB</w:t>
            </w:r>
          </w:p>
        </w:tc>
        <w:tc>
          <w:tcPr>
            <w:tcW w:w="9240" w:type="dxa"/>
            <w:vAlign w:val="bottom"/>
            <w:gridSpan w:val="5"/>
          </w:tcPr>
          <w:p>
            <w:pPr>
              <w:spacing w:after="0"/>
              <w:rPr>
                <w:sz w:val="20"/>
                <w:szCs w:val="20"/>
                <w:color w:val="auto"/>
              </w:rPr>
            </w:pPr>
            <w:r>
              <w:rPr>
                <w:rFonts w:ascii="Arial" w:cs="Arial" w:eastAsia="Arial" w:hAnsi="Arial"/>
                <w:sz w:val="22"/>
                <w:szCs w:val="22"/>
                <w:color w:val="auto"/>
              </w:rPr>
              <w:t>Inline XBRL Taxonomy Extension Label Linkbase Document</w:t>
            </w:r>
          </w:p>
        </w:tc>
      </w:tr>
      <w:tr>
        <w:trPr>
          <w:trHeight w:val="459"/>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101.PRES</w:t>
            </w:r>
          </w:p>
        </w:tc>
        <w:tc>
          <w:tcPr>
            <w:tcW w:w="9240" w:type="dxa"/>
            <w:vAlign w:val="bottom"/>
            <w:gridSpan w:val="5"/>
          </w:tcPr>
          <w:p>
            <w:pPr>
              <w:spacing w:after="0"/>
              <w:rPr>
                <w:sz w:val="20"/>
                <w:szCs w:val="20"/>
                <w:color w:val="auto"/>
              </w:rPr>
            </w:pPr>
            <w:r>
              <w:rPr>
                <w:rFonts w:ascii="Arial" w:cs="Arial" w:eastAsia="Arial" w:hAnsi="Arial"/>
                <w:sz w:val="22"/>
                <w:szCs w:val="22"/>
                <w:color w:val="auto"/>
              </w:rPr>
              <w:t>Inline XBRL Taxonomy Extension Presentation Linkbase Document</w:t>
            </w:r>
          </w:p>
        </w:tc>
      </w:tr>
      <w:tr>
        <w:trPr>
          <w:trHeight w:val="414"/>
        </w:trPr>
        <w:tc>
          <w:tcPr>
            <w:tcW w:w="1540" w:type="dxa"/>
            <w:vAlign w:val="bottom"/>
            <w:gridSpan w:val="2"/>
          </w:tcPr>
          <w:p>
            <w:pPr>
              <w:ind w:left="20"/>
              <w:spacing w:after="0"/>
              <w:rPr>
                <w:sz w:val="20"/>
                <w:szCs w:val="20"/>
                <w:color w:val="auto"/>
              </w:rPr>
            </w:pPr>
            <w:r>
              <w:rPr>
                <w:rFonts w:ascii="Arial" w:cs="Arial" w:eastAsia="Arial" w:hAnsi="Arial"/>
                <w:sz w:val="22"/>
                <w:szCs w:val="22"/>
                <w:color w:val="auto"/>
              </w:rPr>
              <w:t>104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5"/>
          </w:tcPr>
          <w:p>
            <w:pPr>
              <w:spacing w:after="0"/>
              <w:rPr>
                <w:sz w:val="20"/>
                <w:szCs w:val="20"/>
                <w:color w:val="auto"/>
              </w:rPr>
            </w:pPr>
            <w:r>
              <w:rPr>
                <w:rFonts w:ascii="Arial" w:cs="Arial" w:eastAsia="Arial" w:hAnsi="Arial"/>
                <w:sz w:val="22"/>
                <w:szCs w:val="22"/>
                <w:color w:val="auto"/>
                <w:w w:val="89"/>
              </w:rPr>
              <w:t>The cover page from the Company’s Quarterly Report on Form 10-Q for the quarter ended September 30,</w:t>
            </w:r>
          </w:p>
        </w:tc>
      </w:tr>
      <w:tr>
        <w:trPr>
          <w:trHeight w:val="275"/>
        </w:trPr>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40" w:type="dxa"/>
            <w:vAlign w:val="bottom"/>
            <w:gridSpan w:val="5"/>
          </w:tcPr>
          <w:p>
            <w:pPr>
              <w:spacing w:after="0"/>
              <w:rPr>
                <w:sz w:val="20"/>
                <w:szCs w:val="20"/>
                <w:color w:val="auto"/>
              </w:rPr>
            </w:pPr>
            <w:r>
              <w:rPr>
                <w:rFonts w:ascii="Arial" w:cs="Arial" w:eastAsia="Arial" w:hAnsi="Arial"/>
                <w:sz w:val="22"/>
                <w:szCs w:val="22"/>
                <w:color w:val="auto"/>
              </w:rPr>
              <w:t>2019, formatted in Inline XBRL (included in Exhibit 101)</w:t>
            </w:r>
          </w:p>
        </w:tc>
      </w:tr>
      <w:tr>
        <w:trPr>
          <w:trHeight w:val="918"/>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20" w:type="dxa"/>
            <w:vAlign w:val="bottom"/>
            <w:gridSpan w:val="2"/>
          </w:tcPr>
          <w:p>
            <w:pPr>
              <w:jc w:val="right"/>
              <w:ind w:right="3780"/>
              <w:spacing w:after="0"/>
              <w:rPr>
                <w:sz w:val="20"/>
                <w:szCs w:val="20"/>
                <w:color w:val="auto"/>
              </w:rPr>
            </w:pPr>
            <w:r>
              <w:rPr>
                <w:rFonts w:ascii="Arial" w:cs="Arial" w:eastAsia="Arial" w:hAnsi="Arial"/>
                <w:sz w:val="22"/>
                <w:szCs w:val="22"/>
                <w:color w:val="auto"/>
              </w:rPr>
              <w:t>47</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8"/>
        </w:trPr>
        <w:tc>
          <w:tcPr>
            <w:tcW w:w="20" w:type="dxa"/>
            <w:vAlign w:val="bottom"/>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48" w:name="page49"/>
    <w:bookmarkEnd w:id="48"/>
    <w:p>
      <w:pPr>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SIGNATURES</w:t>
      </w:r>
    </w:p>
    <w:p>
      <w:pPr>
        <w:spacing w:after="0" w:line="98" w:lineRule="exact"/>
        <w:rPr>
          <w:sz w:val="20"/>
          <w:szCs w:val="20"/>
          <w:color w:val="auto"/>
        </w:rPr>
      </w:pPr>
    </w:p>
    <w:p>
      <w:pPr>
        <w:spacing w:after="0" w:line="20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November 5, 2019</w:t>
      </w:r>
    </w:p>
    <w:p>
      <w:pPr>
        <w:ind w:left="6420"/>
        <w:spacing w:after="0" w:line="238" w:lineRule="auto"/>
        <w:rPr>
          <w:sz w:val="20"/>
          <w:szCs w:val="20"/>
          <w:color w:val="auto"/>
        </w:rPr>
      </w:pPr>
      <w:r>
        <w:rPr>
          <w:rFonts w:ascii="Arial" w:cs="Arial" w:eastAsia="Arial" w:hAnsi="Arial"/>
          <w:sz w:val="22"/>
          <w:szCs w:val="22"/>
          <w:color w:val="auto"/>
        </w:rPr>
        <w:t>Aqua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-5715</wp:posOffset>
            </wp:positionV>
            <wp:extent cx="31730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366"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1"/>
          <w:szCs w:val="21"/>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31730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22"/>
          <w:szCs w:val="22"/>
          <w:color w:val="auto"/>
        </w:rPr>
        <w:t>Christopher H. Franklin</w:t>
      </w:r>
    </w:p>
    <w:p>
      <w:pPr>
        <w:ind w:left="6420"/>
        <w:spacing w:after="0" w:line="217" w:lineRule="auto"/>
        <w:rPr>
          <w:sz w:val="20"/>
          <w:szCs w:val="20"/>
          <w:color w:val="auto"/>
        </w:rPr>
      </w:pPr>
      <w:r>
        <w:rPr>
          <w:rFonts w:ascii="Arial" w:cs="Arial" w:eastAsia="Arial" w:hAnsi="Arial"/>
          <w:sz w:val="22"/>
          <w:szCs w:val="22"/>
          <w:color w:val="auto"/>
        </w:rPr>
        <w:t>Chairman, President and</w:t>
      </w:r>
    </w:p>
    <w:p>
      <w:pPr>
        <w:spacing w:after="0" w:line="1"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66"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31730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22"/>
          <w:szCs w:val="22"/>
          <w:color w:val="auto"/>
        </w:rPr>
        <w:t>Daniel J. Schuller</w:t>
      </w:r>
    </w:p>
    <w:p>
      <w:pPr>
        <w:ind w:left="6420"/>
        <w:spacing w:after="0" w:line="217"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Chief Financial Officer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360"/>
          </w:cols>
          <w:pgMar w:left="240" w:top="118" w:right="29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color w:val="auto"/>
        </w:rPr>
        <w:t>Exhibit 31.1</w:t>
      </w:r>
    </w:p>
    <w:p>
      <w:pPr>
        <w:spacing w:after="0" w:line="122" w:lineRule="exact"/>
        <w:rPr>
          <w:sz w:val="20"/>
          <w:szCs w:val="20"/>
          <w:color w:val="auto"/>
        </w:rPr>
      </w:pPr>
    </w:p>
    <w:p>
      <w:pPr>
        <w:ind w:left="20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23" w:lineRule="exact"/>
        <w:rPr>
          <w:sz w:val="20"/>
          <w:szCs w:val="20"/>
          <w:color w:val="auto"/>
        </w:rPr>
      </w:pPr>
    </w:p>
    <w:p>
      <w:pPr>
        <w:ind w:left="324" w:hanging="324"/>
        <w:spacing w:after="0"/>
        <w:tabs>
          <w:tab w:leader="none" w:pos="324" w:val="left"/>
        </w:tabs>
        <w:numPr>
          <w:ilvl w:val="0"/>
          <w:numId w:val="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20" w:hanging="324"/>
        <w:spacing w:after="0" w:line="197" w:lineRule="auto"/>
        <w:tabs>
          <w:tab w:leader="none" w:pos="324" w:val="left"/>
        </w:tabs>
        <w:numPr>
          <w:ilvl w:val="0"/>
          <w:numId w:val="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40" w:hanging="324"/>
        <w:spacing w:after="0" w:line="197" w:lineRule="auto"/>
        <w:tabs>
          <w:tab w:leader="none" w:pos="324" w:val="left"/>
        </w:tabs>
        <w:numPr>
          <w:ilvl w:val="0"/>
          <w:numId w:val="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240" w:hanging="324"/>
        <w:spacing w:after="0" w:line="207" w:lineRule="auto"/>
        <w:tabs>
          <w:tab w:leader="none" w:pos="324"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140" w:hanging="320"/>
        <w:spacing w:after="0" w:line="197" w:lineRule="auto"/>
        <w:tabs>
          <w:tab w:leader="none" w:pos="644" w:val="left"/>
        </w:tabs>
        <w:numPr>
          <w:ilvl w:val="1"/>
          <w:numId w:val="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40" w:hanging="320"/>
        <w:spacing w:after="0" w:line="246" w:lineRule="auto"/>
        <w:tabs>
          <w:tab w:leader="none" w:pos="644"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240" w:hanging="320"/>
        <w:spacing w:after="0" w:line="197" w:lineRule="auto"/>
        <w:tabs>
          <w:tab w:leader="none" w:pos="644" w:val="left"/>
        </w:tabs>
        <w:numPr>
          <w:ilvl w:val="1"/>
          <w:numId w:val="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0" w:hanging="320"/>
        <w:spacing w:after="0" w:line="197" w:lineRule="auto"/>
        <w:tabs>
          <w:tab w:leader="none" w:pos="644" w:val="left"/>
        </w:tabs>
        <w:numPr>
          <w:ilvl w:val="1"/>
          <w:numId w:val="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180" w:hanging="324"/>
        <w:spacing w:after="0" w:line="197" w:lineRule="auto"/>
        <w:tabs>
          <w:tab w:leader="none" w:pos="324"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440" w:hanging="320"/>
        <w:spacing w:after="0" w:line="197" w:lineRule="auto"/>
        <w:tabs>
          <w:tab w:leader="none" w:pos="644" w:val="left"/>
        </w:tabs>
        <w:numPr>
          <w:ilvl w:val="1"/>
          <w:numId w:val="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20" w:hanging="320"/>
        <w:spacing w:after="0" w:line="220" w:lineRule="auto"/>
        <w:tabs>
          <w:tab w:leader="none" w:pos="644" w:val="left"/>
        </w:tabs>
        <w:numPr>
          <w:ilvl w:val="1"/>
          <w:numId w:val="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73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82" w:right="93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22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Daniel J. Schuller, certify that:</w:t>
      </w:r>
    </w:p>
    <w:p>
      <w:pPr>
        <w:spacing w:after="0" w:line="123" w:lineRule="exact"/>
        <w:rPr>
          <w:sz w:val="20"/>
          <w:szCs w:val="20"/>
          <w:color w:val="auto"/>
        </w:rPr>
      </w:pPr>
    </w:p>
    <w:p>
      <w:pPr>
        <w:ind w:left="324" w:hanging="324"/>
        <w:spacing w:after="0"/>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80" w:hanging="324"/>
        <w:spacing w:after="0" w:line="197" w:lineRule="auto"/>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00" w:hanging="324"/>
        <w:spacing w:after="0" w:line="197" w:lineRule="auto"/>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300" w:hanging="324"/>
        <w:spacing w:after="0" w:line="207" w:lineRule="auto"/>
        <w:tabs>
          <w:tab w:leader="none" w:pos="324"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100" w:hanging="320"/>
        <w:spacing w:after="0" w:line="246" w:lineRule="auto"/>
        <w:tabs>
          <w:tab w:leader="none" w:pos="644"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30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8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240" w:hanging="324"/>
        <w:spacing w:after="0" w:line="197" w:lineRule="auto"/>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500" w:hanging="320"/>
        <w:spacing w:after="0" w:line="197"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80" w:hanging="320"/>
        <w:spacing w:after="0" w:line="220" w:lineRule="auto"/>
        <w:tabs>
          <w:tab w:leader="none" w:pos="644" w:val="left"/>
        </w:tabs>
        <w:numPr>
          <w:ilvl w:val="1"/>
          <w:numId w:val="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10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8" w:right="87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Exhibit 32.1</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12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September 30, 2019 of Aqua America,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84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8" w:right="9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color w:val="auto"/>
        </w:rPr>
        <w:t>Exhibit 32.2</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FINANCIAL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12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September 30, 2019 of Aqua America,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87" w:lineRule="auto"/>
        <w:rPr>
          <w:sz w:val="20"/>
          <w:szCs w:val="20"/>
          <w:color w:val="auto"/>
        </w:rPr>
      </w:pPr>
      <w:r>
        <w:rPr>
          <w:rFonts w:ascii="Arial" w:cs="Arial" w:eastAsia="Arial" w:hAnsi="Arial"/>
          <w:sz w:val="21"/>
          <w:szCs w:val="21"/>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4131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064"/>
      </w:cols>
      <w:pgMar w:left="896" w:top="78"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2019-12-28T02:52:51Z</dcterms:created>
  <dcterms:modified xsi:type="dcterms:W3CDTF">2019-12-28T02:52:51Z</dcterms:modified>
</cp:coreProperties>
</file>