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99"/>
        <w:spacing w:after="0"/>
        <w:rPr>
          <w:sz w:val="20"/>
          <w:szCs w:val="20"/>
          <w:color w:val="auto"/>
        </w:rPr>
      </w:pPr>
      <w:r>
        <w:rPr>
          <w:rFonts w:ascii="Times New Roman" w:cs="Times New Roman" w:eastAsia="Times New Roman" w:hAnsi="Times New Roman"/>
          <w:sz w:val="24"/>
          <w:szCs w:val="24"/>
          <w:b w:val="1"/>
          <w:bCs w:val="1"/>
          <w:color w:val="auto"/>
        </w:rPr>
        <w:t>UNITED STATES</w:t>
      </w:r>
    </w:p>
    <w:p>
      <w:pPr>
        <w:spacing w:after="0" w:line="34" w:lineRule="exact"/>
        <w:rPr>
          <w:sz w:val="24"/>
          <w:szCs w:val="24"/>
          <w:color w:val="auto"/>
        </w:rPr>
      </w:pPr>
    </w:p>
    <w:p>
      <w:pPr>
        <w:jc w:val="center"/>
        <w:ind w:right="-299"/>
        <w:spacing w:after="0"/>
        <w:rPr>
          <w:sz w:val="20"/>
          <w:szCs w:val="20"/>
          <w:color w:val="auto"/>
        </w:rPr>
      </w:pPr>
      <w:r>
        <w:rPr>
          <w:rFonts w:ascii="Times New Roman" w:cs="Times New Roman" w:eastAsia="Times New Roman" w:hAnsi="Times New Roman"/>
          <w:sz w:val="24"/>
          <w:szCs w:val="24"/>
          <w:b w:val="1"/>
          <w:bCs w:val="1"/>
          <w:color w:val="auto"/>
        </w:rPr>
        <w:t>SECURITIES AND EXCHANGE COMMISSION</w:t>
      </w:r>
    </w:p>
    <w:p>
      <w:pPr>
        <w:jc w:val="center"/>
        <w:ind w:right="-299"/>
        <w:spacing w:after="0"/>
        <w:rPr>
          <w:sz w:val="20"/>
          <w:szCs w:val="20"/>
          <w:color w:val="auto"/>
        </w:rPr>
      </w:pPr>
      <w:r>
        <w:rPr>
          <w:rFonts w:ascii="Times New Roman" w:cs="Times New Roman" w:eastAsia="Times New Roman" w:hAnsi="Times New Roman"/>
          <w:sz w:val="20"/>
          <w:szCs w:val="20"/>
          <w:color w:val="auto"/>
        </w:rPr>
        <w:t>Washington, D.C. 20549</w:t>
      </w:r>
    </w:p>
    <w:p>
      <w:pPr>
        <w:spacing w:after="0" w:line="111" w:lineRule="exact"/>
        <w:rPr>
          <w:sz w:val="24"/>
          <w:szCs w:val="24"/>
          <w:color w:val="auto"/>
        </w:rPr>
      </w:pPr>
    </w:p>
    <w:p>
      <w:pPr>
        <w:jc w:val="center"/>
        <w:ind w:right="-299"/>
        <w:spacing w:after="0"/>
        <w:rPr>
          <w:sz w:val="20"/>
          <w:szCs w:val="20"/>
          <w:color w:val="auto"/>
        </w:rPr>
      </w:pPr>
      <w:r>
        <w:rPr>
          <w:rFonts w:ascii="Times New Roman" w:cs="Times New Roman" w:eastAsia="Times New Roman" w:hAnsi="Times New Roman"/>
          <w:sz w:val="31"/>
          <w:szCs w:val="31"/>
          <w:b w:val="1"/>
          <w:bCs w:val="1"/>
          <w:color w:val="auto"/>
        </w:rPr>
        <w:t>SCHEDULE 14A</w:t>
      </w:r>
    </w:p>
    <w:p>
      <w:pPr>
        <w:spacing w:after="0" w:line="166" w:lineRule="exact"/>
        <w:rPr>
          <w:sz w:val="24"/>
          <w:szCs w:val="24"/>
          <w:color w:val="auto"/>
        </w:rPr>
      </w:pPr>
    </w:p>
    <w:p>
      <w:pPr>
        <w:jc w:val="center"/>
        <w:ind w:right="-299"/>
        <w:spacing w:after="0"/>
        <w:rPr>
          <w:sz w:val="20"/>
          <w:szCs w:val="20"/>
          <w:color w:val="auto"/>
        </w:rPr>
      </w:pPr>
      <w:r>
        <w:rPr>
          <w:rFonts w:ascii="Times New Roman" w:cs="Times New Roman" w:eastAsia="Times New Roman" w:hAnsi="Times New Roman"/>
          <w:sz w:val="17"/>
          <w:szCs w:val="17"/>
          <w:b w:val="1"/>
          <w:bCs w:val="1"/>
          <w:color w:val="auto"/>
        </w:rPr>
        <w:t>Proxy Statement Pursuant to Section 14(a) of the Securities</w:t>
      </w:r>
    </w:p>
    <w:p>
      <w:pPr>
        <w:spacing w:after="0" w:line="162" w:lineRule="exact"/>
        <w:rPr>
          <w:sz w:val="24"/>
          <w:szCs w:val="24"/>
          <w:color w:val="auto"/>
        </w:rPr>
      </w:pPr>
    </w:p>
    <w:p>
      <w:pPr>
        <w:jc w:val="center"/>
        <w:ind w:right="-299"/>
        <w:spacing w:after="0"/>
        <w:rPr>
          <w:sz w:val="20"/>
          <w:szCs w:val="20"/>
          <w:color w:val="auto"/>
        </w:rPr>
      </w:pPr>
      <w:r>
        <w:rPr>
          <w:rFonts w:ascii="Times New Roman" w:cs="Times New Roman" w:eastAsia="Times New Roman" w:hAnsi="Times New Roman"/>
          <w:sz w:val="17"/>
          <w:szCs w:val="17"/>
          <w:b w:val="1"/>
          <w:bCs w:val="1"/>
          <w:color w:val="auto"/>
        </w:rPr>
        <w:t>Exchange Act of 1934 (Amendment No.)</w:t>
      </w:r>
    </w:p>
    <w:p>
      <w:pPr>
        <w:spacing w:after="0" w:line="179"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Filed by the Registrant x</w:t>
      </w:r>
    </w:p>
    <w:p>
      <w:pPr>
        <w:spacing w:after="0" w:line="213"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Filed by a Party other than the Registrant</w:t>
      </w:r>
    </w:p>
    <w:p>
      <w:pPr>
        <w:spacing w:after="0" w:line="213"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Check the appropriate box:</w:t>
      </w:r>
    </w:p>
    <w:p>
      <w:pPr>
        <w:spacing w:after="0" w:line="213" w:lineRule="exact"/>
        <w:rPr>
          <w:sz w:val="24"/>
          <w:szCs w:val="24"/>
          <w:color w:val="auto"/>
        </w:rPr>
      </w:pPr>
    </w:p>
    <w:p>
      <w:pPr>
        <w:spacing w:after="0"/>
        <w:rPr>
          <w:sz w:val="24"/>
          <w:szCs w:val="24"/>
          <w:color w:val="auto"/>
        </w:rPr>
      </w:pPr>
      <w:r>
        <w:rPr>
          <w:rFonts w:ascii="Times New Roman" w:cs="Times New Roman" w:eastAsia="Times New Roman" w:hAnsi="Times New Roman"/>
          <w:sz w:val="17"/>
          <w:szCs w:val="17"/>
          <w:color w:val="auto"/>
        </w:rPr>
        <w:t>Preliminary Proxy Statement</w:t>
      </w:r>
    </w:p>
    <w:p>
      <w:pPr>
        <w:spacing w:after="0" w:line="26" w:lineRule="exact"/>
        <w:rPr>
          <w:sz w:val="24"/>
          <w:szCs w:val="24"/>
          <w:color w:val="auto"/>
        </w:rPr>
      </w:pPr>
    </w:p>
    <w:p>
      <w:pPr>
        <w:ind w:right="5220" w:firstLine="194"/>
        <w:spacing w:after="0" w:line="250" w:lineRule="auto"/>
        <w:rPr>
          <w:sz w:val="24"/>
          <w:szCs w:val="24"/>
          <w:color w:val="auto"/>
        </w:rPr>
      </w:pPr>
      <w:r>
        <w:rPr>
          <w:rFonts w:ascii="Times New Roman" w:cs="Times New Roman" w:eastAsia="Times New Roman" w:hAnsi="Times New Roman"/>
          <w:sz w:val="17"/>
          <w:szCs w:val="17"/>
          <w:color w:val="auto"/>
        </w:rPr>
        <w:t>Confidential, for Use of the Commission Only (as permitted by Rule 14a-6(e)(2)) x Definitive Proxy Statement</w:t>
      </w:r>
    </w:p>
    <w:p>
      <w:pPr>
        <w:spacing w:after="0" w:line="1" w:lineRule="exact"/>
        <w:rPr>
          <w:sz w:val="24"/>
          <w:szCs w:val="24"/>
          <w:color w:val="auto"/>
        </w:rPr>
      </w:pPr>
    </w:p>
    <w:p>
      <w:pPr>
        <w:spacing w:after="0"/>
        <w:rPr>
          <w:sz w:val="24"/>
          <w:szCs w:val="24"/>
          <w:color w:val="auto"/>
        </w:rPr>
      </w:pPr>
      <w:r>
        <w:rPr>
          <w:rFonts w:ascii="Times New Roman" w:cs="Times New Roman" w:eastAsia="Times New Roman" w:hAnsi="Times New Roman"/>
          <w:sz w:val="17"/>
          <w:szCs w:val="17"/>
          <w:color w:val="auto"/>
        </w:rPr>
        <w:t>Definitive Additional Materials</w:t>
      </w:r>
    </w:p>
    <w:p>
      <w:pPr>
        <w:spacing w:after="0" w:line="8" w:lineRule="exact"/>
        <w:rPr>
          <w:sz w:val="24"/>
          <w:szCs w:val="24"/>
          <w:color w:val="auto"/>
        </w:rPr>
      </w:pPr>
    </w:p>
    <w:p>
      <w:pPr>
        <w:spacing w:after="0"/>
        <w:rPr>
          <w:sz w:val="24"/>
          <w:szCs w:val="24"/>
          <w:color w:val="auto"/>
        </w:rPr>
      </w:pPr>
      <w:r>
        <w:rPr>
          <w:rFonts w:ascii="Times New Roman" w:cs="Times New Roman" w:eastAsia="Times New Roman" w:hAnsi="Times New Roman"/>
          <w:sz w:val="17"/>
          <w:szCs w:val="17"/>
          <w:color w:val="auto"/>
        </w:rPr>
        <w:t>Soliciting Material Pursuant to §240.14a-12</w:t>
      </w:r>
    </w:p>
    <w:p>
      <w:pPr>
        <w:spacing w:after="0" w:line="139" w:lineRule="exact"/>
        <w:rPr>
          <w:sz w:val="24"/>
          <w:szCs w:val="24"/>
          <w:color w:val="auto"/>
        </w:rPr>
      </w:pPr>
    </w:p>
    <w:p>
      <w:pPr>
        <w:jc w:val="center"/>
        <w:ind w:right="-299"/>
        <w:spacing w:after="0"/>
        <w:rPr>
          <w:sz w:val="20"/>
          <w:szCs w:val="20"/>
          <w:color w:val="auto"/>
        </w:rPr>
      </w:pPr>
      <w:r>
        <w:rPr>
          <w:rFonts w:ascii="Times New Roman" w:cs="Times New Roman" w:eastAsia="Times New Roman" w:hAnsi="Times New Roman"/>
          <w:sz w:val="41"/>
          <w:szCs w:val="41"/>
          <w:b w:val="1"/>
          <w:bCs w:val="1"/>
          <w:color w:val="auto"/>
        </w:rPr>
        <w:t>Essential Utilities, Inc.</w:t>
      </w:r>
    </w:p>
    <w:p>
      <w:pPr>
        <w:spacing w:after="0" w:line="181" w:lineRule="exact"/>
        <w:rPr>
          <w:sz w:val="24"/>
          <w:szCs w:val="24"/>
          <w:color w:val="auto"/>
        </w:rPr>
      </w:pPr>
    </w:p>
    <w:p>
      <w:pPr>
        <w:ind w:left="3980"/>
        <w:spacing w:after="0"/>
        <w:rPr>
          <w:sz w:val="20"/>
          <w:szCs w:val="20"/>
          <w:color w:val="auto"/>
        </w:rPr>
      </w:pPr>
      <w:r>
        <w:rPr>
          <w:rFonts w:ascii="Times New Roman" w:cs="Times New Roman" w:eastAsia="Times New Roman" w:hAnsi="Times New Roman"/>
          <w:sz w:val="17"/>
          <w:szCs w:val="17"/>
          <w:i w:val="1"/>
          <w:iCs w:val="1"/>
          <w:color w:val="auto"/>
        </w:rPr>
        <w:t>(Name of Registrant as Specified In Its Charter)</w:t>
      </w:r>
    </w:p>
    <w:p>
      <w:pPr>
        <w:spacing w:after="0" w:line="162" w:lineRule="exact"/>
        <w:rPr>
          <w:sz w:val="24"/>
          <w:szCs w:val="24"/>
          <w:color w:val="auto"/>
        </w:rPr>
      </w:pPr>
    </w:p>
    <w:p>
      <w:pPr>
        <w:ind w:left="3460"/>
        <w:spacing w:after="0"/>
        <w:rPr>
          <w:sz w:val="20"/>
          <w:szCs w:val="20"/>
          <w:color w:val="auto"/>
        </w:rPr>
      </w:pPr>
      <w:r>
        <w:rPr>
          <w:rFonts w:ascii="Times New Roman" w:cs="Times New Roman" w:eastAsia="Times New Roman" w:hAnsi="Times New Roman"/>
          <w:sz w:val="17"/>
          <w:szCs w:val="17"/>
          <w:i w:val="1"/>
          <w:iCs w:val="1"/>
          <w:color w:val="auto"/>
        </w:rPr>
        <w:t>(Name of Person(s) Filing Proxy Statement, if Other than the Registrant)</w:t>
      </w:r>
    </w:p>
    <w:p>
      <w:pPr>
        <w:spacing w:after="0" w:line="179"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Payment of Filing Fee (Check the appropriate box):</w:t>
      </w:r>
    </w:p>
    <w:p>
      <w:pPr>
        <w:spacing w:after="0" w:line="26" w:lineRule="exact"/>
        <w:rPr>
          <w:sz w:val="24"/>
          <w:szCs w:val="24"/>
          <w:color w:val="auto"/>
        </w:rPr>
      </w:pPr>
    </w:p>
    <w:p>
      <w:pPr>
        <w:ind w:left="900" w:hanging="898"/>
        <w:spacing w:after="0"/>
        <w:tabs>
          <w:tab w:leader="none" w:pos="900" w:val="left"/>
        </w:tabs>
        <w:numPr>
          <w:ilvl w:val="0"/>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 fee required.</w:t>
      </w:r>
    </w:p>
    <w:p>
      <w:pPr>
        <w:spacing w:after="0" w:line="9" w:lineRule="exact"/>
        <w:rPr>
          <w:sz w:val="24"/>
          <w:szCs w:val="24"/>
          <w:color w:val="auto"/>
        </w:rPr>
      </w:pPr>
    </w:p>
    <w:p>
      <w:pPr>
        <w:spacing w:after="0"/>
        <w:rPr>
          <w:sz w:val="24"/>
          <w:szCs w:val="24"/>
          <w:color w:val="auto"/>
        </w:rPr>
      </w:pPr>
      <w:r>
        <w:rPr>
          <w:rFonts w:ascii="Times New Roman" w:cs="Times New Roman" w:eastAsia="Times New Roman" w:hAnsi="Times New Roman"/>
          <w:sz w:val="17"/>
          <w:szCs w:val="17"/>
          <w:color w:val="auto"/>
        </w:rPr>
        <w:t>Fee computed on table below per Exchange Act Rules 14a-6(i) and 0-11.</w:t>
      </w:r>
    </w:p>
    <w:p>
      <w:pPr>
        <w:spacing w:after="0" w:line="8" w:lineRule="exact"/>
        <w:rPr>
          <w:sz w:val="24"/>
          <w:szCs w:val="24"/>
          <w:color w:val="auto"/>
        </w:rPr>
      </w:pPr>
    </w:p>
    <w:p>
      <w:pPr>
        <w:ind w:left="900" w:hanging="438"/>
        <w:spacing w:after="0"/>
        <w:tabs>
          <w:tab w:leader="none" w:pos="900" w:val="left"/>
        </w:tabs>
        <w:numPr>
          <w:ilvl w:val="1"/>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Title of each class of securities to which transaction applies:</w:t>
      </w:r>
    </w:p>
    <w:p>
      <w:pPr>
        <w:spacing w:after="0" w:line="8" w:lineRule="exact"/>
        <w:rPr>
          <w:rFonts w:ascii="Times New Roman" w:cs="Times New Roman" w:eastAsia="Times New Roman" w:hAnsi="Times New Roman"/>
          <w:sz w:val="17"/>
          <w:szCs w:val="17"/>
          <w:color w:val="auto"/>
        </w:rPr>
      </w:pPr>
    </w:p>
    <w:p>
      <w:pPr>
        <w:ind w:left="900" w:hanging="438"/>
        <w:spacing w:after="0"/>
        <w:tabs>
          <w:tab w:leader="none" w:pos="900" w:val="left"/>
        </w:tabs>
        <w:numPr>
          <w:ilvl w:val="1"/>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Aggregate number of securities to which transaction applies:</w:t>
      </w:r>
    </w:p>
    <w:p>
      <w:pPr>
        <w:spacing w:after="0" w:line="8" w:lineRule="exact"/>
        <w:rPr>
          <w:rFonts w:ascii="Times New Roman" w:cs="Times New Roman" w:eastAsia="Times New Roman" w:hAnsi="Times New Roman"/>
          <w:sz w:val="17"/>
          <w:szCs w:val="17"/>
          <w:color w:val="auto"/>
        </w:rPr>
      </w:pPr>
    </w:p>
    <w:p>
      <w:pPr>
        <w:ind w:left="900" w:hanging="438"/>
        <w:spacing w:after="0" w:line="181" w:lineRule="auto"/>
        <w:tabs>
          <w:tab w:leader="none" w:pos="900" w:val="left"/>
        </w:tabs>
        <w:numPr>
          <w:ilvl w:val="1"/>
          <w:numId w:val="3"/>
        </w:numPr>
        <w:rPr>
          <w:rFonts w:ascii="Times New Roman" w:cs="Times New Roman" w:eastAsia="Times New Roman" w:hAnsi="Times New Roman"/>
          <w:sz w:val="31"/>
          <w:szCs w:val="31"/>
          <w:color w:val="auto"/>
          <w:vertAlign w:val="subscript"/>
        </w:rPr>
      </w:pPr>
      <w:r>
        <w:rPr>
          <w:rFonts w:ascii="Times New Roman" w:cs="Times New Roman" w:eastAsia="Times New Roman" w:hAnsi="Times New Roman"/>
          <w:sz w:val="16"/>
          <w:szCs w:val="16"/>
          <w:color w:val="auto"/>
        </w:rPr>
        <w:t>Per unit price or other underlying value of transaction computed pursuant to Exchange Act Rule 0-11(set forth the amount on which the filing fee is calculated and state how it was determined).</w:t>
      </w:r>
    </w:p>
    <w:p>
      <w:pPr>
        <w:ind w:left="900" w:hanging="438"/>
        <w:spacing w:after="0"/>
        <w:tabs>
          <w:tab w:leader="none" w:pos="900" w:val="left"/>
        </w:tabs>
        <w:numPr>
          <w:ilvl w:val="1"/>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Proposed maximum aggregate value of transaction:</w:t>
      </w:r>
    </w:p>
    <w:p>
      <w:pPr>
        <w:spacing w:after="0" w:line="8" w:lineRule="exact"/>
        <w:rPr>
          <w:rFonts w:ascii="Times New Roman" w:cs="Times New Roman" w:eastAsia="Times New Roman" w:hAnsi="Times New Roman"/>
          <w:sz w:val="17"/>
          <w:szCs w:val="17"/>
          <w:color w:val="auto"/>
        </w:rPr>
      </w:pPr>
    </w:p>
    <w:p>
      <w:pPr>
        <w:ind w:left="900" w:hanging="438"/>
        <w:spacing w:after="0"/>
        <w:tabs>
          <w:tab w:leader="none" w:pos="900" w:val="left"/>
        </w:tabs>
        <w:numPr>
          <w:ilvl w:val="1"/>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Total fee paid:</w:t>
      </w:r>
    </w:p>
    <w:p>
      <w:pPr>
        <w:spacing w:after="0" w:line="8" w:lineRule="exact"/>
        <w:rPr>
          <w:rFonts w:ascii="Times New Roman" w:cs="Times New Roman" w:eastAsia="Times New Roman" w:hAnsi="Times New Roman"/>
          <w:sz w:val="17"/>
          <w:szCs w:val="17"/>
          <w:color w:val="auto"/>
        </w:rPr>
      </w:pPr>
    </w:p>
    <w:p>
      <w:pPr>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Fee paid previously with preliminary materials.</w:t>
      </w:r>
    </w:p>
    <w:p>
      <w:pPr>
        <w:spacing w:after="0" w:line="8" w:lineRule="exact"/>
        <w:rPr>
          <w:rFonts w:ascii="Times New Roman" w:cs="Times New Roman" w:eastAsia="Times New Roman" w:hAnsi="Times New Roman"/>
          <w:sz w:val="17"/>
          <w:szCs w:val="17"/>
          <w:color w:val="auto"/>
        </w:rPr>
      </w:pPr>
    </w:p>
    <w:p>
      <w:pPr>
        <w:ind w:left="90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Check box if any part of the fee is offset as provided by Exchange Act Rule 0-11(a)(2) and identify the filing for which the offsetting fee was paid</w:t>
      </w:r>
    </w:p>
    <w:p>
      <w:pPr>
        <w:spacing w:after="0" w:line="8" w:lineRule="exact"/>
        <w:rPr>
          <w:rFonts w:ascii="Times New Roman" w:cs="Times New Roman" w:eastAsia="Times New Roman" w:hAnsi="Times New Roman"/>
          <w:sz w:val="17"/>
          <w:szCs w:val="17"/>
          <w:color w:val="auto"/>
        </w:rPr>
      </w:pPr>
    </w:p>
    <w:p>
      <w:pPr>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previously. Identify the previous filing by registration number, or on the Form or Schedule and the date of its filing.</w:t>
      </w:r>
    </w:p>
    <w:p>
      <w:pPr>
        <w:spacing w:after="0" w:line="9" w:lineRule="exact"/>
        <w:rPr>
          <w:rFonts w:ascii="Times New Roman" w:cs="Times New Roman" w:eastAsia="Times New Roman" w:hAnsi="Times New Roman"/>
          <w:sz w:val="17"/>
          <w:szCs w:val="17"/>
          <w:color w:val="auto"/>
        </w:rPr>
      </w:pPr>
    </w:p>
    <w:p>
      <w:pPr>
        <w:ind w:left="900" w:hanging="438"/>
        <w:spacing w:after="0"/>
        <w:tabs>
          <w:tab w:leader="none" w:pos="900" w:val="left"/>
        </w:tabs>
        <w:numPr>
          <w:ilvl w:val="1"/>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Amount previously paid:</w:t>
      </w:r>
    </w:p>
    <w:p>
      <w:pPr>
        <w:spacing w:after="0" w:line="8" w:lineRule="exact"/>
        <w:rPr>
          <w:rFonts w:ascii="Times New Roman" w:cs="Times New Roman" w:eastAsia="Times New Roman" w:hAnsi="Times New Roman"/>
          <w:sz w:val="17"/>
          <w:szCs w:val="17"/>
          <w:color w:val="auto"/>
        </w:rPr>
      </w:pPr>
    </w:p>
    <w:p>
      <w:pPr>
        <w:ind w:left="900" w:hanging="438"/>
        <w:spacing w:after="0"/>
        <w:tabs>
          <w:tab w:leader="none" w:pos="900" w:val="left"/>
        </w:tabs>
        <w:numPr>
          <w:ilvl w:val="1"/>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Form, Schedule or Registration Statement No.:</w:t>
      </w:r>
    </w:p>
    <w:p>
      <w:pPr>
        <w:spacing w:after="0" w:line="8" w:lineRule="exact"/>
        <w:rPr>
          <w:rFonts w:ascii="Times New Roman" w:cs="Times New Roman" w:eastAsia="Times New Roman" w:hAnsi="Times New Roman"/>
          <w:sz w:val="17"/>
          <w:szCs w:val="17"/>
          <w:color w:val="auto"/>
        </w:rPr>
      </w:pPr>
    </w:p>
    <w:p>
      <w:pPr>
        <w:ind w:left="900" w:hanging="438"/>
        <w:spacing w:after="0"/>
        <w:tabs>
          <w:tab w:leader="none" w:pos="900" w:val="left"/>
        </w:tabs>
        <w:numPr>
          <w:ilvl w:val="1"/>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Filing Party:</w:t>
      </w:r>
    </w:p>
    <w:p>
      <w:pPr>
        <w:spacing w:after="0" w:line="8" w:lineRule="exact"/>
        <w:rPr>
          <w:rFonts w:ascii="Times New Roman" w:cs="Times New Roman" w:eastAsia="Times New Roman" w:hAnsi="Times New Roman"/>
          <w:sz w:val="17"/>
          <w:szCs w:val="17"/>
          <w:color w:val="auto"/>
        </w:rPr>
      </w:pPr>
    </w:p>
    <w:p>
      <w:pPr>
        <w:ind w:left="900" w:hanging="438"/>
        <w:spacing w:after="0"/>
        <w:tabs>
          <w:tab w:leader="none" w:pos="900" w:val="left"/>
        </w:tabs>
        <w:numPr>
          <w:ilvl w:val="1"/>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1270</wp:posOffset>
            </wp:positionH>
            <wp:positionV relativeFrom="paragraph">
              <wp:posOffset>361315</wp:posOffset>
            </wp:positionV>
            <wp:extent cx="7139940" cy="2413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9940" cy="24130"/>
                    </a:xfrm>
                    <a:prstGeom prst="rect">
                      <a:avLst/>
                    </a:prstGeom>
                    <a:noFill/>
                  </pic:spPr>
                </pic:pic>
              </a:graphicData>
            </a:graphic>
          </wp:anchor>
        </w:drawing>
      </w:r>
    </w:p>
    <w:p>
      <w:pPr>
        <w:sectPr>
          <w:pgSz w:w="11900" w:h="16838" w:orient="portrait"/>
          <w:cols w:equalWidth="0" w:num="1">
            <w:col w:w="10960"/>
          </w:cols>
          <w:pgMar w:left="320" w:top="444" w:right="619" w:bottom="1440" w:gutter="0" w:footer="0" w:header="0"/>
        </w:sectPr>
      </w:pPr>
    </w:p>
    <w:bookmarkStart w:id="1" w:name="page2"/>
    <w:bookmarkEnd w:id="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204470</wp:posOffset>
            </wp:positionH>
            <wp:positionV relativeFrom="page">
              <wp:posOffset>510540</wp:posOffset>
            </wp:positionV>
            <wp:extent cx="7139940" cy="770699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9940" cy="7706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204470</wp:posOffset>
            </wp:positionH>
            <wp:positionV relativeFrom="page">
              <wp:posOffset>8355330</wp:posOffset>
            </wp:positionV>
            <wp:extent cx="7139940" cy="2413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9940" cy="241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 w:name="page4"/>
    <w:bookmarkEnd w:id="3"/>
    <w:p>
      <w:pPr>
        <w:spacing w:after="0" w:line="44" w:lineRule="exact"/>
        <w:rPr>
          <w:sz w:val="20"/>
          <w:szCs w:val="20"/>
          <w:color w:val="auto"/>
        </w:rPr>
      </w:pPr>
    </w:p>
    <w:p>
      <w:pPr>
        <w:spacing w:after="0"/>
        <w:rPr>
          <w:sz w:val="20"/>
          <w:szCs w:val="20"/>
          <w:color w:val="auto"/>
        </w:rPr>
      </w:pPr>
      <w:r>
        <w:rPr>
          <w:rFonts w:ascii="Arial" w:cs="Arial" w:eastAsia="Arial" w:hAnsi="Arial"/>
          <w:sz w:val="14"/>
          <w:szCs w:val="14"/>
          <w:color w:val="auto"/>
        </w:rPr>
        <w:t>March 22, 2021</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47"/>
          <w:szCs w:val="47"/>
          <w:b w:val="1"/>
          <w:bCs w:val="1"/>
          <w:color w:val="455986"/>
        </w:rPr>
        <w:t>To Our Shareholders</w:t>
      </w:r>
    </w:p>
    <w:p>
      <w:pPr>
        <w:spacing w:after="0" w:line="200" w:lineRule="exact"/>
        <w:rPr>
          <w:sz w:val="20"/>
          <w:szCs w:val="20"/>
          <w:color w:val="auto"/>
        </w:rPr>
      </w:pPr>
    </w:p>
    <w:p>
      <w:pPr>
        <w:sectPr>
          <w:pgSz w:w="11900" w:h="16838" w:orient="portrait"/>
          <w:cols w:equalWidth="0" w:num="2">
            <w:col w:w="2880" w:space="720"/>
            <w:col w:w="7640"/>
          </w:cols>
          <w:pgMar w:left="320" w:top="58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Arial" w:cs="Arial" w:eastAsia="Arial" w:hAnsi="Arial"/>
          <w:sz w:val="14"/>
          <w:szCs w:val="14"/>
          <w:color w:val="455986"/>
        </w:rPr>
        <w:t>Christopher H. Franklin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-1350645</wp:posOffset>
            </wp:positionV>
            <wp:extent cx="1029335" cy="11995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029335" cy="1199515"/>
                    </a:xfrm>
                    <a:prstGeom prst="rect">
                      <a:avLst/>
                    </a:prstGeom>
                    <a:noFill/>
                  </pic:spPr>
                </pic:pic>
              </a:graphicData>
            </a:graphic>
          </wp:anchor>
        </w:drawing>
      </w:r>
    </w:p>
    <w:p>
      <w:pPr>
        <w:spacing w:after="0" w:line="152" w:lineRule="exact"/>
        <w:rPr>
          <w:sz w:val="20"/>
          <w:szCs w:val="20"/>
          <w:color w:val="auto"/>
        </w:rPr>
      </w:pPr>
    </w:p>
    <w:p>
      <w:pPr>
        <w:spacing w:after="0" w:line="242" w:lineRule="auto"/>
        <w:rPr>
          <w:sz w:val="20"/>
          <w:szCs w:val="20"/>
          <w:color w:val="auto"/>
        </w:rPr>
      </w:pPr>
      <w:r>
        <w:rPr>
          <w:rFonts w:ascii="Arial" w:cs="Arial" w:eastAsia="Arial" w:hAnsi="Arial"/>
          <w:sz w:val="17"/>
          <w:szCs w:val="17"/>
          <w:color w:val="455986"/>
        </w:rPr>
        <w:t>For 135 years, it has been our mission to be the best possible provider of essential resources by serving the needs and expectations of our customers, shareholders, employees and the communities we serve — both today and for future generations.</w:t>
      </w:r>
    </w:p>
    <w:p>
      <w:pPr>
        <w:spacing w:after="0" w:line="20" w:lineRule="exact"/>
        <w:rPr>
          <w:sz w:val="20"/>
          <w:szCs w:val="20"/>
          <w:color w:val="auto"/>
        </w:rPr>
      </w:pPr>
      <w:r>
        <w:rPr>
          <w:sz w:val="20"/>
          <w:szCs w:val="20"/>
          <w:color w:val="auto"/>
        </w:rPr>
        <w:br w:type="column"/>
      </w:r>
    </w:p>
    <w:p>
      <w:pPr>
        <w:spacing w:after="0" w:line="27" w:lineRule="exact"/>
        <w:rPr>
          <w:sz w:val="20"/>
          <w:szCs w:val="20"/>
          <w:color w:val="auto"/>
        </w:rPr>
      </w:pPr>
    </w:p>
    <w:p>
      <w:pPr>
        <w:ind w:right="560"/>
        <w:spacing w:after="0" w:line="296" w:lineRule="auto"/>
        <w:rPr>
          <w:sz w:val="20"/>
          <w:szCs w:val="20"/>
          <w:color w:val="auto"/>
        </w:rPr>
      </w:pPr>
      <w:r>
        <w:rPr>
          <w:rFonts w:ascii="Arial" w:cs="Arial" w:eastAsia="Arial" w:hAnsi="Arial"/>
          <w:sz w:val="15"/>
          <w:szCs w:val="15"/>
          <w:color w:val="231F20"/>
        </w:rPr>
        <w:t>On behalf of your Board of Directors, I am pleased to invite you to attend the 2021 Annual Meeting of the Shareholders of Essential Utilities, Inc. to be held virtually on Wednesday, May 5, 2021.</w:t>
      </w:r>
    </w:p>
    <w:p>
      <w:pPr>
        <w:spacing w:after="0" w:line="123" w:lineRule="exact"/>
        <w:rPr>
          <w:sz w:val="20"/>
          <w:szCs w:val="20"/>
          <w:color w:val="auto"/>
        </w:rPr>
      </w:pPr>
    </w:p>
    <w:p>
      <w:pPr>
        <w:ind w:right="60"/>
        <w:spacing w:after="0" w:line="258" w:lineRule="auto"/>
        <w:rPr>
          <w:sz w:val="20"/>
          <w:szCs w:val="20"/>
          <w:color w:val="auto"/>
        </w:rPr>
      </w:pPr>
      <w:r>
        <w:rPr>
          <w:rFonts w:ascii="Arial" w:cs="Arial" w:eastAsia="Arial" w:hAnsi="Arial"/>
          <w:sz w:val="15"/>
          <w:szCs w:val="15"/>
          <w:color w:val="231F20"/>
        </w:rPr>
        <w:t>I’m sure you will agree that 2020 was a transformative year for the company, as well as the country. Just as the COVID-19 pandemic began to sweep the U.S. and the country started to shut down and begin social distancing, Essential completed our momentous acquisition of Peoples Natural Gas. Despite the challenges of the pandemic, I am pleased to report that the new combined company performed admirably, and we continued providing a high-level of service to more than 5 million people and invested nearly $900 million in new infrastructure.</w:t>
      </w:r>
    </w:p>
    <w:p>
      <w:pPr>
        <w:spacing w:after="0" w:line="336" w:lineRule="exact"/>
        <w:rPr>
          <w:sz w:val="20"/>
          <w:szCs w:val="20"/>
          <w:color w:val="auto"/>
        </w:rPr>
      </w:pPr>
    </w:p>
    <w:p>
      <w:pPr>
        <w:ind w:right="60"/>
        <w:spacing w:after="0" w:line="260" w:lineRule="auto"/>
        <w:rPr>
          <w:sz w:val="20"/>
          <w:szCs w:val="20"/>
          <w:color w:val="auto"/>
        </w:rPr>
      </w:pPr>
      <w:r>
        <w:rPr>
          <w:rFonts w:ascii="Arial" w:cs="Arial" w:eastAsia="Arial" w:hAnsi="Arial"/>
          <w:sz w:val="15"/>
          <w:szCs w:val="15"/>
          <w:color w:val="231F20"/>
        </w:rPr>
        <w:t>Our first priorities during the pandemic were to ensure the health and safety of our employees, and to continue delivering utility services to our customers. Essential activated a work from home model in mid-March. For those who needed to be physically present on job sites, we provided personal protective equipment (PPE), adjusted our operations to limit employee and customer interactions and increased cleaning and sanitation practices in our open facilities.</w:t>
      </w:r>
    </w:p>
    <w:p>
      <w:pPr>
        <w:spacing w:after="0" w:line="151" w:lineRule="exact"/>
        <w:rPr>
          <w:sz w:val="20"/>
          <w:szCs w:val="20"/>
          <w:color w:val="auto"/>
        </w:rPr>
      </w:pPr>
    </w:p>
    <w:p>
      <w:pPr>
        <w:ind w:right="80"/>
        <w:spacing w:after="0" w:line="260" w:lineRule="auto"/>
        <w:rPr>
          <w:sz w:val="20"/>
          <w:szCs w:val="20"/>
          <w:color w:val="auto"/>
        </w:rPr>
      </w:pPr>
      <w:r>
        <w:rPr>
          <w:rFonts w:ascii="Arial" w:cs="Arial" w:eastAsia="Arial" w:hAnsi="Arial"/>
          <w:sz w:val="15"/>
          <w:szCs w:val="15"/>
          <w:color w:val="231F20"/>
        </w:rPr>
        <w:t>As a vital partner in the communities we serve, we could not sit idly by while so many of our neighbors suffered. In April, we donated $290,000 to food banks in each of the 10 states we serve customers, ensuring the donations were felt on a local level. Understanding how the pandemic financially impacted our customers, we expanded our low-income assistance programs to help customers continue to receive our services. Through the Essential Foundation we were able to provide over $4 million of assistance to the communities we serve.</w:t>
      </w:r>
    </w:p>
    <w:p>
      <w:pPr>
        <w:spacing w:after="0" w:line="163" w:lineRule="exact"/>
        <w:rPr>
          <w:sz w:val="20"/>
          <w:szCs w:val="20"/>
          <w:color w:val="auto"/>
        </w:rPr>
      </w:pPr>
    </w:p>
    <w:p>
      <w:pPr>
        <w:ind w:right="140"/>
        <w:spacing w:after="0" w:line="260" w:lineRule="auto"/>
        <w:rPr>
          <w:sz w:val="20"/>
          <w:szCs w:val="20"/>
          <w:color w:val="auto"/>
        </w:rPr>
      </w:pPr>
      <w:r>
        <w:rPr>
          <w:rFonts w:ascii="Arial" w:cs="Arial" w:eastAsia="Arial" w:hAnsi="Arial"/>
          <w:sz w:val="15"/>
          <w:szCs w:val="15"/>
          <w:color w:val="231F20"/>
        </w:rPr>
        <w:t>While addressing safety and continuous services was a priority during COVID-19, Essential continued to grow. With the acquisition of Peoples, we welcomed 740,000 customers and more than 1,500 employees in Pennsylvania, West Virginia and Kentucky. We also closed six water and wastewater system acquisitions in Ohio, North Carolina, Pennsylvania and Illinois. These acquisitions totaled nearly 4,000 water customers, more than 8,000 wastewater customers and an opening rate base of nearly $63 million.</w:t>
      </w:r>
    </w:p>
    <w:p>
      <w:pPr>
        <w:spacing w:after="0" w:line="163" w:lineRule="exact"/>
        <w:rPr>
          <w:sz w:val="20"/>
          <w:szCs w:val="20"/>
          <w:color w:val="auto"/>
        </w:rPr>
      </w:pPr>
    </w:p>
    <w:p>
      <w:pPr>
        <w:spacing w:after="0" w:line="268" w:lineRule="auto"/>
        <w:rPr>
          <w:sz w:val="20"/>
          <w:szCs w:val="20"/>
          <w:color w:val="auto"/>
        </w:rPr>
      </w:pPr>
      <w:r>
        <w:rPr>
          <w:rFonts w:ascii="Arial" w:cs="Arial" w:eastAsia="Arial" w:hAnsi="Arial"/>
          <w:sz w:val="15"/>
          <w:szCs w:val="15"/>
          <w:b w:val="1"/>
          <w:bCs w:val="1"/>
          <w:color w:val="231F20"/>
        </w:rPr>
        <w:t>Essential is committed to being responsible stewards of our environment, maintaining a safe, diverse, and respectful culture, and overseeing the governance of Essential with the utmost transparency. To that purpose, we have added a Diversity metric to our 2021 Short-term Incentive Plan to tie executive compensation to our diversity goals.</w:t>
      </w:r>
    </w:p>
    <w:p>
      <w:pPr>
        <w:spacing w:after="0" w:line="136" w:lineRule="exact"/>
        <w:rPr>
          <w:sz w:val="20"/>
          <w:szCs w:val="20"/>
          <w:color w:val="auto"/>
        </w:rPr>
      </w:pPr>
    </w:p>
    <w:p>
      <w:pPr>
        <w:spacing w:after="0" w:line="256" w:lineRule="auto"/>
        <w:rPr>
          <w:sz w:val="20"/>
          <w:szCs w:val="20"/>
          <w:color w:val="auto"/>
        </w:rPr>
      </w:pPr>
      <w:r>
        <w:rPr>
          <w:rFonts w:ascii="Arial" w:cs="Arial" w:eastAsia="Arial" w:hAnsi="Arial"/>
          <w:sz w:val="15"/>
          <w:szCs w:val="15"/>
          <w:color w:val="231F20"/>
        </w:rPr>
        <w:t>In the Fall of 2020, we expanded our formal Environmental, Social and Governance (ESG) reporting. Our ESG report, which can be found at www.ESG.Essential.co, details our progress on our goals, including our intention to use 100% renewable energy to power water and wastewater operations in four states by 2022, and our company-wide PFAS standard of 13 ppt in drinking water. By 2035, our goal is to reduce our emissions by 60% from our 2019 baseline. We also amplified our diversity, equity, and inclusion efforts by formalizing our commitments in a multi-year plan to nearly double our diverse supplier spend to 15% of our spend and increase employee diversity by 20% in the coming years, reflecting the diversity of the communities in which we work.</w:t>
      </w:r>
    </w:p>
    <w:p>
      <w:pPr>
        <w:spacing w:after="0" w:line="154" w:lineRule="exact"/>
        <w:rPr>
          <w:sz w:val="20"/>
          <w:szCs w:val="20"/>
          <w:color w:val="auto"/>
        </w:rPr>
      </w:pPr>
    </w:p>
    <w:p>
      <w:pPr>
        <w:spacing w:after="0"/>
        <w:rPr>
          <w:sz w:val="20"/>
          <w:szCs w:val="20"/>
          <w:color w:val="auto"/>
        </w:rPr>
      </w:pPr>
      <w:r>
        <w:rPr>
          <w:rFonts w:ascii="Arial" w:cs="Arial" w:eastAsia="Arial" w:hAnsi="Arial"/>
          <w:sz w:val="15"/>
          <w:szCs w:val="15"/>
          <w:color w:val="231F20"/>
        </w:rPr>
        <w:t>I am proud of the work we accomplished during such a challenging year. In 2021 we will proudly celebrate the</w:t>
      </w:r>
    </w:p>
    <w:p>
      <w:pPr>
        <w:spacing w:after="0" w:line="24" w:lineRule="exact"/>
        <w:rPr>
          <w:sz w:val="20"/>
          <w:szCs w:val="20"/>
          <w:color w:val="auto"/>
        </w:rPr>
      </w:pPr>
    </w:p>
    <w:p>
      <w:pPr>
        <w:ind w:right="140"/>
        <w:spacing w:after="0" w:line="211" w:lineRule="auto"/>
        <w:rPr>
          <w:sz w:val="20"/>
          <w:szCs w:val="20"/>
          <w:color w:val="auto"/>
        </w:rPr>
      </w:pPr>
      <w:r>
        <w:rPr>
          <w:rFonts w:ascii="Arial" w:cs="Arial" w:eastAsia="Arial" w:hAnsi="Arial"/>
          <w:sz w:val="15"/>
          <w:szCs w:val="15"/>
          <w:color w:val="231F20"/>
        </w:rPr>
        <w:t>135</w:t>
      </w:r>
      <w:r>
        <w:rPr>
          <w:rFonts w:ascii="Arial" w:cs="Arial" w:eastAsia="Arial" w:hAnsi="Arial"/>
          <w:sz w:val="25"/>
          <w:szCs w:val="25"/>
          <w:color w:val="231F20"/>
          <w:vertAlign w:val="superscript"/>
        </w:rPr>
        <w:t>th</w:t>
      </w:r>
      <w:r>
        <w:rPr>
          <w:rFonts w:ascii="Arial" w:cs="Arial" w:eastAsia="Arial" w:hAnsi="Arial"/>
          <w:sz w:val="15"/>
          <w:szCs w:val="15"/>
          <w:color w:val="231F20"/>
        </w:rPr>
        <w:t xml:space="preserve"> anniversary of our company and we look forward to all we can accomplish during the next 135 years. We hope you’ll join us to hear more about Essential’s bright future on May 5th.</w:t>
      </w:r>
    </w:p>
    <w:p>
      <w:pPr>
        <w:spacing w:after="0" w:line="127" w:lineRule="exact"/>
        <w:rPr>
          <w:sz w:val="20"/>
          <w:szCs w:val="20"/>
          <w:color w:val="auto"/>
        </w:rPr>
      </w:pPr>
    </w:p>
    <w:p>
      <w:pPr>
        <w:spacing w:after="0"/>
        <w:rPr>
          <w:sz w:val="20"/>
          <w:szCs w:val="20"/>
          <w:color w:val="auto"/>
        </w:rPr>
      </w:pPr>
      <w:r>
        <w:rPr>
          <w:rFonts w:ascii="Arial" w:cs="Arial" w:eastAsia="Arial" w:hAnsi="Arial"/>
          <w:sz w:val="15"/>
          <w:szCs w:val="15"/>
          <w:color w:val="231F20"/>
        </w:rPr>
        <w:t>Thank you for your confidence in Essential!</w:t>
      </w:r>
    </w:p>
    <w:p>
      <w:pPr>
        <w:spacing w:after="0" w:line="198" w:lineRule="exact"/>
        <w:rPr>
          <w:sz w:val="20"/>
          <w:szCs w:val="20"/>
          <w:color w:val="auto"/>
        </w:rPr>
      </w:pPr>
    </w:p>
    <w:p>
      <w:pPr>
        <w:spacing w:after="0"/>
        <w:rPr>
          <w:sz w:val="20"/>
          <w:szCs w:val="20"/>
          <w:color w:val="auto"/>
        </w:rPr>
      </w:pPr>
      <w:r>
        <w:rPr>
          <w:rFonts w:ascii="Arial" w:cs="Arial" w:eastAsia="Arial" w:hAnsi="Arial"/>
          <w:sz w:val="15"/>
          <w:szCs w:val="15"/>
          <w:color w:val="231F20"/>
        </w:rPr>
        <w:t>Sincerely,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128905</wp:posOffset>
            </wp:positionV>
            <wp:extent cx="1102360" cy="3321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102360" cy="3321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Arial" w:cs="Arial" w:eastAsia="Arial" w:hAnsi="Arial"/>
          <w:sz w:val="15"/>
          <w:szCs w:val="15"/>
          <w:b w:val="1"/>
          <w:bCs w:val="1"/>
          <w:color w:val="455986"/>
        </w:rPr>
        <w:t>Christopher H. Franklin</w:t>
      </w:r>
    </w:p>
    <w:p>
      <w:pPr>
        <w:spacing w:after="0" w:line="26" w:lineRule="exact"/>
        <w:rPr>
          <w:sz w:val="20"/>
          <w:szCs w:val="20"/>
          <w:color w:val="auto"/>
        </w:rPr>
      </w:pPr>
    </w:p>
    <w:p>
      <w:pPr>
        <w:spacing w:after="0"/>
        <w:rPr>
          <w:sz w:val="20"/>
          <w:szCs w:val="20"/>
          <w:color w:val="auto"/>
        </w:rPr>
      </w:pPr>
      <w:r>
        <w:rPr>
          <w:rFonts w:ascii="Arial" w:cs="Arial" w:eastAsia="Arial" w:hAnsi="Arial"/>
          <w:sz w:val="15"/>
          <w:szCs w:val="15"/>
          <w:color w:val="455986"/>
        </w:rPr>
        <w:t>Chairman, President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-2284095</wp:posOffset>
            </wp:positionH>
            <wp:positionV relativeFrom="paragraph">
              <wp:posOffset>124460</wp:posOffset>
            </wp:positionV>
            <wp:extent cx="713994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9940"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320" w:space="280"/>
            <w:col w:w="7640"/>
          </w:cols>
          <w:pgMar w:left="320" w:top="585" w:right="339" w:bottom="1440" w:gutter="0" w:footer="0" w:header="0"/>
          <w:type w:val="continuous"/>
        </w:sectPr>
      </w:pPr>
    </w:p>
    <w:p>
      <w:pPr>
        <w:spacing w:after="0" w:line="41" w:lineRule="exact"/>
        <w:rPr>
          <w:sz w:val="20"/>
          <w:szCs w:val="20"/>
          <w:color w:val="auto"/>
        </w:rPr>
      </w:pPr>
    </w:p>
    <w:p>
      <w:pPr>
        <w:ind w:left="8040"/>
        <w:spacing w:after="0"/>
        <w:tabs>
          <w:tab w:leader="none" w:pos="11140" w:val="left"/>
        </w:tabs>
        <w:rPr>
          <w:sz w:val="20"/>
          <w:szCs w:val="20"/>
          <w:color w:val="auto"/>
        </w:rPr>
      </w:pPr>
      <w:r>
        <w:rPr>
          <w:rFonts w:ascii="Arial" w:cs="Arial" w:eastAsia="Arial" w:hAnsi="Arial"/>
          <w:sz w:val="12"/>
          <w:szCs w:val="12"/>
          <w:color w:val="4395D4"/>
        </w:rPr>
        <w:t xml:space="preserve">ESSENTIAL UTILITIES, INC. </w:t>
      </w:r>
      <w:r>
        <w:rPr>
          <w:rFonts w:ascii="Arial" w:cs="Arial" w:eastAsia="Arial" w:hAnsi="Arial"/>
          <w:sz w:val="12"/>
          <w:szCs w:val="12"/>
          <w:color w:val="455986"/>
        </w:rPr>
        <w:t>2021 PROXY STATEMENT</w:t>
      </w:r>
      <w:r>
        <w:rPr>
          <w:sz w:val="20"/>
          <w:szCs w:val="20"/>
          <w:color w:val="auto"/>
        </w:rPr>
        <w:tab/>
      </w:r>
      <w:r>
        <w:rPr>
          <w:rFonts w:ascii="Arial" w:cs="Arial" w:eastAsia="Arial" w:hAnsi="Arial"/>
          <w:sz w:val="14"/>
          <w:szCs w:val="14"/>
          <w:color w:val="455986"/>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346710</wp:posOffset>
            </wp:positionV>
            <wp:extent cx="7139940" cy="2413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9940" cy="24130"/>
                    </a:xfrm>
                    <a:prstGeom prst="rect">
                      <a:avLst/>
                    </a:prstGeom>
                    <a:noFill/>
                  </pic:spPr>
                </pic:pic>
              </a:graphicData>
            </a:graphic>
          </wp:anchor>
        </w:drawing>
      </w:r>
    </w:p>
    <w:p>
      <w:pPr>
        <w:sectPr>
          <w:pgSz w:w="11900" w:h="16838" w:orient="portrait"/>
          <w:cols w:equalWidth="0" w:num="1">
            <w:col w:w="11240"/>
          </w:cols>
          <w:pgMar w:left="320" w:top="585" w:right="339" w:bottom="1440" w:gutter="0" w:footer="0" w:header="0"/>
          <w:type w:val="continuous"/>
        </w:sectPr>
      </w:pPr>
    </w:p>
    <w:bookmarkStart w:id="4" w:name="page5"/>
    <w:bookmarkEnd w:id="4"/>
    <w:p>
      <w:pPr>
        <w:spacing w:after="0"/>
        <w:rPr>
          <w:sz w:val="20"/>
          <w:szCs w:val="20"/>
          <w:color w:val="auto"/>
        </w:rPr>
      </w:pPr>
      <w:r>
        <w:rPr>
          <w:rFonts w:ascii="Arial" w:cs="Arial" w:eastAsia="Arial" w:hAnsi="Arial"/>
          <w:sz w:val="48"/>
          <w:szCs w:val="48"/>
          <w:b w:val="1"/>
          <w:bCs w:val="1"/>
          <w:color w:val="455986"/>
        </w:rPr>
        <w:t>Notice of Annual Meeting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5715000</wp:posOffset>
            </wp:positionH>
            <wp:positionV relativeFrom="paragraph">
              <wp:posOffset>-308610</wp:posOffset>
            </wp:positionV>
            <wp:extent cx="1231900" cy="40513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31900" cy="405130"/>
                    </a:xfrm>
                    <a:prstGeom prst="rect">
                      <a:avLst/>
                    </a:prstGeom>
                    <a:noFill/>
                  </pic:spPr>
                </pic:pic>
              </a:graphicData>
            </a:graphic>
          </wp:anchor>
        </w:drawing>
      </w:r>
    </w:p>
    <w:p>
      <w:pPr>
        <w:spacing w:after="0" w:line="183" w:lineRule="auto"/>
        <w:tabs>
          <w:tab w:leader="none" w:pos="8980" w:val="left"/>
        </w:tabs>
        <w:rPr>
          <w:sz w:val="20"/>
          <w:szCs w:val="20"/>
          <w:color w:val="auto"/>
        </w:rPr>
      </w:pPr>
      <w:r>
        <w:rPr>
          <w:rFonts w:ascii="Arial" w:cs="Arial" w:eastAsia="Arial" w:hAnsi="Arial"/>
          <w:sz w:val="30"/>
          <w:szCs w:val="30"/>
          <w:b w:val="1"/>
          <w:bCs w:val="1"/>
          <w:color w:val="455986"/>
        </w:rPr>
        <w:t>Shareholders</w:t>
      </w:r>
      <w:r>
        <w:rPr>
          <w:sz w:val="20"/>
          <w:szCs w:val="20"/>
          <w:color w:val="auto"/>
        </w:rPr>
        <w:tab/>
      </w:r>
      <w:r>
        <w:rPr>
          <w:rFonts w:ascii="Arial" w:cs="Arial" w:eastAsia="Arial" w:hAnsi="Arial"/>
          <w:sz w:val="12"/>
          <w:szCs w:val="12"/>
          <w:color w:val="231F20"/>
        </w:rPr>
        <w:t>Essential Utilities, Inc.</w:t>
      </w:r>
    </w:p>
    <w:p>
      <w:pPr>
        <w:spacing w:after="0" w:line="248" w:lineRule="exact"/>
        <w:rPr>
          <w:sz w:val="20"/>
          <w:szCs w:val="20"/>
          <w:color w:val="auto"/>
        </w:rPr>
      </w:pPr>
    </w:p>
    <w:p>
      <w:pPr>
        <w:ind w:left="9000"/>
        <w:spacing w:after="0"/>
        <w:rPr>
          <w:sz w:val="20"/>
          <w:szCs w:val="20"/>
          <w:color w:val="auto"/>
        </w:rPr>
      </w:pPr>
      <w:r>
        <w:rPr>
          <w:rFonts w:ascii="Arial" w:cs="Arial" w:eastAsia="Arial" w:hAnsi="Arial"/>
          <w:sz w:val="15"/>
          <w:szCs w:val="15"/>
          <w:color w:val="231F20"/>
        </w:rPr>
        <w:t>762 W. Lancaster Avenue</w:t>
      </w:r>
    </w:p>
    <w:p>
      <w:pPr>
        <w:spacing w:after="0" w:line="6" w:lineRule="exact"/>
        <w:rPr>
          <w:sz w:val="20"/>
          <w:szCs w:val="20"/>
          <w:color w:val="auto"/>
        </w:rPr>
      </w:pPr>
    </w:p>
    <w:p>
      <w:pPr>
        <w:ind w:left="9000"/>
        <w:spacing w:after="0"/>
        <w:rPr>
          <w:sz w:val="20"/>
          <w:szCs w:val="20"/>
          <w:color w:val="auto"/>
        </w:rPr>
      </w:pPr>
      <w:r>
        <w:rPr>
          <w:rFonts w:ascii="Arial" w:cs="Arial" w:eastAsia="Arial" w:hAnsi="Arial"/>
          <w:sz w:val="15"/>
          <w:szCs w:val="15"/>
          <w:color w:val="231F20"/>
        </w:rPr>
        <w:t>Bryn Mawr, Pennsylvania 19010</w:t>
      </w:r>
    </w:p>
    <w:p>
      <w:pPr>
        <w:spacing w:after="0" w:line="200" w:lineRule="exact"/>
        <w:rPr>
          <w:sz w:val="20"/>
          <w:szCs w:val="20"/>
          <w:color w:val="auto"/>
        </w:rPr>
      </w:pPr>
    </w:p>
    <w:tbl>
      <w:tblPr>
        <w:tblLayout w:type="fixed"/>
        <w:tblInd w:w="80" w:type="dxa"/>
        <w:tblCellMar>
          <w:top w:w="0" w:type="dxa"/>
          <w:left w:w="0" w:type="dxa"/>
          <w:bottom w:w="0" w:type="dxa"/>
          <w:right w:w="0" w:type="dxa"/>
        </w:tblCellMar>
      </w:tblPr>
      <w:tr>
        <w:trPr>
          <w:trHeight w:val="292"/>
        </w:trPr>
        <w:tc>
          <w:tcPr>
            <w:tcW w:w="3660" w:type="dxa"/>
            <w:vAlign w:val="bottom"/>
          </w:tcPr>
          <w:p>
            <w:pPr>
              <w:spacing w:after="0"/>
              <w:rPr>
                <w:sz w:val="20"/>
                <w:szCs w:val="20"/>
                <w:color w:val="auto"/>
              </w:rPr>
            </w:pPr>
            <w:r>
              <w:rPr>
                <w:rFonts w:ascii="Arial" w:cs="Arial" w:eastAsia="Arial" w:hAnsi="Arial"/>
                <w:sz w:val="14"/>
                <w:szCs w:val="14"/>
                <w:b w:val="1"/>
                <w:bCs w:val="1"/>
                <w:color w:val="455986"/>
              </w:rPr>
              <w:t>Virtual Annual Meeting of Shareholders</w:t>
            </w:r>
          </w:p>
        </w:tc>
        <w:tc>
          <w:tcPr>
            <w:tcW w:w="7480" w:type="dxa"/>
            <w:vAlign w:val="bottom"/>
            <w:gridSpan w:val="2"/>
          </w:tcPr>
          <w:p>
            <w:pPr>
              <w:ind w:left="320"/>
              <w:spacing w:after="0"/>
              <w:rPr>
                <w:sz w:val="20"/>
                <w:szCs w:val="20"/>
                <w:color w:val="auto"/>
              </w:rPr>
            </w:pPr>
            <w:r>
              <w:rPr>
                <w:rFonts w:ascii="Arial" w:cs="Arial" w:eastAsia="Arial" w:hAnsi="Arial"/>
                <w:sz w:val="20"/>
                <w:szCs w:val="20"/>
                <w:b w:val="1"/>
                <w:bCs w:val="1"/>
                <w:color w:val="231F20"/>
              </w:rPr>
              <w:t>Purpose</w:t>
            </w:r>
          </w:p>
        </w:tc>
        <w:tc>
          <w:tcPr>
            <w:tcW w:w="0" w:type="dxa"/>
            <w:vAlign w:val="bottom"/>
          </w:tcPr>
          <w:p>
            <w:pPr>
              <w:spacing w:after="0"/>
              <w:rPr>
                <w:sz w:val="1"/>
                <w:szCs w:val="1"/>
                <w:color w:val="auto"/>
              </w:rPr>
            </w:pPr>
          </w:p>
        </w:tc>
      </w:tr>
      <w:tr>
        <w:trPr>
          <w:trHeight w:val="221"/>
        </w:trPr>
        <w:tc>
          <w:tcPr>
            <w:tcW w:w="3660" w:type="dxa"/>
            <w:vAlign w:val="bottom"/>
            <w:vMerge w:val="restart"/>
          </w:tcPr>
          <w:p>
            <w:pPr>
              <w:spacing w:after="0"/>
              <w:rPr>
                <w:sz w:val="20"/>
                <w:szCs w:val="20"/>
                <w:color w:val="auto"/>
              </w:rPr>
            </w:pPr>
            <w:r>
              <w:rPr>
                <w:rFonts w:ascii="Arial" w:cs="Arial" w:eastAsia="Arial" w:hAnsi="Arial"/>
                <w:sz w:val="14"/>
                <w:szCs w:val="14"/>
                <w:b w:val="1"/>
                <w:bCs w:val="1"/>
                <w:color w:val="FFFFFF"/>
              </w:rPr>
              <w:t>Wednesday, May 5, 2021 8:00am Local Time</w:t>
            </w:r>
          </w:p>
        </w:tc>
        <w:tc>
          <w:tcPr>
            <w:tcW w:w="7480" w:type="dxa"/>
            <w:vAlign w:val="bottom"/>
            <w:gridSpan w:val="2"/>
          </w:tcPr>
          <w:p>
            <w:pPr>
              <w:ind w:left="320"/>
              <w:spacing w:after="0"/>
              <w:rPr>
                <w:sz w:val="20"/>
                <w:szCs w:val="20"/>
                <w:color w:val="auto"/>
              </w:rPr>
            </w:pPr>
            <w:r>
              <w:rPr>
                <w:rFonts w:ascii="Arial" w:cs="Arial" w:eastAsia="Arial" w:hAnsi="Arial"/>
                <w:sz w:val="15"/>
                <w:szCs w:val="15"/>
                <w:color w:val="231F20"/>
              </w:rPr>
              <w:t>The Annual Meeting of Shareholders of Essential Utilities, Inc. (the Company) will be held for the following</w:t>
            </w:r>
          </w:p>
        </w:tc>
        <w:tc>
          <w:tcPr>
            <w:tcW w:w="0" w:type="dxa"/>
            <w:vAlign w:val="bottom"/>
          </w:tcPr>
          <w:p>
            <w:pPr>
              <w:spacing w:after="0"/>
              <w:rPr>
                <w:sz w:val="1"/>
                <w:szCs w:val="1"/>
                <w:color w:val="auto"/>
              </w:rPr>
            </w:pPr>
          </w:p>
        </w:tc>
      </w:tr>
      <w:tr>
        <w:trPr>
          <w:trHeight w:val="85"/>
        </w:trPr>
        <w:tc>
          <w:tcPr>
            <w:tcW w:w="3660" w:type="dxa"/>
            <w:vAlign w:val="bottom"/>
            <w:vMerge w:val="continue"/>
          </w:tcPr>
          <w:p>
            <w:pPr>
              <w:spacing w:after="0"/>
              <w:rPr>
                <w:sz w:val="7"/>
                <w:szCs w:val="7"/>
                <w:color w:val="auto"/>
              </w:rPr>
            </w:pPr>
          </w:p>
        </w:tc>
        <w:tc>
          <w:tcPr>
            <w:tcW w:w="7480" w:type="dxa"/>
            <w:vAlign w:val="bottom"/>
            <w:gridSpan w:val="2"/>
            <w:vMerge w:val="restart"/>
          </w:tcPr>
          <w:p>
            <w:pPr>
              <w:ind w:left="320"/>
              <w:spacing w:after="0"/>
              <w:rPr>
                <w:sz w:val="20"/>
                <w:szCs w:val="20"/>
                <w:color w:val="auto"/>
              </w:rPr>
            </w:pPr>
            <w:r>
              <w:rPr>
                <w:rFonts w:ascii="Arial" w:cs="Arial" w:eastAsia="Arial" w:hAnsi="Arial"/>
                <w:sz w:val="15"/>
                <w:szCs w:val="15"/>
                <w:color w:val="231F20"/>
              </w:rPr>
              <w:t>purposes:</w:t>
            </w:r>
          </w:p>
        </w:tc>
        <w:tc>
          <w:tcPr>
            <w:tcW w:w="0" w:type="dxa"/>
            <w:vAlign w:val="bottom"/>
          </w:tcPr>
          <w:p>
            <w:pPr>
              <w:spacing w:after="0"/>
              <w:rPr>
                <w:sz w:val="1"/>
                <w:szCs w:val="1"/>
                <w:color w:val="auto"/>
              </w:rPr>
            </w:pPr>
          </w:p>
        </w:tc>
      </w:tr>
      <w:tr>
        <w:trPr>
          <w:trHeight w:val="122"/>
        </w:trPr>
        <w:tc>
          <w:tcPr>
            <w:tcW w:w="3660" w:type="dxa"/>
            <w:vAlign w:val="bottom"/>
            <w:vMerge w:val="restart"/>
          </w:tcPr>
          <w:p>
            <w:pPr>
              <w:spacing w:after="0"/>
              <w:rPr>
                <w:sz w:val="20"/>
                <w:szCs w:val="20"/>
                <w:color w:val="auto"/>
              </w:rPr>
            </w:pPr>
            <w:r>
              <w:rPr>
                <w:rFonts w:ascii="Arial" w:cs="Arial" w:eastAsia="Arial" w:hAnsi="Arial"/>
                <w:sz w:val="14"/>
                <w:szCs w:val="14"/>
                <w:color w:val="auto"/>
              </w:rPr>
              <w:t>Record Date</w:t>
            </w:r>
          </w:p>
        </w:tc>
        <w:tc>
          <w:tcPr>
            <w:tcW w:w="748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33"/>
        </w:trPr>
        <w:tc>
          <w:tcPr>
            <w:tcW w:w="3660" w:type="dxa"/>
            <w:vAlign w:val="bottom"/>
            <w:vMerge w:val="continue"/>
          </w:tcPr>
          <w:p>
            <w:pPr>
              <w:spacing w:after="0"/>
              <w:rPr>
                <w:sz w:val="11"/>
                <w:szCs w:val="11"/>
                <w:color w:val="auto"/>
              </w:rPr>
            </w:pPr>
          </w:p>
        </w:tc>
        <w:tc>
          <w:tcPr>
            <w:tcW w:w="520" w:type="dxa"/>
            <w:vAlign w:val="bottom"/>
            <w:vMerge w:val="restart"/>
          </w:tcPr>
          <w:p>
            <w:pPr>
              <w:ind w:left="320"/>
              <w:spacing w:after="0"/>
              <w:rPr>
                <w:sz w:val="20"/>
                <w:szCs w:val="20"/>
                <w:color w:val="auto"/>
              </w:rPr>
            </w:pPr>
            <w:r>
              <w:rPr>
                <w:rFonts w:ascii="Arial" w:cs="Arial" w:eastAsia="Arial" w:hAnsi="Arial"/>
                <w:sz w:val="24"/>
                <w:szCs w:val="24"/>
                <w:b w:val="1"/>
                <w:bCs w:val="1"/>
                <w:color w:val="4395D4"/>
              </w:rPr>
              <w:t>1</w:t>
            </w:r>
          </w:p>
        </w:tc>
        <w:tc>
          <w:tcPr>
            <w:tcW w:w="6960" w:type="dxa"/>
            <w:vAlign w:val="bottom"/>
            <w:vMerge w:val="restart"/>
          </w:tcPr>
          <w:p>
            <w:pPr>
              <w:ind w:left="60"/>
              <w:spacing w:after="0"/>
              <w:rPr>
                <w:sz w:val="20"/>
                <w:szCs w:val="20"/>
                <w:color w:val="auto"/>
              </w:rPr>
            </w:pPr>
            <w:r>
              <w:rPr>
                <w:rFonts w:ascii="Arial" w:cs="Arial" w:eastAsia="Arial" w:hAnsi="Arial"/>
                <w:sz w:val="15"/>
                <w:szCs w:val="15"/>
                <w:color w:val="231F20"/>
              </w:rPr>
              <w:t>To elect eight nominees for directors;</w:t>
            </w:r>
          </w:p>
        </w:tc>
        <w:tc>
          <w:tcPr>
            <w:tcW w:w="0" w:type="dxa"/>
            <w:vAlign w:val="bottom"/>
          </w:tcPr>
          <w:p>
            <w:pPr>
              <w:spacing w:after="0"/>
              <w:rPr>
                <w:sz w:val="1"/>
                <w:szCs w:val="1"/>
                <w:color w:val="auto"/>
              </w:rPr>
            </w:pPr>
          </w:p>
        </w:tc>
      </w:tr>
      <w:tr>
        <w:trPr>
          <w:trHeight w:val="239"/>
        </w:trPr>
        <w:tc>
          <w:tcPr>
            <w:tcW w:w="3660" w:type="dxa"/>
            <w:vAlign w:val="bottom"/>
          </w:tcPr>
          <w:p>
            <w:pPr>
              <w:spacing w:after="0"/>
              <w:rPr>
                <w:sz w:val="20"/>
                <w:szCs w:val="20"/>
                <w:color w:val="auto"/>
              </w:rPr>
            </w:pPr>
            <w:r>
              <w:rPr>
                <w:rFonts w:ascii="Arial" w:cs="Arial" w:eastAsia="Arial" w:hAnsi="Arial"/>
                <w:sz w:val="14"/>
                <w:szCs w:val="14"/>
                <w:b w:val="1"/>
                <w:bCs w:val="1"/>
                <w:color w:val="FFFFFF"/>
              </w:rPr>
              <w:t>March 8, 2021</w:t>
            </w:r>
          </w:p>
        </w:tc>
        <w:tc>
          <w:tcPr>
            <w:tcW w:w="520" w:type="dxa"/>
            <w:vAlign w:val="bottom"/>
            <w:vMerge w:val="continue"/>
          </w:tcPr>
          <w:p>
            <w:pPr>
              <w:spacing w:after="0"/>
              <w:rPr>
                <w:sz w:val="20"/>
                <w:szCs w:val="20"/>
                <w:color w:val="auto"/>
              </w:rPr>
            </w:pPr>
          </w:p>
        </w:tc>
        <w:tc>
          <w:tcPr>
            <w:tcW w:w="696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82"/>
        </w:trPr>
        <w:tc>
          <w:tcPr>
            <w:tcW w:w="3660" w:type="dxa"/>
            <w:vAlign w:val="bottom"/>
          </w:tcPr>
          <w:p>
            <w:pPr>
              <w:spacing w:after="0"/>
              <w:rPr>
                <w:sz w:val="20"/>
                <w:szCs w:val="20"/>
                <w:color w:val="auto"/>
              </w:rPr>
            </w:pPr>
            <w:r>
              <w:rPr>
                <w:rFonts w:ascii="Arial" w:cs="Arial" w:eastAsia="Arial" w:hAnsi="Arial"/>
                <w:sz w:val="14"/>
                <w:szCs w:val="14"/>
                <w:b w:val="1"/>
                <w:bCs w:val="1"/>
                <w:color w:val="auto"/>
              </w:rPr>
              <w:t>Due to public health concerns about COVID-19</w:t>
            </w:r>
          </w:p>
        </w:tc>
        <w:tc>
          <w:tcPr>
            <w:tcW w:w="520" w:type="dxa"/>
            <w:vAlign w:val="bottom"/>
          </w:tcPr>
          <w:p>
            <w:pPr>
              <w:ind w:left="320"/>
              <w:spacing w:after="0"/>
              <w:rPr>
                <w:sz w:val="20"/>
                <w:szCs w:val="20"/>
                <w:color w:val="auto"/>
              </w:rPr>
            </w:pPr>
            <w:r>
              <w:rPr>
                <w:rFonts w:ascii="Arial" w:cs="Arial" w:eastAsia="Arial" w:hAnsi="Arial"/>
                <w:sz w:val="24"/>
                <w:szCs w:val="24"/>
                <w:b w:val="1"/>
                <w:bCs w:val="1"/>
                <w:color w:val="4395D4"/>
              </w:rPr>
              <w:t>2</w:t>
            </w:r>
          </w:p>
        </w:tc>
        <w:tc>
          <w:tcPr>
            <w:tcW w:w="6960" w:type="dxa"/>
            <w:vAlign w:val="bottom"/>
          </w:tcPr>
          <w:p>
            <w:pPr>
              <w:ind w:left="60"/>
              <w:spacing w:after="0"/>
              <w:rPr>
                <w:sz w:val="20"/>
                <w:szCs w:val="20"/>
                <w:color w:val="auto"/>
              </w:rPr>
            </w:pPr>
            <w:r>
              <w:rPr>
                <w:rFonts w:ascii="Arial" w:cs="Arial" w:eastAsia="Arial" w:hAnsi="Arial"/>
                <w:sz w:val="15"/>
                <w:szCs w:val="15"/>
                <w:color w:val="231F20"/>
              </w:rPr>
              <w:t>To ratify the appointment of PricewaterhouseCoopers LLP as the independent registered public</w:t>
            </w:r>
          </w:p>
        </w:tc>
        <w:tc>
          <w:tcPr>
            <w:tcW w:w="0" w:type="dxa"/>
            <w:vAlign w:val="bottom"/>
          </w:tcPr>
          <w:p>
            <w:pPr>
              <w:spacing w:after="0"/>
              <w:rPr>
                <w:sz w:val="1"/>
                <w:szCs w:val="1"/>
                <w:color w:val="auto"/>
              </w:rPr>
            </w:pPr>
          </w:p>
        </w:tc>
      </w:tr>
      <w:tr>
        <w:trPr>
          <w:trHeight w:val="92"/>
        </w:trPr>
        <w:tc>
          <w:tcPr>
            <w:tcW w:w="3660" w:type="dxa"/>
            <w:vAlign w:val="bottom"/>
          </w:tcPr>
          <w:p>
            <w:pPr>
              <w:spacing w:after="0" w:line="92" w:lineRule="exact"/>
              <w:rPr>
                <w:sz w:val="20"/>
                <w:szCs w:val="20"/>
                <w:color w:val="auto"/>
              </w:rPr>
            </w:pPr>
            <w:r>
              <w:rPr>
                <w:rFonts w:ascii="Arial" w:cs="Arial" w:eastAsia="Arial" w:hAnsi="Arial"/>
                <w:sz w:val="10"/>
                <w:szCs w:val="10"/>
                <w:b w:val="1"/>
                <w:bCs w:val="1"/>
                <w:color w:val="auto"/>
              </w:rPr>
              <w:t>and to support the health and safety of our</w:t>
            </w:r>
          </w:p>
        </w:tc>
        <w:tc>
          <w:tcPr>
            <w:tcW w:w="520" w:type="dxa"/>
            <w:vAlign w:val="bottom"/>
          </w:tcPr>
          <w:p>
            <w:pPr>
              <w:spacing w:after="0"/>
              <w:rPr>
                <w:sz w:val="7"/>
                <w:szCs w:val="7"/>
                <w:color w:val="auto"/>
              </w:rPr>
            </w:pPr>
          </w:p>
        </w:tc>
        <w:tc>
          <w:tcPr>
            <w:tcW w:w="6960" w:type="dxa"/>
            <w:vAlign w:val="bottom"/>
            <w:vMerge w:val="restart"/>
          </w:tcPr>
          <w:p>
            <w:pPr>
              <w:ind w:left="80"/>
              <w:spacing w:after="0"/>
              <w:rPr>
                <w:sz w:val="20"/>
                <w:szCs w:val="20"/>
                <w:color w:val="auto"/>
              </w:rPr>
            </w:pPr>
            <w:r>
              <w:rPr>
                <w:rFonts w:ascii="Arial" w:cs="Arial" w:eastAsia="Arial" w:hAnsi="Arial"/>
                <w:sz w:val="15"/>
                <w:szCs w:val="15"/>
                <w:color w:val="231F20"/>
              </w:rPr>
              <w:t>accounting firm for the Company for the 2021 fiscal year;</w:t>
            </w:r>
          </w:p>
        </w:tc>
        <w:tc>
          <w:tcPr>
            <w:tcW w:w="0" w:type="dxa"/>
            <w:vAlign w:val="bottom"/>
          </w:tcPr>
          <w:p>
            <w:pPr>
              <w:spacing w:after="0"/>
              <w:rPr>
                <w:sz w:val="1"/>
                <w:szCs w:val="1"/>
                <w:color w:val="auto"/>
              </w:rPr>
            </w:pPr>
          </w:p>
        </w:tc>
      </w:tr>
      <w:tr>
        <w:trPr>
          <w:trHeight w:val="153"/>
        </w:trPr>
        <w:tc>
          <w:tcPr>
            <w:tcW w:w="3660" w:type="dxa"/>
            <w:vAlign w:val="bottom"/>
          </w:tcPr>
          <w:p>
            <w:pPr>
              <w:spacing w:after="0" w:line="153" w:lineRule="exact"/>
              <w:rPr>
                <w:sz w:val="20"/>
                <w:szCs w:val="20"/>
                <w:color w:val="auto"/>
              </w:rPr>
            </w:pPr>
            <w:r>
              <w:rPr>
                <w:rFonts w:ascii="Arial" w:cs="Arial" w:eastAsia="Arial" w:hAnsi="Arial"/>
                <w:sz w:val="14"/>
                <w:szCs w:val="14"/>
                <w:b w:val="1"/>
                <w:bCs w:val="1"/>
                <w:color w:val="auto"/>
              </w:rPr>
              <w:t>shareholders and employees, this year’s Annual</w:t>
            </w:r>
          </w:p>
        </w:tc>
        <w:tc>
          <w:tcPr>
            <w:tcW w:w="520" w:type="dxa"/>
            <w:vAlign w:val="bottom"/>
          </w:tcPr>
          <w:p>
            <w:pPr>
              <w:spacing w:after="0"/>
              <w:rPr>
                <w:sz w:val="13"/>
                <w:szCs w:val="13"/>
                <w:color w:val="auto"/>
              </w:rPr>
            </w:pPr>
          </w:p>
        </w:tc>
        <w:tc>
          <w:tcPr>
            <w:tcW w:w="69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3660" w:type="dxa"/>
            <w:vAlign w:val="bottom"/>
          </w:tcPr>
          <w:p>
            <w:pPr>
              <w:spacing w:after="0" w:line="153" w:lineRule="exact"/>
              <w:rPr>
                <w:sz w:val="20"/>
                <w:szCs w:val="20"/>
                <w:color w:val="auto"/>
              </w:rPr>
            </w:pPr>
            <w:r>
              <w:rPr>
                <w:rFonts w:ascii="Arial" w:cs="Arial" w:eastAsia="Arial" w:hAnsi="Arial"/>
                <w:sz w:val="14"/>
                <w:szCs w:val="14"/>
                <w:b w:val="1"/>
                <w:bCs w:val="1"/>
                <w:color w:val="auto"/>
              </w:rPr>
              <w:t>Meeting will be conducted virtually, entirely by</w:t>
            </w:r>
          </w:p>
        </w:tc>
        <w:tc>
          <w:tcPr>
            <w:tcW w:w="520" w:type="dxa"/>
            <w:vAlign w:val="bottom"/>
            <w:vMerge w:val="restart"/>
          </w:tcPr>
          <w:p>
            <w:pPr>
              <w:ind w:left="320"/>
              <w:spacing w:after="0"/>
              <w:rPr>
                <w:sz w:val="20"/>
                <w:szCs w:val="20"/>
                <w:color w:val="auto"/>
              </w:rPr>
            </w:pPr>
            <w:r>
              <w:rPr>
                <w:rFonts w:ascii="Arial" w:cs="Arial" w:eastAsia="Arial" w:hAnsi="Arial"/>
                <w:sz w:val="24"/>
                <w:szCs w:val="24"/>
                <w:b w:val="1"/>
                <w:bCs w:val="1"/>
                <w:color w:val="4395D4"/>
              </w:rPr>
              <w:t>3</w:t>
            </w:r>
          </w:p>
        </w:tc>
        <w:tc>
          <w:tcPr>
            <w:tcW w:w="6960" w:type="dxa"/>
            <w:vAlign w:val="bottom"/>
            <w:vMerge w:val="restart"/>
          </w:tcPr>
          <w:p>
            <w:pPr>
              <w:ind w:left="60"/>
              <w:spacing w:after="0"/>
              <w:rPr>
                <w:sz w:val="20"/>
                <w:szCs w:val="20"/>
                <w:color w:val="auto"/>
              </w:rPr>
            </w:pPr>
            <w:r>
              <w:rPr>
                <w:rFonts w:ascii="Arial" w:cs="Arial" w:eastAsia="Arial" w:hAnsi="Arial"/>
                <w:sz w:val="15"/>
                <w:szCs w:val="15"/>
                <w:color w:val="231F20"/>
              </w:rPr>
              <w:t>To approve an advisory vote on the compensation paid to the Company’s named executive officers for</w:t>
            </w:r>
          </w:p>
        </w:tc>
        <w:tc>
          <w:tcPr>
            <w:tcW w:w="0" w:type="dxa"/>
            <w:vAlign w:val="bottom"/>
          </w:tcPr>
          <w:p>
            <w:pPr>
              <w:spacing w:after="0"/>
              <w:rPr>
                <w:sz w:val="1"/>
                <w:szCs w:val="1"/>
                <w:color w:val="auto"/>
              </w:rPr>
            </w:pPr>
          </w:p>
        </w:tc>
      </w:tr>
      <w:tr>
        <w:trPr>
          <w:trHeight w:val="196"/>
        </w:trPr>
        <w:tc>
          <w:tcPr>
            <w:tcW w:w="3660" w:type="dxa"/>
            <w:vAlign w:val="bottom"/>
          </w:tcPr>
          <w:p>
            <w:pPr>
              <w:spacing w:after="0"/>
              <w:rPr>
                <w:sz w:val="20"/>
                <w:szCs w:val="20"/>
                <w:color w:val="auto"/>
              </w:rPr>
            </w:pPr>
            <w:r>
              <w:rPr>
                <w:rFonts w:ascii="Arial" w:cs="Arial" w:eastAsia="Arial" w:hAnsi="Arial"/>
                <w:sz w:val="14"/>
                <w:szCs w:val="14"/>
                <w:b w:val="1"/>
                <w:bCs w:val="1"/>
                <w:color w:val="auto"/>
              </w:rPr>
              <w:t>live audio broadcast.</w:t>
            </w:r>
          </w:p>
        </w:tc>
        <w:tc>
          <w:tcPr>
            <w:tcW w:w="520" w:type="dxa"/>
            <w:vAlign w:val="bottom"/>
            <w:vMerge w:val="continue"/>
          </w:tcPr>
          <w:p>
            <w:pPr>
              <w:spacing w:after="0"/>
              <w:rPr>
                <w:sz w:val="17"/>
                <w:szCs w:val="17"/>
                <w:color w:val="auto"/>
              </w:rPr>
            </w:pPr>
          </w:p>
        </w:tc>
        <w:tc>
          <w:tcPr>
            <w:tcW w:w="69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3660" w:type="dxa"/>
            <w:vAlign w:val="bottom"/>
            <w:vMerge w:val="restart"/>
          </w:tcPr>
          <w:p>
            <w:pPr>
              <w:spacing w:after="0"/>
              <w:rPr>
                <w:sz w:val="20"/>
                <w:szCs w:val="20"/>
                <w:color w:val="auto"/>
              </w:rPr>
            </w:pPr>
            <w:r>
              <w:rPr>
                <w:rFonts w:ascii="Arial" w:cs="Arial" w:eastAsia="Arial" w:hAnsi="Arial"/>
                <w:sz w:val="14"/>
                <w:szCs w:val="14"/>
                <w:color w:val="auto"/>
              </w:rPr>
              <w:t xml:space="preserve">To attend, go to: </w:t>
            </w:r>
            <w:r>
              <w:rPr>
                <w:rFonts w:ascii="Arial" w:cs="Arial" w:eastAsia="Arial" w:hAnsi="Arial"/>
                <w:sz w:val="14"/>
                <w:szCs w:val="14"/>
                <w:b w:val="1"/>
                <w:bCs w:val="1"/>
                <w:color w:val="auto"/>
              </w:rPr>
              <w:t>www.</w:t>
            </w:r>
          </w:p>
        </w:tc>
        <w:tc>
          <w:tcPr>
            <w:tcW w:w="520" w:type="dxa"/>
            <w:vAlign w:val="bottom"/>
          </w:tcPr>
          <w:p>
            <w:pPr>
              <w:spacing w:after="0"/>
              <w:rPr>
                <w:sz w:val="17"/>
                <w:szCs w:val="17"/>
                <w:color w:val="auto"/>
              </w:rPr>
            </w:pPr>
          </w:p>
        </w:tc>
        <w:tc>
          <w:tcPr>
            <w:tcW w:w="6960" w:type="dxa"/>
            <w:vAlign w:val="bottom"/>
          </w:tcPr>
          <w:p>
            <w:pPr>
              <w:ind w:left="80"/>
              <w:spacing w:after="0"/>
              <w:rPr>
                <w:sz w:val="20"/>
                <w:szCs w:val="20"/>
                <w:color w:val="auto"/>
              </w:rPr>
            </w:pPr>
            <w:r>
              <w:rPr>
                <w:rFonts w:ascii="Arial" w:cs="Arial" w:eastAsia="Arial" w:hAnsi="Arial"/>
                <w:sz w:val="15"/>
                <w:szCs w:val="15"/>
                <w:color w:val="231F20"/>
              </w:rPr>
              <w:t>2020;</w:t>
            </w:r>
          </w:p>
        </w:tc>
        <w:tc>
          <w:tcPr>
            <w:tcW w:w="0" w:type="dxa"/>
            <w:vAlign w:val="bottom"/>
          </w:tcPr>
          <w:p>
            <w:pPr>
              <w:spacing w:after="0"/>
              <w:rPr>
                <w:sz w:val="1"/>
                <w:szCs w:val="1"/>
                <w:color w:val="auto"/>
              </w:rPr>
            </w:pPr>
          </w:p>
        </w:tc>
      </w:tr>
      <w:tr>
        <w:trPr>
          <w:trHeight w:val="56"/>
        </w:trPr>
        <w:tc>
          <w:tcPr>
            <w:tcW w:w="3660" w:type="dxa"/>
            <w:vAlign w:val="bottom"/>
            <w:vMerge w:val="continue"/>
          </w:tcPr>
          <w:p>
            <w:pPr>
              <w:spacing w:after="0"/>
              <w:rPr>
                <w:sz w:val="4"/>
                <w:szCs w:val="4"/>
                <w:color w:val="auto"/>
              </w:rPr>
            </w:pPr>
          </w:p>
        </w:tc>
        <w:tc>
          <w:tcPr>
            <w:tcW w:w="520" w:type="dxa"/>
            <w:vAlign w:val="bottom"/>
            <w:vMerge w:val="restart"/>
          </w:tcPr>
          <w:p>
            <w:pPr>
              <w:ind w:left="320"/>
              <w:spacing w:after="0"/>
              <w:rPr>
                <w:sz w:val="20"/>
                <w:szCs w:val="20"/>
                <w:color w:val="auto"/>
              </w:rPr>
            </w:pPr>
            <w:r>
              <w:rPr>
                <w:rFonts w:ascii="Arial" w:cs="Arial" w:eastAsia="Arial" w:hAnsi="Arial"/>
                <w:sz w:val="24"/>
                <w:szCs w:val="24"/>
                <w:b w:val="1"/>
                <w:bCs w:val="1"/>
                <w:color w:val="4395D4"/>
              </w:rPr>
              <w:t>4</w:t>
            </w:r>
          </w:p>
        </w:tc>
        <w:tc>
          <w:tcPr>
            <w:tcW w:w="69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55"/>
        </w:trPr>
        <w:tc>
          <w:tcPr>
            <w:tcW w:w="3660" w:type="dxa"/>
            <w:vAlign w:val="bottom"/>
          </w:tcPr>
          <w:p>
            <w:pPr>
              <w:spacing w:after="0" w:line="155" w:lineRule="exact"/>
              <w:rPr>
                <w:sz w:val="20"/>
                <w:szCs w:val="20"/>
                <w:color w:val="auto"/>
              </w:rPr>
            </w:pPr>
            <w:r>
              <w:rPr>
                <w:rFonts w:ascii="Arial" w:cs="Arial" w:eastAsia="Arial" w:hAnsi="Arial"/>
                <w:sz w:val="14"/>
                <w:szCs w:val="14"/>
                <w:b w:val="1"/>
                <w:bCs w:val="1"/>
                <w:color w:val="auto"/>
              </w:rPr>
              <w:t xml:space="preserve">virtualshareholdermeeting.com/ WTRG2021 </w:t>
            </w:r>
            <w:r>
              <w:rPr>
                <w:rFonts w:ascii="Arial" w:cs="Arial" w:eastAsia="Arial" w:hAnsi="Arial"/>
                <w:sz w:val="14"/>
                <w:szCs w:val="14"/>
                <w:color w:val="auto"/>
              </w:rPr>
              <w:t>and</w:t>
            </w:r>
          </w:p>
        </w:tc>
        <w:tc>
          <w:tcPr>
            <w:tcW w:w="520" w:type="dxa"/>
            <w:vAlign w:val="bottom"/>
            <w:vMerge w:val="continue"/>
          </w:tcPr>
          <w:p>
            <w:pPr>
              <w:spacing w:after="0"/>
              <w:rPr>
                <w:sz w:val="13"/>
                <w:szCs w:val="13"/>
                <w:color w:val="auto"/>
              </w:rPr>
            </w:pPr>
          </w:p>
        </w:tc>
        <w:tc>
          <w:tcPr>
            <w:tcW w:w="6960" w:type="dxa"/>
            <w:vAlign w:val="bottom"/>
            <w:vMerge w:val="restart"/>
          </w:tcPr>
          <w:p>
            <w:pPr>
              <w:ind w:left="60"/>
              <w:spacing w:after="0"/>
              <w:rPr>
                <w:sz w:val="20"/>
                <w:szCs w:val="20"/>
                <w:color w:val="auto"/>
              </w:rPr>
            </w:pPr>
            <w:r>
              <w:rPr>
                <w:rFonts w:ascii="Arial" w:cs="Arial" w:eastAsia="Arial" w:hAnsi="Arial"/>
                <w:sz w:val="15"/>
                <w:szCs w:val="15"/>
                <w:color w:val="231F20"/>
              </w:rPr>
              <w:t>To ratify the Amendment to the Company’s Bylaws to permit shareholder access to the Company’s</w:t>
            </w:r>
          </w:p>
        </w:tc>
        <w:tc>
          <w:tcPr>
            <w:tcW w:w="0" w:type="dxa"/>
            <w:vAlign w:val="bottom"/>
          </w:tcPr>
          <w:p>
            <w:pPr>
              <w:spacing w:after="0"/>
              <w:rPr>
                <w:sz w:val="1"/>
                <w:szCs w:val="1"/>
                <w:color w:val="auto"/>
              </w:rPr>
            </w:pPr>
          </w:p>
        </w:tc>
      </w:tr>
      <w:tr>
        <w:trPr>
          <w:trHeight w:val="149"/>
        </w:trPr>
        <w:tc>
          <w:tcPr>
            <w:tcW w:w="3660" w:type="dxa"/>
            <w:vAlign w:val="bottom"/>
          </w:tcPr>
          <w:p>
            <w:pPr>
              <w:spacing w:after="0" w:line="149" w:lineRule="exact"/>
              <w:rPr>
                <w:sz w:val="20"/>
                <w:szCs w:val="20"/>
                <w:color w:val="auto"/>
              </w:rPr>
            </w:pPr>
            <w:r>
              <w:rPr>
                <w:rFonts w:ascii="Arial" w:cs="Arial" w:eastAsia="Arial" w:hAnsi="Arial"/>
                <w:sz w:val="14"/>
                <w:szCs w:val="14"/>
                <w:color w:val="auto"/>
              </w:rPr>
              <w:t>log in using the control number on your Notice of</w:t>
            </w:r>
          </w:p>
        </w:tc>
        <w:tc>
          <w:tcPr>
            <w:tcW w:w="520" w:type="dxa"/>
            <w:vAlign w:val="bottom"/>
            <w:vMerge w:val="continue"/>
          </w:tcPr>
          <w:p>
            <w:pPr>
              <w:spacing w:after="0"/>
              <w:rPr>
                <w:sz w:val="12"/>
                <w:szCs w:val="12"/>
                <w:color w:val="auto"/>
              </w:rPr>
            </w:pPr>
          </w:p>
        </w:tc>
        <w:tc>
          <w:tcPr>
            <w:tcW w:w="69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57"/>
        </w:trPr>
        <w:tc>
          <w:tcPr>
            <w:tcW w:w="3660" w:type="dxa"/>
            <w:vAlign w:val="bottom"/>
          </w:tcPr>
          <w:p>
            <w:pPr>
              <w:spacing w:after="0" w:line="157" w:lineRule="exact"/>
              <w:rPr>
                <w:sz w:val="20"/>
                <w:szCs w:val="20"/>
                <w:color w:val="auto"/>
              </w:rPr>
            </w:pPr>
            <w:r>
              <w:rPr>
                <w:rFonts w:ascii="Arial" w:cs="Arial" w:eastAsia="Arial" w:hAnsi="Arial"/>
                <w:sz w:val="14"/>
                <w:szCs w:val="14"/>
                <w:color w:val="auto"/>
              </w:rPr>
              <w:t>Internet Availability, proxy card or voting instruction</w:t>
            </w:r>
          </w:p>
        </w:tc>
        <w:tc>
          <w:tcPr>
            <w:tcW w:w="520" w:type="dxa"/>
            <w:vAlign w:val="bottom"/>
          </w:tcPr>
          <w:p>
            <w:pPr>
              <w:spacing w:after="0"/>
              <w:rPr>
                <w:sz w:val="13"/>
                <w:szCs w:val="13"/>
                <w:color w:val="auto"/>
              </w:rPr>
            </w:pPr>
          </w:p>
        </w:tc>
        <w:tc>
          <w:tcPr>
            <w:tcW w:w="6960" w:type="dxa"/>
            <w:vAlign w:val="bottom"/>
          </w:tcPr>
          <w:p>
            <w:pPr>
              <w:ind w:left="80"/>
              <w:spacing w:after="0" w:line="158" w:lineRule="exact"/>
              <w:rPr>
                <w:sz w:val="20"/>
                <w:szCs w:val="20"/>
                <w:color w:val="auto"/>
              </w:rPr>
            </w:pPr>
            <w:r>
              <w:rPr>
                <w:rFonts w:ascii="Arial" w:cs="Arial" w:eastAsia="Arial" w:hAnsi="Arial"/>
                <w:sz w:val="15"/>
                <w:szCs w:val="15"/>
                <w:color w:val="231F20"/>
              </w:rPr>
              <w:t>proxy statement; and</w:t>
            </w:r>
          </w:p>
        </w:tc>
        <w:tc>
          <w:tcPr>
            <w:tcW w:w="0" w:type="dxa"/>
            <w:vAlign w:val="bottom"/>
          </w:tcPr>
          <w:p>
            <w:pPr>
              <w:spacing w:after="0"/>
              <w:rPr>
                <w:sz w:val="1"/>
                <w:szCs w:val="1"/>
                <w:color w:val="auto"/>
              </w:rPr>
            </w:pPr>
          </w:p>
        </w:tc>
      </w:tr>
      <w:tr>
        <w:trPr>
          <w:trHeight w:val="195"/>
        </w:trPr>
        <w:tc>
          <w:tcPr>
            <w:tcW w:w="3660" w:type="dxa"/>
            <w:vAlign w:val="bottom"/>
          </w:tcPr>
          <w:p>
            <w:pPr>
              <w:spacing w:after="0"/>
              <w:rPr>
                <w:sz w:val="20"/>
                <w:szCs w:val="20"/>
                <w:color w:val="auto"/>
              </w:rPr>
            </w:pPr>
            <w:r>
              <w:rPr>
                <w:rFonts w:ascii="Arial" w:cs="Arial" w:eastAsia="Arial" w:hAnsi="Arial"/>
                <w:sz w:val="14"/>
                <w:szCs w:val="14"/>
                <w:color w:val="auto"/>
              </w:rPr>
              <w:t>form.</w:t>
            </w:r>
          </w:p>
        </w:tc>
        <w:tc>
          <w:tcPr>
            <w:tcW w:w="520" w:type="dxa"/>
            <w:vAlign w:val="bottom"/>
            <w:vMerge w:val="restart"/>
          </w:tcPr>
          <w:p>
            <w:pPr>
              <w:ind w:left="320"/>
              <w:spacing w:after="0"/>
              <w:rPr>
                <w:sz w:val="20"/>
                <w:szCs w:val="20"/>
                <w:color w:val="auto"/>
              </w:rPr>
            </w:pPr>
            <w:r>
              <w:rPr>
                <w:rFonts w:ascii="Arial" w:cs="Arial" w:eastAsia="Arial" w:hAnsi="Arial"/>
                <w:sz w:val="24"/>
                <w:szCs w:val="24"/>
                <w:b w:val="1"/>
                <w:bCs w:val="1"/>
                <w:color w:val="4395D4"/>
              </w:rPr>
              <w:t>5</w:t>
            </w:r>
          </w:p>
        </w:tc>
        <w:tc>
          <w:tcPr>
            <w:tcW w:w="6960" w:type="dxa"/>
            <w:vAlign w:val="bottom"/>
            <w:vMerge w:val="restart"/>
          </w:tcPr>
          <w:p>
            <w:pPr>
              <w:ind w:left="60"/>
              <w:spacing w:after="0"/>
              <w:rPr>
                <w:sz w:val="20"/>
                <w:szCs w:val="20"/>
                <w:color w:val="auto"/>
              </w:rPr>
            </w:pPr>
            <w:r>
              <w:rPr>
                <w:rFonts w:ascii="Arial" w:cs="Arial" w:eastAsia="Arial" w:hAnsi="Arial"/>
                <w:sz w:val="15"/>
                <w:szCs w:val="15"/>
                <w:color w:val="231F20"/>
              </w:rPr>
              <w:t>To transact any other business as may properly come before the meeting or any adjournments or</w:t>
            </w:r>
          </w:p>
        </w:tc>
        <w:tc>
          <w:tcPr>
            <w:tcW w:w="0" w:type="dxa"/>
            <w:vAlign w:val="bottom"/>
          </w:tcPr>
          <w:p>
            <w:pPr>
              <w:spacing w:after="0"/>
              <w:rPr>
                <w:sz w:val="1"/>
                <w:szCs w:val="1"/>
                <w:color w:val="auto"/>
              </w:rPr>
            </w:pPr>
          </w:p>
        </w:tc>
      </w:tr>
      <w:tr>
        <w:trPr>
          <w:trHeight w:val="186"/>
        </w:trPr>
        <w:tc>
          <w:tcPr>
            <w:tcW w:w="3660" w:type="dxa"/>
            <w:vAlign w:val="bottom"/>
          </w:tcPr>
          <w:p>
            <w:pPr>
              <w:spacing w:after="0"/>
              <w:rPr>
                <w:sz w:val="16"/>
                <w:szCs w:val="16"/>
                <w:color w:val="auto"/>
              </w:rPr>
            </w:pPr>
          </w:p>
        </w:tc>
        <w:tc>
          <w:tcPr>
            <w:tcW w:w="520" w:type="dxa"/>
            <w:vAlign w:val="bottom"/>
            <w:vMerge w:val="continue"/>
          </w:tcPr>
          <w:p>
            <w:pPr>
              <w:spacing w:after="0"/>
              <w:rPr>
                <w:sz w:val="16"/>
                <w:szCs w:val="16"/>
                <w:color w:val="auto"/>
              </w:rPr>
            </w:pPr>
          </w:p>
        </w:tc>
        <w:tc>
          <w:tcPr>
            <w:tcW w:w="69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-1929130</wp:posOffset>
            </wp:positionV>
            <wp:extent cx="2358390" cy="36874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358390" cy="3687445"/>
                    </a:xfrm>
                    <a:prstGeom prst="rect">
                      <a:avLst/>
                    </a:prstGeom>
                    <a:noFill/>
                  </pic:spPr>
                </pic:pic>
              </a:graphicData>
            </a:graphic>
          </wp:anchor>
        </w:drawing>
      </w:r>
    </w:p>
    <w:p>
      <w:pPr>
        <w:sectPr>
          <w:pgSz w:w="11900" w:h="16838" w:orient="portrait"/>
          <w:cols w:equalWidth="0" w:num="1">
            <w:col w:w="11220"/>
          </w:cols>
          <w:pgMar w:left="320" w:top="585" w:right="359" w:bottom="1440" w:gutter="0" w:footer="0" w:header="0"/>
        </w:sectPr>
      </w:pPr>
    </w:p>
    <w:p>
      <w:pPr>
        <w:ind w:left="80"/>
        <w:spacing w:after="0" w:line="245" w:lineRule="auto"/>
        <w:rPr>
          <w:sz w:val="20"/>
          <w:szCs w:val="20"/>
          <w:color w:val="auto"/>
        </w:rPr>
      </w:pPr>
      <w:r>
        <w:rPr>
          <w:rFonts w:ascii="Arial" w:cs="Arial" w:eastAsia="Arial" w:hAnsi="Arial"/>
          <w:sz w:val="14"/>
          <w:szCs w:val="14"/>
          <w:color w:val="auto"/>
        </w:rPr>
        <w:t xml:space="preserve">The list of shareholders will be available for inspection upon request, by contacting us at </w:t>
      </w:r>
      <w:r>
        <w:rPr>
          <w:rFonts w:ascii="Arial" w:cs="Arial" w:eastAsia="Arial" w:hAnsi="Arial"/>
          <w:sz w:val="14"/>
          <w:szCs w:val="14"/>
          <w:i w:val="1"/>
          <w:iCs w:val="1"/>
          <w:color w:val="auto"/>
        </w:rPr>
        <w:t>www.essential.co/investor-relations</w:t>
      </w:r>
    </w:p>
    <w:p>
      <w:pPr>
        <w:spacing w:after="0" w:line="186" w:lineRule="exact"/>
        <w:rPr>
          <w:sz w:val="20"/>
          <w:szCs w:val="20"/>
          <w:color w:val="auto"/>
        </w:rPr>
      </w:pPr>
    </w:p>
    <w:p>
      <w:pPr>
        <w:ind w:left="80" w:right="80"/>
        <w:spacing w:after="0" w:line="245" w:lineRule="auto"/>
        <w:rPr>
          <w:sz w:val="20"/>
          <w:szCs w:val="20"/>
          <w:color w:val="auto"/>
        </w:rPr>
      </w:pPr>
      <w:r>
        <w:rPr>
          <w:rFonts w:ascii="Arial" w:cs="Arial" w:eastAsia="Arial" w:hAnsi="Arial"/>
          <w:sz w:val="14"/>
          <w:szCs w:val="14"/>
          <w:color w:val="auto"/>
        </w:rPr>
        <w:t>Shareholders will have the same opportunities to participate as they would at an in-person meeting, with the opportunity to vote and ask questions on the matters discussed in this proxy statement.</w:t>
      </w:r>
    </w:p>
    <w:p>
      <w:pPr>
        <w:spacing w:after="0" w:line="20" w:lineRule="exact"/>
        <w:rPr>
          <w:sz w:val="20"/>
          <w:szCs w:val="20"/>
          <w:color w:val="auto"/>
        </w:rPr>
      </w:pPr>
      <w:r>
        <w:rPr>
          <w:sz w:val="20"/>
          <w:szCs w:val="20"/>
          <w:color w:val="auto"/>
        </w:rPr>
        <w:br w:type="column"/>
      </w:r>
    </w:p>
    <w:p>
      <w:pPr>
        <w:ind w:left="280"/>
        <w:spacing w:after="0"/>
        <w:rPr>
          <w:sz w:val="20"/>
          <w:szCs w:val="20"/>
          <w:color w:val="auto"/>
        </w:rPr>
      </w:pPr>
      <w:r>
        <w:rPr>
          <w:rFonts w:ascii="Arial" w:cs="Arial" w:eastAsia="Arial" w:hAnsi="Arial"/>
          <w:sz w:val="15"/>
          <w:szCs w:val="15"/>
          <w:color w:val="231F20"/>
        </w:rPr>
        <w:t>postponements thereof.</w:t>
      </w:r>
    </w:p>
    <w:p>
      <w:pPr>
        <w:spacing w:after="0" w:line="149" w:lineRule="exact"/>
        <w:rPr>
          <w:sz w:val="20"/>
          <w:szCs w:val="20"/>
          <w:color w:val="auto"/>
        </w:rPr>
      </w:pPr>
    </w:p>
    <w:p>
      <w:pPr>
        <w:spacing w:after="0"/>
        <w:rPr>
          <w:sz w:val="20"/>
          <w:szCs w:val="20"/>
          <w:color w:val="auto"/>
        </w:rPr>
      </w:pPr>
      <w:r>
        <w:rPr>
          <w:rFonts w:ascii="Arial" w:cs="Arial" w:eastAsia="Arial" w:hAnsi="Arial"/>
          <w:sz w:val="20"/>
          <w:szCs w:val="20"/>
          <w:b w:val="1"/>
          <w:bCs w:val="1"/>
          <w:color w:val="231F20"/>
        </w:rPr>
        <w:t>Who can vote</w:t>
      </w:r>
    </w:p>
    <w:p>
      <w:pPr>
        <w:spacing w:after="0" w:line="105" w:lineRule="exact"/>
        <w:rPr>
          <w:sz w:val="20"/>
          <w:szCs w:val="20"/>
          <w:color w:val="auto"/>
        </w:rPr>
      </w:pPr>
    </w:p>
    <w:p>
      <w:pPr>
        <w:jc w:val="both"/>
        <w:ind w:right="80"/>
        <w:spacing w:after="0" w:line="296" w:lineRule="auto"/>
        <w:rPr>
          <w:sz w:val="20"/>
          <w:szCs w:val="20"/>
          <w:color w:val="auto"/>
        </w:rPr>
      </w:pPr>
      <w:r>
        <w:rPr>
          <w:rFonts w:ascii="Arial" w:cs="Arial" w:eastAsia="Arial" w:hAnsi="Arial"/>
          <w:sz w:val="15"/>
          <w:szCs w:val="15"/>
          <w:color w:val="231F20"/>
        </w:rPr>
        <w:t>Only shareholders of record at the close of business on March 8, 2021 will be entitled to notice of, and to vote at, the meeting.</w:t>
      </w:r>
    </w:p>
    <w:p>
      <w:pPr>
        <w:spacing w:after="0" w:line="95" w:lineRule="exact"/>
        <w:rPr>
          <w:sz w:val="20"/>
          <w:szCs w:val="20"/>
          <w:color w:val="auto"/>
        </w:rPr>
      </w:pPr>
    </w:p>
    <w:p>
      <w:pPr>
        <w:spacing w:after="0"/>
        <w:rPr>
          <w:sz w:val="20"/>
          <w:szCs w:val="20"/>
          <w:color w:val="auto"/>
        </w:rPr>
      </w:pPr>
      <w:r>
        <w:rPr>
          <w:rFonts w:ascii="Arial" w:cs="Arial" w:eastAsia="Arial" w:hAnsi="Arial"/>
          <w:sz w:val="20"/>
          <w:szCs w:val="20"/>
          <w:b w:val="1"/>
          <w:bCs w:val="1"/>
          <w:color w:val="231F20"/>
        </w:rPr>
        <w:t>Your vote is important</w:t>
      </w:r>
    </w:p>
    <w:p>
      <w:pPr>
        <w:spacing w:after="0" w:line="79" w:lineRule="exact"/>
        <w:rPr>
          <w:sz w:val="20"/>
          <w:szCs w:val="20"/>
          <w:color w:val="auto"/>
        </w:rPr>
      </w:pPr>
    </w:p>
    <w:p>
      <w:pPr>
        <w:ind w:right="240"/>
        <w:spacing w:after="0" w:line="296" w:lineRule="auto"/>
        <w:rPr>
          <w:sz w:val="20"/>
          <w:szCs w:val="20"/>
          <w:color w:val="auto"/>
        </w:rPr>
      </w:pPr>
      <w:r>
        <w:rPr>
          <w:rFonts w:ascii="Arial" w:cs="Arial" w:eastAsia="Arial" w:hAnsi="Arial"/>
          <w:sz w:val="15"/>
          <w:szCs w:val="15"/>
          <w:color w:val="231F20"/>
        </w:rPr>
        <w:t>We urge each shareholder to promptly sign and return the enclosed proxy card, or to use telephone or internet voting.</w:t>
      </w:r>
    </w:p>
    <w:p>
      <w:pPr>
        <w:spacing w:after="0" w:line="123" w:lineRule="exact"/>
        <w:rPr>
          <w:sz w:val="20"/>
          <w:szCs w:val="20"/>
          <w:color w:val="auto"/>
        </w:rPr>
      </w:pPr>
    </w:p>
    <w:p>
      <w:pPr>
        <w:jc w:val="both"/>
        <w:ind w:right="80"/>
        <w:spacing w:after="0" w:line="272" w:lineRule="auto"/>
        <w:rPr>
          <w:sz w:val="20"/>
          <w:szCs w:val="20"/>
          <w:color w:val="auto"/>
        </w:rPr>
      </w:pPr>
      <w:r>
        <w:rPr>
          <w:rFonts w:ascii="Arial" w:cs="Arial" w:eastAsia="Arial" w:hAnsi="Arial"/>
          <w:sz w:val="15"/>
          <w:szCs w:val="15"/>
          <w:color w:val="231F20"/>
        </w:rPr>
        <w:t>See our Questions and Answers about the Annual Meeting and the voting section of the proxy statement for information about voting by telephone or internet, how to revoke a proxy and how to vote your shares at the virtual annual meeting.</w:t>
      </w:r>
    </w:p>
    <w:p>
      <w:pPr>
        <w:spacing w:after="0" w:line="112" w:lineRule="exact"/>
        <w:rPr>
          <w:sz w:val="20"/>
          <w:szCs w:val="20"/>
          <w:color w:val="auto"/>
        </w:rPr>
      </w:pPr>
    </w:p>
    <w:p>
      <w:pPr>
        <w:sectPr>
          <w:pgSz w:w="11900" w:h="16838" w:orient="portrait"/>
          <w:cols w:equalWidth="0" w:num="2">
            <w:col w:w="3540" w:space="520"/>
            <w:col w:w="7160"/>
          </w:cols>
          <w:pgMar w:left="320" w:top="585" w:right="359" w:bottom="1440" w:gutter="0" w:footer="0" w:header="0"/>
          <w:type w:val="continuous"/>
        </w:sectPr>
      </w:pPr>
    </w:p>
    <w:p>
      <w:pPr>
        <w:ind w:left="4060"/>
        <w:spacing w:after="0"/>
        <w:rPr>
          <w:sz w:val="20"/>
          <w:szCs w:val="20"/>
          <w:color w:val="auto"/>
        </w:rPr>
      </w:pPr>
      <w:r>
        <w:rPr>
          <w:rFonts w:ascii="Arial" w:cs="Arial" w:eastAsia="Arial" w:hAnsi="Arial"/>
          <w:sz w:val="20"/>
          <w:szCs w:val="20"/>
          <w:b w:val="1"/>
          <w:bCs w:val="1"/>
          <w:color w:val="1B92D1"/>
        </w:rPr>
        <w:t>How to vote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2578735</wp:posOffset>
            </wp:positionH>
            <wp:positionV relativeFrom="paragraph">
              <wp:posOffset>69850</wp:posOffset>
            </wp:positionV>
            <wp:extent cx="456247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4562475" cy="8255"/>
                    </a:xfrm>
                    <a:prstGeom prst="rect">
                      <a:avLst/>
                    </a:prstGeom>
                    <a:noFill/>
                  </pic:spPr>
                </pic:pic>
              </a:graphicData>
            </a:graphic>
          </wp:anchor>
        </w:drawing>
      </w:r>
    </w:p>
    <w:p>
      <w:pPr>
        <w:sectPr>
          <w:pgSz w:w="11900" w:h="16838" w:orient="portrait"/>
          <w:cols w:equalWidth="0" w:num="1">
            <w:col w:w="11220"/>
          </w:cols>
          <w:pgMar w:left="320" w:top="585" w:right="359" w:bottom="1440" w:gutter="0" w:footer="0" w:header="0"/>
          <w:type w:val="continuous"/>
        </w:sectPr>
      </w:pPr>
    </w:p>
    <w:p>
      <w:pPr>
        <w:spacing w:after="0" w:line="164" w:lineRule="exact"/>
        <w:rPr>
          <w:sz w:val="20"/>
          <w:szCs w:val="20"/>
          <w:color w:val="auto"/>
        </w:rPr>
      </w:pPr>
    </w:p>
    <w:p>
      <w:pPr>
        <w:jc w:val="both"/>
        <w:ind w:right="120"/>
        <w:spacing w:after="0" w:line="261" w:lineRule="auto"/>
        <w:rPr>
          <w:sz w:val="20"/>
          <w:szCs w:val="20"/>
          <w:color w:val="auto"/>
        </w:rPr>
      </w:pPr>
      <w:r>
        <w:rPr>
          <w:rFonts w:ascii="Arial" w:cs="Arial" w:eastAsia="Arial" w:hAnsi="Arial"/>
          <w:sz w:val="14"/>
          <w:szCs w:val="14"/>
          <w:b w:val="1"/>
          <w:bCs w:val="1"/>
          <w:color w:val="455986"/>
        </w:rPr>
        <w:t>Important Notice Regarding the Availability of Proxy Materials for the Annual Meeting of Shareholders to be held on May 5, 2021.</w:t>
      </w:r>
    </w:p>
    <w:p>
      <w:pPr>
        <w:spacing w:after="0" w:line="89" w:lineRule="exact"/>
        <w:rPr>
          <w:sz w:val="20"/>
          <w:szCs w:val="20"/>
          <w:color w:val="auto"/>
        </w:rPr>
      </w:pPr>
    </w:p>
    <w:p>
      <w:pPr>
        <w:spacing w:after="0" w:line="253" w:lineRule="auto"/>
        <w:rPr>
          <w:sz w:val="20"/>
          <w:szCs w:val="20"/>
          <w:color w:val="auto"/>
        </w:rPr>
      </w:pPr>
      <w:r>
        <w:rPr>
          <w:rFonts w:ascii="Arial" w:cs="Arial" w:eastAsia="Arial" w:hAnsi="Arial"/>
          <w:sz w:val="14"/>
          <w:szCs w:val="14"/>
          <w:color w:val="455986"/>
        </w:rPr>
        <w:t xml:space="preserve">The Notice of Annual Meeting, Proxy Statement and 2020 Annual Report to Shareholders are available at: </w:t>
      </w:r>
      <w:r>
        <w:rPr>
          <w:rFonts w:ascii="Arial" w:cs="Arial" w:eastAsia="Arial" w:hAnsi="Arial"/>
          <w:sz w:val="14"/>
          <w:szCs w:val="14"/>
          <w:i w:val="1"/>
          <w:iCs w:val="1"/>
          <w:color w:val="455986"/>
        </w:rPr>
        <w:t>www.essential.co/investor-relations</w:t>
      </w:r>
    </w:p>
    <w:p>
      <w:pPr>
        <w:spacing w:after="0" w:line="103" w:lineRule="exact"/>
        <w:rPr>
          <w:sz w:val="20"/>
          <w:szCs w:val="20"/>
          <w:color w:val="auto"/>
        </w:rPr>
      </w:pPr>
    </w:p>
    <w:p>
      <w:pPr>
        <w:ind w:right="120"/>
        <w:spacing w:after="0" w:line="245" w:lineRule="auto"/>
        <w:rPr>
          <w:sz w:val="20"/>
          <w:szCs w:val="20"/>
          <w:color w:val="auto"/>
        </w:rPr>
      </w:pPr>
      <w:r>
        <w:rPr>
          <w:rFonts w:ascii="Arial" w:cs="Arial" w:eastAsia="Arial" w:hAnsi="Arial"/>
          <w:sz w:val="14"/>
          <w:szCs w:val="14"/>
          <w:color w:val="455986"/>
        </w:rPr>
        <w:t>If you encounter any difficulties accessing the virtual meeting during the check-in or meeting time, please call the technical support number that will be posted on the Virtual Shareholder Meeting login page.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7"/>
        </w:trPr>
        <w:tc>
          <w:tcPr>
            <w:tcW w:w="3160" w:type="dxa"/>
            <w:vAlign w:val="bottom"/>
          </w:tcPr>
          <w:p>
            <w:pPr>
              <w:spacing w:after="0"/>
              <w:rPr>
                <w:sz w:val="20"/>
                <w:szCs w:val="20"/>
                <w:color w:val="auto"/>
              </w:rPr>
            </w:pPr>
            <w:r>
              <w:rPr>
                <w:rFonts w:ascii="Arial" w:cs="Arial" w:eastAsia="Arial" w:hAnsi="Arial"/>
                <w:sz w:val="14"/>
                <w:szCs w:val="14"/>
                <w:b w:val="1"/>
                <w:bCs w:val="1"/>
                <w:color w:val="4395D4"/>
              </w:rPr>
              <w:t>Online before the meeting*</w:t>
            </w:r>
          </w:p>
        </w:tc>
        <w:tc>
          <w:tcPr>
            <w:tcW w:w="1740" w:type="dxa"/>
            <w:vAlign w:val="bottom"/>
          </w:tcPr>
          <w:p>
            <w:pPr>
              <w:spacing w:after="0"/>
              <w:rPr>
                <w:sz w:val="14"/>
                <w:szCs w:val="14"/>
                <w:color w:val="auto"/>
              </w:rPr>
            </w:pPr>
          </w:p>
        </w:tc>
        <w:tc>
          <w:tcPr>
            <w:tcW w:w="1560" w:type="dxa"/>
            <w:vAlign w:val="bottom"/>
          </w:tcPr>
          <w:p>
            <w:pPr>
              <w:ind w:left="260"/>
              <w:spacing w:after="0"/>
              <w:rPr>
                <w:sz w:val="20"/>
                <w:szCs w:val="20"/>
                <w:color w:val="auto"/>
              </w:rPr>
            </w:pPr>
            <w:r>
              <w:rPr>
                <w:rFonts w:ascii="Arial" w:cs="Arial" w:eastAsia="Arial" w:hAnsi="Arial"/>
                <w:sz w:val="14"/>
                <w:szCs w:val="14"/>
                <w:b w:val="1"/>
                <w:bCs w:val="1"/>
                <w:color w:val="4395D4"/>
              </w:rPr>
              <w:t>By mail</w:t>
            </w:r>
          </w:p>
        </w:tc>
        <w:tc>
          <w:tcPr>
            <w:tcW w:w="0" w:type="dxa"/>
            <w:vAlign w:val="bottom"/>
          </w:tcPr>
          <w:p>
            <w:pPr>
              <w:spacing w:after="0"/>
              <w:rPr>
                <w:sz w:val="1"/>
                <w:szCs w:val="1"/>
                <w:color w:val="auto"/>
              </w:rPr>
            </w:pPr>
          </w:p>
        </w:tc>
      </w:tr>
      <w:tr>
        <w:trPr>
          <w:trHeight w:val="153"/>
        </w:trPr>
        <w:tc>
          <w:tcPr>
            <w:tcW w:w="3160" w:type="dxa"/>
            <w:vAlign w:val="bottom"/>
          </w:tcPr>
          <w:p>
            <w:pPr>
              <w:spacing w:after="0" w:line="153" w:lineRule="exact"/>
              <w:rPr>
                <w:sz w:val="20"/>
                <w:szCs w:val="20"/>
                <w:color w:val="auto"/>
              </w:rPr>
            </w:pPr>
            <w:r>
              <w:rPr>
                <w:rFonts w:ascii="Arial" w:cs="Arial" w:eastAsia="Arial" w:hAnsi="Arial"/>
                <w:sz w:val="14"/>
                <w:szCs w:val="14"/>
                <w:b w:val="1"/>
                <w:bCs w:val="1"/>
                <w:color w:val="231F20"/>
              </w:rPr>
              <w:t>www.proxyvote.com</w:t>
            </w:r>
          </w:p>
        </w:tc>
        <w:tc>
          <w:tcPr>
            <w:tcW w:w="1740" w:type="dxa"/>
            <w:vAlign w:val="bottom"/>
          </w:tcPr>
          <w:p>
            <w:pPr>
              <w:ind w:left="220"/>
              <w:spacing w:after="0" w:line="153" w:lineRule="exact"/>
              <w:rPr>
                <w:sz w:val="20"/>
                <w:szCs w:val="20"/>
                <w:color w:val="auto"/>
              </w:rPr>
            </w:pPr>
            <w:r>
              <w:rPr>
                <w:rFonts w:ascii="Arial" w:cs="Arial" w:eastAsia="Arial" w:hAnsi="Arial"/>
                <w:sz w:val="14"/>
                <w:szCs w:val="14"/>
                <w:b w:val="1"/>
                <w:bCs w:val="1"/>
                <w:color w:val="4395D4"/>
              </w:rPr>
              <w:t>By phone*</w:t>
            </w:r>
          </w:p>
        </w:tc>
        <w:tc>
          <w:tcPr>
            <w:tcW w:w="1560" w:type="dxa"/>
            <w:vAlign w:val="bottom"/>
          </w:tcPr>
          <w:p>
            <w:pPr>
              <w:ind w:left="260"/>
              <w:spacing w:after="0"/>
              <w:rPr>
                <w:sz w:val="20"/>
                <w:szCs w:val="20"/>
                <w:color w:val="auto"/>
              </w:rPr>
            </w:pPr>
            <w:r>
              <w:rPr>
                <w:rFonts w:ascii="Arial" w:cs="Arial" w:eastAsia="Arial" w:hAnsi="Arial"/>
                <w:sz w:val="13"/>
                <w:szCs w:val="13"/>
                <w:color w:val="231F20"/>
                <w:w w:val="96"/>
              </w:rPr>
              <w:t>Return your proxy card</w:t>
            </w:r>
          </w:p>
        </w:tc>
        <w:tc>
          <w:tcPr>
            <w:tcW w:w="0" w:type="dxa"/>
            <w:vAlign w:val="bottom"/>
          </w:tcPr>
          <w:p>
            <w:pPr>
              <w:spacing w:after="0"/>
              <w:rPr>
                <w:sz w:val="1"/>
                <w:szCs w:val="1"/>
                <w:color w:val="auto"/>
              </w:rPr>
            </w:pPr>
          </w:p>
        </w:tc>
      </w:tr>
      <w:tr>
        <w:trPr>
          <w:trHeight w:val="140"/>
        </w:trPr>
        <w:tc>
          <w:tcPr>
            <w:tcW w:w="3160" w:type="dxa"/>
            <w:vAlign w:val="bottom"/>
            <w:vMerge w:val="restart"/>
          </w:tcPr>
          <w:p>
            <w:pPr>
              <w:spacing w:after="0"/>
              <w:rPr>
                <w:sz w:val="20"/>
                <w:szCs w:val="20"/>
                <w:color w:val="auto"/>
              </w:rPr>
            </w:pPr>
            <w:r>
              <w:rPr>
                <w:rFonts w:ascii="Arial" w:cs="Arial" w:eastAsia="Arial" w:hAnsi="Arial"/>
                <w:sz w:val="13"/>
                <w:szCs w:val="13"/>
                <w:b w:val="1"/>
                <w:bCs w:val="1"/>
                <w:color w:val="4395D4"/>
              </w:rPr>
              <w:t>Online at the meeting</w:t>
            </w:r>
          </w:p>
        </w:tc>
        <w:tc>
          <w:tcPr>
            <w:tcW w:w="1740" w:type="dxa"/>
            <w:vAlign w:val="bottom"/>
          </w:tcPr>
          <w:p>
            <w:pPr>
              <w:ind w:left="220"/>
              <w:spacing w:after="0" w:line="141" w:lineRule="exact"/>
              <w:rPr>
                <w:sz w:val="20"/>
                <w:szCs w:val="20"/>
                <w:color w:val="auto"/>
              </w:rPr>
            </w:pPr>
            <w:r>
              <w:rPr>
                <w:rFonts w:ascii="Arial" w:cs="Arial" w:eastAsia="Arial" w:hAnsi="Arial"/>
                <w:sz w:val="13"/>
                <w:szCs w:val="13"/>
                <w:color w:val="231F20"/>
              </w:rPr>
              <w:t>In the U.S. or Canada</w:t>
            </w:r>
          </w:p>
        </w:tc>
        <w:tc>
          <w:tcPr>
            <w:tcW w:w="1560" w:type="dxa"/>
            <w:vAlign w:val="bottom"/>
          </w:tcPr>
          <w:p>
            <w:pPr>
              <w:ind w:left="260"/>
              <w:spacing w:after="0" w:line="141" w:lineRule="exact"/>
              <w:rPr>
                <w:sz w:val="20"/>
                <w:szCs w:val="20"/>
                <w:color w:val="auto"/>
              </w:rPr>
            </w:pPr>
            <w:r>
              <w:rPr>
                <w:rFonts w:ascii="Arial" w:cs="Arial" w:eastAsia="Arial" w:hAnsi="Arial"/>
                <w:sz w:val="13"/>
                <w:szCs w:val="13"/>
                <w:color w:val="231F20"/>
              </w:rPr>
              <w:t>in the postage-paid</w:t>
            </w:r>
          </w:p>
        </w:tc>
        <w:tc>
          <w:tcPr>
            <w:tcW w:w="0" w:type="dxa"/>
            <w:vAlign w:val="bottom"/>
          </w:tcPr>
          <w:p>
            <w:pPr>
              <w:spacing w:after="0"/>
              <w:rPr>
                <w:sz w:val="1"/>
                <w:szCs w:val="1"/>
                <w:color w:val="auto"/>
              </w:rPr>
            </w:pPr>
          </w:p>
        </w:tc>
      </w:tr>
      <w:tr>
        <w:trPr>
          <w:trHeight w:val="147"/>
        </w:trPr>
        <w:tc>
          <w:tcPr>
            <w:tcW w:w="3160" w:type="dxa"/>
            <w:vAlign w:val="bottom"/>
            <w:vMerge w:val="continue"/>
          </w:tcPr>
          <w:p>
            <w:pPr>
              <w:spacing w:after="0"/>
              <w:rPr>
                <w:sz w:val="12"/>
                <w:szCs w:val="12"/>
                <w:color w:val="auto"/>
              </w:rPr>
            </w:pPr>
          </w:p>
        </w:tc>
        <w:tc>
          <w:tcPr>
            <w:tcW w:w="1740" w:type="dxa"/>
            <w:vAlign w:val="bottom"/>
          </w:tcPr>
          <w:p>
            <w:pPr>
              <w:ind w:left="220"/>
              <w:spacing w:after="0" w:line="148" w:lineRule="exact"/>
              <w:rPr>
                <w:sz w:val="20"/>
                <w:szCs w:val="20"/>
                <w:color w:val="auto"/>
              </w:rPr>
            </w:pPr>
            <w:r>
              <w:rPr>
                <w:rFonts w:ascii="Arial" w:cs="Arial" w:eastAsia="Arial" w:hAnsi="Arial"/>
                <w:sz w:val="13"/>
                <w:szCs w:val="13"/>
                <w:color w:val="231F20"/>
              </w:rPr>
              <w:t>dial toll-free</w:t>
            </w:r>
          </w:p>
        </w:tc>
        <w:tc>
          <w:tcPr>
            <w:tcW w:w="1560" w:type="dxa"/>
            <w:vAlign w:val="bottom"/>
          </w:tcPr>
          <w:p>
            <w:pPr>
              <w:ind w:left="260"/>
              <w:spacing w:after="0" w:line="148" w:lineRule="exact"/>
              <w:rPr>
                <w:sz w:val="20"/>
                <w:szCs w:val="20"/>
                <w:color w:val="auto"/>
              </w:rPr>
            </w:pPr>
            <w:r>
              <w:rPr>
                <w:rFonts w:ascii="Arial" w:cs="Arial" w:eastAsia="Arial" w:hAnsi="Arial"/>
                <w:sz w:val="13"/>
                <w:szCs w:val="13"/>
                <w:color w:val="231F20"/>
              </w:rPr>
              <w:t>envelope provided</w:t>
            </w:r>
          </w:p>
        </w:tc>
        <w:tc>
          <w:tcPr>
            <w:tcW w:w="0" w:type="dxa"/>
            <w:vAlign w:val="bottom"/>
          </w:tcPr>
          <w:p>
            <w:pPr>
              <w:spacing w:after="0"/>
              <w:rPr>
                <w:sz w:val="1"/>
                <w:szCs w:val="1"/>
                <w:color w:val="auto"/>
              </w:rPr>
            </w:pPr>
          </w:p>
        </w:tc>
      </w:tr>
      <w:tr>
        <w:trPr>
          <w:trHeight w:val="140"/>
        </w:trPr>
        <w:tc>
          <w:tcPr>
            <w:tcW w:w="3160" w:type="dxa"/>
            <w:vAlign w:val="bottom"/>
          </w:tcPr>
          <w:p>
            <w:pPr>
              <w:spacing w:after="0" w:line="141" w:lineRule="exact"/>
              <w:rPr>
                <w:sz w:val="20"/>
                <w:szCs w:val="20"/>
                <w:color w:val="auto"/>
              </w:rPr>
            </w:pPr>
            <w:r>
              <w:rPr>
                <w:rFonts w:ascii="Arial" w:cs="Arial" w:eastAsia="Arial" w:hAnsi="Arial"/>
                <w:sz w:val="13"/>
                <w:szCs w:val="13"/>
                <w:color w:val="auto"/>
              </w:rPr>
              <w:t>Attend the Annual Meeting virtually at</w:t>
            </w:r>
          </w:p>
        </w:tc>
        <w:tc>
          <w:tcPr>
            <w:tcW w:w="1740" w:type="dxa"/>
            <w:vAlign w:val="bottom"/>
          </w:tcPr>
          <w:p>
            <w:pPr>
              <w:ind w:left="220"/>
              <w:spacing w:after="0" w:line="141" w:lineRule="exact"/>
              <w:rPr>
                <w:sz w:val="20"/>
                <w:szCs w:val="20"/>
                <w:color w:val="auto"/>
              </w:rPr>
            </w:pPr>
            <w:r>
              <w:rPr>
                <w:rFonts w:ascii="Arial" w:cs="Arial" w:eastAsia="Arial" w:hAnsi="Arial"/>
                <w:sz w:val="13"/>
                <w:szCs w:val="13"/>
                <w:b w:val="1"/>
                <w:bCs w:val="1"/>
                <w:color w:val="231F20"/>
              </w:rPr>
              <w:t>1-800-690-6903</w:t>
            </w:r>
          </w:p>
        </w:tc>
        <w:tc>
          <w:tcPr>
            <w:tcW w:w="15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160" w:type="dxa"/>
            <w:vAlign w:val="bottom"/>
          </w:tcPr>
          <w:p>
            <w:pPr>
              <w:spacing w:after="0" w:line="143" w:lineRule="exact"/>
              <w:rPr>
                <w:sz w:val="20"/>
                <w:szCs w:val="20"/>
                <w:color w:val="auto"/>
              </w:rPr>
            </w:pPr>
            <w:r>
              <w:rPr>
                <w:rFonts w:ascii="Arial" w:cs="Arial" w:eastAsia="Arial" w:hAnsi="Arial"/>
                <w:sz w:val="13"/>
                <w:szCs w:val="13"/>
                <w:b w:val="1"/>
                <w:bCs w:val="1"/>
                <w:color w:val="231F20"/>
              </w:rPr>
              <w:t>www.virtualshareholdermeeting.com/WTRG2021</w:t>
            </w:r>
          </w:p>
        </w:tc>
        <w:tc>
          <w:tcPr>
            <w:tcW w:w="174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3160" w:type="dxa"/>
            <w:vAlign w:val="bottom"/>
          </w:tcPr>
          <w:p>
            <w:pPr>
              <w:spacing w:after="0"/>
              <w:rPr>
                <w:sz w:val="20"/>
                <w:szCs w:val="20"/>
                <w:color w:val="auto"/>
              </w:rPr>
            </w:pPr>
            <w:r>
              <w:rPr>
                <w:rFonts w:ascii="Arial" w:cs="Arial" w:eastAsia="Arial" w:hAnsi="Arial"/>
                <w:sz w:val="13"/>
                <w:szCs w:val="13"/>
                <w:color w:val="auto"/>
              </w:rPr>
              <w:t>and follow the instructions for voting</w:t>
            </w:r>
          </w:p>
        </w:tc>
        <w:tc>
          <w:tcPr>
            <w:tcW w:w="174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-1021715</wp:posOffset>
            </wp:positionV>
            <wp:extent cx="631825" cy="3727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31825" cy="372745"/>
                    </a:xfrm>
                    <a:prstGeom prst="rect">
                      <a:avLst/>
                    </a:prstGeom>
                    <a:noFill/>
                  </pic:spPr>
                </pic:pic>
              </a:graphicData>
            </a:graphic>
          </wp:anchor>
        </w:drawing>
        <w:drawing>
          <wp:anchor simplePos="0" relativeHeight="251657728" behindDoc="1" locked="0" layoutInCell="0" allowOverlap="1">
            <wp:simplePos x="0" y="0"/>
            <wp:positionH relativeFrom="column">
              <wp:posOffset>2148205</wp:posOffset>
            </wp:positionH>
            <wp:positionV relativeFrom="paragraph">
              <wp:posOffset>-1021715</wp:posOffset>
            </wp:positionV>
            <wp:extent cx="275590" cy="4699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75590" cy="469900"/>
                    </a:xfrm>
                    <a:prstGeom prst="rect">
                      <a:avLst/>
                    </a:prstGeom>
                    <a:noFill/>
                  </pic:spPr>
                </pic:pic>
              </a:graphicData>
            </a:graphic>
          </wp:anchor>
        </w:drawing>
        <w:drawing>
          <wp:anchor simplePos="0" relativeHeight="251657728" behindDoc="1" locked="0" layoutInCell="0" allowOverlap="1">
            <wp:simplePos x="0" y="0"/>
            <wp:positionH relativeFrom="column">
              <wp:posOffset>3282315</wp:posOffset>
            </wp:positionH>
            <wp:positionV relativeFrom="paragraph">
              <wp:posOffset>-1021715</wp:posOffset>
            </wp:positionV>
            <wp:extent cx="551180" cy="35687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51180" cy="356870"/>
                    </a:xfrm>
                    <a:prstGeom prst="rect">
                      <a:avLst/>
                    </a:prstGeom>
                    <a:noFill/>
                  </pic:spPr>
                </pic:pic>
              </a:graphicData>
            </a:graphic>
          </wp:anchor>
        </w:drawing>
      </w:r>
    </w:p>
    <w:p>
      <w:pPr>
        <w:spacing w:after="0" w:line="133" w:lineRule="exact"/>
        <w:rPr>
          <w:sz w:val="20"/>
          <w:szCs w:val="20"/>
          <w:color w:val="auto"/>
        </w:rPr>
      </w:pPr>
    </w:p>
    <w:p>
      <w:pPr>
        <w:ind w:left="180" w:right="240" w:hanging="179"/>
        <w:spacing w:after="0" w:line="244" w:lineRule="auto"/>
        <w:tabs>
          <w:tab w:leader="none" w:pos="174" w:val="left"/>
        </w:tabs>
        <w:numPr>
          <w:ilvl w:val="0"/>
          <w:numId w:val="5"/>
        </w:numPr>
        <w:rPr>
          <w:rFonts w:ascii="Arial" w:cs="Arial" w:eastAsia="Arial" w:hAnsi="Arial"/>
          <w:sz w:val="14"/>
          <w:szCs w:val="14"/>
          <w:color w:val="231F20"/>
        </w:rPr>
      </w:pPr>
      <w:r>
        <w:rPr>
          <w:rFonts w:ascii="Arial" w:cs="Arial" w:eastAsia="Arial" w:hAnsi="Arial"/>
          <w:sz w:val="14"/>
          <w:szCs w:val="14"/>
          <w:color w:val="231F20"/>
        </w:rPr>
        <w:t>You have until 11:59 p.m. (ET) on May 4, 2021 to vote through the internet or by phone, and if you are a plan participant you have until 11:59 p.m. (ET) on May 2, 2021 to vote through the internet or by phone. If you vote by Internet or by Phone, you do not need to mail back your proxy card.</w:t>
      </w:r>
    </w:p>
    <w:p>
      <w:pPr>
        <w:spacing w:after="0" w:line="200" w:lineRule="exact"/>
        <w:rPr>
          <w:sz w:val="20"/>
          <w:szCs w:val="20"/>
          <w:color w:val="auto"/>
        </w:rPr>
      </w:pPr>
    </w:p>
    <w:p>
      <w:pPr>
        <w:sectPr>
          <w:pgSz w:w="11900" w:h="16838" w:orient="portrait"/>
          <w:cols w:equalWidth="0" w:num="2">
            <w:col w:w="3700" w:space="360"/>
            <w:col w:w="7160"/>
          </w:cols>
          <w:pgMar w:left="320" w:top="585" w:right="359" w:bottom="1440" w:gutter="0" w:footer="0" w:header="0"/>
          <w:type w:val="continuous"/>
        </w:sectPr>
      </w:pPr>
    </w:p>
    <w:p>
      <w:pPr>
        <w:spacing w:after="0" w:line="81" w:lineRule="exact"/>
        <w:rPr>
          <w:sz w:val="20"/>
          <w:szCs w:val="20"/>
          <w:color w:val="auto"/>
        </w:rPr>
      </w:pPr>
    </w:p>
    <w:p>
      <w:pPr>
        <w:jc w:val="right"/>
        <w:ind w:right="4800"/>
        <w:spacing w:after="0"/>
        <w:rPr>
          <w:sz w:val="20"/>
          <w:szCs w:val="20"/>
          <w:color w:val="auto"/>
        </w:rPr>
      </w:pPr>
      <w:r>
        <w:rPr>
          <w:rFonts w:ascii="Arial" w:cs="Arial" w:eastAsia="Arial" w:hAnsi="Arial"/>
          <w:sz w:val="15"/>
          <w:szCs w:val="15"/>
          <w:color w:val="231F20"/>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2578735</wp:posOffset>
            </wp:positionH>
            <wp:positionV relativeFrom="paragraph">
              <wp:posOffset>128905</wp:posOffset>
            </wp:positionV>
            <wp:extent cx="1005205" cy="389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005205" cy="389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4060"/>
        <w:spacing w:after="0"/>
        <w:rPr>
          <w:sz w:val="20"/>
          <w:szCs w:val="20"/>
          <w:color w:val="auto"/>
        </w:rPr>
      </w:pPr>
      <w:r>
        <w:rPr>
          <w:rFonts w:ascii="Arial" w:cs="Arial" w:eastAsia="Arial" w:hAnsi="Arial"/>
          <w:sz w:val="15"/>
          <w:szCs w:val="15"/>
          <w:b w:val="1"/>
          <w:bCs w:val="1"/>
          <w:color w:val="455986"/>
        </w:rPr>
        <w:t>Christopher P. Luning</w:t>
      </w:r>
    </w:p>
    <w:p>
      <w:pPr>
        <w:spacing w:after="0" w:line="26" w:lineRule="exact"/>
        <w:rPr>
          <w:sz w:val="20"/>
          <w:szCs w:val="20"/>
          <w:color w:val="auto"/>
        </w:rPr>
      </w:pPr>
    </w:p>
    <w:p>
      <w:pPr>
        <w:ind w:left="4060"/>
        <w:spacing w:after="0"/>
        <w:rPr>
          <w:sz w:val="20"/>
          <w:szCs w:val="20"/>
          <w:color w:val="auto"/>
        </w:rPr>
      </w:pPr>
      <w:r>
        <w:rPr>
          <w:rFonts w:ascii="Arial" w:cs="Arial" w:eastAsia="Arial" w:hAnsi="Arial"/>
          <w:sz w:val="15"/>
          <w:szCs w:val="15"/>
          <w:color w:val="231F20"/>
        </w:rPr>
        <w:t>Secretary</w:t>
      </w:r>
    </w:p>
    <w:p>
      <w:pPr>
        <w:spacing w:after="0" w:line="6" w:lineRule="exact"/>
        <w:rPr>
          <w:sz w:val="20"/>
          <w:szCs w:val="20"/>
          <w:color w:val="auto"/>
        </w:rPr>
      </w:pPr>
    </w:p>
    <w:p>
      <w:pPr>
        <w:ind w:left="4060"/>
        <w:spacing w:after="0"/>
        <w:rPr>
          <w:sz w:val="20"/>
          <w:szCs w:val="20"/>
          <w:color w:val="auto"/>
        </w:rPr>
      </w:pPr>
      <w:r>
        <w:rPr>
          <w:rFonts w:ascii="Arial" w:cs="Arial" w:eastAsia="Arial" w:hAnsi="Arial"/>
          <w:sz w:val="15"/>
          <w:szCs w:val="15"/>
          <w:color w:val="231F20"/>
        </w:rPr>
        <w:t>March 22,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238125</wp:posOffset>
            </wp:positionV>
            <wp:extent cx="713994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9940" cy="8255"/>
                    </a:xfrm>
                    <a:prstGeom prst="rect">
                      <a:avLst/>
                    </a:prstGeom>
                    <a:noFill/>
                  </pic:spPr>
                </pic:pic>
              </a:graphicData>
            </a:graphic>
          </wp:anchor>
        </w:drawing>
      </w:r>
    </w:p>
    <w:p>
      <w:pPr>
        <w:spacing w:after="0" w:line="200" w:lineRule="exact"/>
        <w:rPr>
          <w:sz w:val="20"/>
          <w:szCs w:val="20"/>
          <w:color w:val="auto"/>
        </w:rPr>
      </w:pPr>
    </w:p>
    <w:p>
      <w:pPr>
        <w:spacing w:after="0" w:line="224" w:lineRule="exact"/>
        <w:rPr>
          <w:sz w:val="20"/>
          <w:szCs w:val="20"/>
          <w:color w:val="auto"/>
        </w:rPr>
      </w:pPr>
    </w:p>
    <w:p>
      <w:pPr>
        <w:ind w:left="220" w:hanging="218"/>
        <w:spacing w:after="0"/>
        <w:tabs>
          <w:tab w:leader="none" w:pos="220" w:val="left"/>
        </w:tabs>
        <w:numPr>
          <w:ilvl w:val="0"/>
          <w:numId w:val="6"/>
        </w:numPr>
        <w:rPr>
          <w:rFonts w:ascii="Arial" w:cs="Arial" w:eastAsia="Arial" w:hAnsi="Arial"/>
          <w:sz w:val="15"/>
          <w:szCs w:val="15"/>
          <w:color w:val="455986"/>
        </w:rPr>
      </w:pPr>
      <w:r>
        <w:rPr>
          <w:rFonts w:ascii="Arial" w:cs="Arial" w:eastAsia="Arial" w:hAnsi="Arial"/>
          <w:sz w:val="12"/>
          <w:szCs w:val="12"/>
          <w:color w:val="4395D4"/>
        </w:rPr>
        <w:t xml:space="preserve">ESSENTIAL UTILITIES, INC. </w:t>
      </w:r>
      <w:r>
        <w:rPr>
          <w:rFonts w:ascii="Arial" w:cs="Arial" w:eastAsia="Arial" w:hAnsi="Arial"/>
          <w:sz w:val="12"/>
          <w:szCs w:val="12"/>
          <w:color w:val="455986"/>
        </w:rPr>
        <w:t>2021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324485</wp:posOffset>
            </wp:positionV>
            <wp:extent cx="7139940" cy="2413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9940" cy="24130"/>
                    </a:xfrm>
                    <a:prstGeom prst="rect">
                      <a:avLst/>
                    </a:prstGeom>
                    <a:noFill/>
                  </pic:spPr>
                </pic:pic>
              </a:graphicData>
            </a:graphic>
          </wp:anchor>
        </w:drawing>
      </w:r>
    </w:p>
    <w:p>
      <w:pPr>
        <w:sectPr>
          <w:pgSz w:w="11900" w:h="16838" w:orient="portrait"/>
          <w:cols w:equalWidth="0" w:num="1">
            <w:col w:w="11220"/>
          </w:cols>
          <w:pgMar w:left="320" w:top="585" w:right="359" w:bottom="1440" w:gutter="0" w:footer="0" w:header="0"/>
          <w:type w:val="continuous"/>
        </w:sectPr>
      </w:pPr>
    </w:p>
    <w:bookmarkStart w:id="5" w:name="page6"/>
    <w:bookmarkEnd w:id="5"/>
    <w:p>
      <w:pPr>
        <w:spacing w:after="0"/>
        <w:rPr>
          <w:sz w:val="20"/>
          <w:szCs w:val="20"/>
          <w:color w:val="auto"/>
        </w:rPr>
      </w:pPr>
      <w:r>
        <w:rPr>
          <w:rFonts w:ascii="Arial" w:cs="Arial" w:eastAsia="Arial" w:hAnsi="Arial"/>
          <w:sz w:val="48"/>
          <w:szCs w:val="48"/>
          <w:b w:val="1"/>
          <w:bCs w:val="1"/>
          <w:color w:val="455986"/>
        </w:rPr>
        <w:t>Contents</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40" w:type="dxa"/>
            <w:vAlign w:val="bottom"/>
            <w:tcBorders>
              <w:bottom w:val="single" w:sz="8" w:color="4395D4"/>
            </w:tcBorders>
            <w:gridSpan w:val="4"/>
          </w:tcPr>
          <w:p>
            <w:pPr>
              <w:spacing w:after="0"/>
              <w:rPr>
                <w:rFonts w:ascii="Arial" w:cs="Arial" w:eastAsia="Arial" w:hAnsi="Arial"/>
                <w:sz w:val="14"/>
                <w:szCs w:val="14"/>
                <w:b w:val="1"/>
                <w:bCs w:val="1"/>
                <w:color w:val="4395D4"/>
                <w:w w:val="95"/>
              </w:rPr>
            </w:pPr>
            <w:hyperlink w:anchor="page7">
              <w:r>
                <w:rPr>
                  <w:rFonts w:ascii="Arial" w:cs="Arial" w:eastAsia="Arial" w:hAnsi="Arial"/>
                  <w:sz w:val="14"/>
                  <w:szCs w:val="14"/>
                  <w:b w:val="1"/>
                  <w:bCs w:val="1"/>
                  <w:color w:val="4395D4"/>
                  <w:w w:val="95"/>
                </w:rPr>
                <w:t>Proxy Summary</w:t>
              </w:r>
            </w:hyperlink>
          </w:p>
        </w:tc>
        <w:tc>
          <w:tcPr>
            <w:tcW w:w="8520" w:type="dxa"/>
            <w:vAlign w:val="bottom"/>
            <w:gridSpan w:val="19"/>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4"/>
                <w:szCs w:val="14"/>
                <w:b w:val="1"/>
                <w:bCs w:val="1"/>
                <w:color w:val="4395D4"/>
              </w:rPr>
              <w:t>4</w:t>
            </w:r>
          </w:p>
        </w:tc>
      </w:tr>
      <w:tr>
        <w:trPr>
          <w:trHeight w:val="210"/>
        </w:trPr>
        <w:tc>
          <w:tcPr>
            <w:tcW w:w="9560" w:type="dxa"/>
            <w:vAlign w:val="bottom"/>
            <w:gridSpan w:val="23"/>
          </w:tcPr>
          <w:p>
            <w:pPr>
              <w:spacing w:after="0"/>
              <w:rPr>
                <w:rFonts w:ascii="Arial" w:cs="Arial" w:eastAsia="Arial" w:hAnsi="Arial"/>
                <w:sz w:val="14"/>
                <w:szCs w:val="14"/>
                <w:b w:val="1"/>
                <w:bCs w:val="1"/>
                <w:color w:val="4395D4"/>
              </w:rPr>
            </w:pPr>
            <w:hyperlink w:anchor="page13">
              <w:r>
                <w:rPr>
                  <w:rFonts w:ascii="Arial" w:cs="Arial" w:eastAsia="Arial" w:hAnsi="Arial"/>
                  <w:sz w:val="14"/>
                  <w:szCs w:val="14"/>
                  <w:b w:val="1"/>
                  <w:bCs w:val="1"/>
                  <w:color w:val="4395D4"/>
                </w:rPr>
                <w:t xml:space="preserve">Proposal 1 </w:t>
              </w:r>
              <w:r>
                <w:rPr>
                  <w:rFonts w:ascii="Arial" w:cs="Arial" w:eastAsia="Arial" w:hAnsi="Arial"/>
                  <w:sz w:val="14"/>
                  <w:szCs w:val="14"/>
                  <w:b w:val="1"/>
                  <w:bCs w:val="1"/>
                  <w:color w:val="455986"/>
                </w:rPr>
                <w:t>Election of Directors</w:t>
              </w:r>
            </w:hyperlink>
          </w:p>
        </w:tc>
        <w:tc>
          <w:tcPr>
            <w:tcW w:w="560" w:type="dxa"/>
            <w:vAlign w:val="bottom"/>
          </w:tcPr>
          <w:p>
            <w:pPr>
              <w:jc w:val="right"/>
              <w:spacing w:after="0"/>
              <w:rPr>
                <w:sz w:val="20"/>
                <w:szCs w:val="20"/>
                <w:color w:val="auto"/>
              </w:rPr>
            </w:pPr>
            <w:r>
              <w:rPr>
                <w:rFonts w:ascii="Arial" w:cs="Arial" w:eastAsia="Arial" w:hAnsi="Arial"/>
                <w:sz w:val="14"/>
                <w:szCs w:val="14"/>
                <w:b w:val="1"/>
                <w:bCs w:val="1"/>
                <w:color w:val="455986"/>
              </w:rPr>
              <w:t>10</w:t>
            </w:r>
          </w:p>
        </w:tc>
      </w:tr>
      <w:tr>
        <w:trPr>
          <w:trHeight w:val="20"/>
        </w:trPr>
        <w:tc>
          <w:tcPr>
            <w:tcW w:w="100" w:type="dxa"/>
            <w:vAlign w:val="bottom"/>
            <w:shd w:val="clear" w:color="auto" w:fill="4395D4"/>
          </w:tcPr>
          <w:p>
            <w:pPr>
              <w:spacing w:after="0" w:line="20" w:lineRule="exact"/>
              <w:rPr>
                <w:sz w:val="1"/>
                <w:szCs w:val="1"/>
                <w:color w:val="auto"/>
              </w:rPr>
            </w:pPr>
          </w:p>
        </w:tc>
        <w:tc>
          <w:tcPr>
            <w:tcW w:w="700" w:type="dxa"/>
            <w:vAlign w:val="bottom"/>
            <w:tcBorders>
              <w:right w:val="single" w:sz="8" w:color="455986"/>
            </w:tcBorders>
            <w:shd w:val="clear" w:color="auto" w:fill="4395D4"/>
          </w:tcPr>
          <w:p>
            <w:pPr>
              <w:spacing w:after="0" w:line="20" w:lineRule="exact"/>
              <w:rPr>
                <w:sz w:val="1"/>
                <w:szCs w:val="1"/>
                <w:color w:val="auto"/>
              </w:rPr>
            </w:pPr>
          </w:p>
        </w:tc>
        <w:tc>
          <w:tcPr>
            <w:tcW w:w="80" w:type="dxa"/>
            <w:vAlign w:val="bottom"/>
            <w:shd w:val="clear" w:color="auto" w:fill="455986"/>
          </w:tcPr>
          <w:p>
            <w:pPr>
              <w:spacing w:after="0" w:line="20" w:lineRule="exact"/>
              <w:rPr>
                <w:sz w:val="1"/>
                <w:szCs w:val="1"/>
                <w:color w:val="auto"/>
              </w:rPr>
            </w:pPr>
          </w:p>
        </w:tc>
        <w:tc>
          <w:tcPr>
            <w:tcW w:w="160" w:type="dxa"/>
            <w:vAlign w:val="bottom"/>
            <w:shd w:val="clear" w:color="auto" w:fill="455986"/>
          </w:tcPr>
          <w:p>
            <w:pPr>
              <w:spacing w:after="0" w:line="20" w:lineRule="exact"/>
              <w:rPr>
                <w:sz w:val="1"/>
                <w:szCs w:val="1"/>
                <w:color w:val="auto"/>
              </w:rPr>
            </w:pPr>
          </w:p>
        </w:tc>
        <w:tc>
          <w:tcPr>
            <w:tcW w:w="400" w:type="dxa"/>
            <w:vAlign w:val="bottom"/>
            <w:shd w:val="clear" w:color="auto" w:fill="455986"/>
          </w:tcPr>
          <w:p>
            <w:pPr>
              <w:spacing w:after="0" w:line="20" w:lineRule="exact"/>
              <w:rPr>
                <w:sz w:val="1"/>
                <w:szCs w:val="1"/>
                <w:color w:val="auto"/>
              </w:rPr>
            </w:pPr>
          </w:p>
        </w:tc>
        <w:tc>
          <w:tcPr>
            <w:tcW w:w="20" w:type="dxa"/>
            <w:vAlign w:val="bottom"/>
            <w:shd w:val="clear" w:color="auto" w:fill="455986"/>
          </w:tcPr>
          <w:p>
            <w:pPr>
              <w:spacing w:after="0" w:line="20" w:lineRule="exact"/>
              <w:rPr>
                <w:sz w:val="1"/>
                <w:szCs w:val="1"/>
                <w:color w:val="auto"/>
              </w:rPr>
            </w:pPr>
          </w:p>
        </w:tc>
        <w:tc>
          <w:tcPr>
            <w:tcW w:w="20" w:type="dxa"/>
            <w:vAlign w:val="bottom"/>
            <w:shd w:val="clear" w:color="auto" w:fill="455986"/>
          </w:tcPr>
          <w:p>
            <w:pPr>
              <w:spacing w:after="0" w:line="20" w:lineRule="exact"/>
              <w:rPr>
                <w:sz w:val="1"/>
                <w:szCs w:val="1"/>
                <w:color w:val="auto"/>
              </w:rPr>
            </w:pPr>
          </w:p>
        </w:tc>
        <w:tc>
          <w:tcPr>
            <w:tcW w:w="20" w:type="dxa"/>
            <w:vAlign w:val="bottom"/>
            <w:shd w:val="clear" w:color="auto" w:fill="455986"/>
          </w:tcPr>
          <w:p>
            <w:pPr>
              <w:spacing w:after="0" w:line="20" w:lineRule="exact"/>
              <w:rPr>
                <w:sz w:val="1"/>
                <w:szCs w:val="1"/>
                <w:color w:val="auto"/>
              </w:rPr>
            </w:pPr>
          </w:p>
        </w:tc>
        <w:tc>
          <w:tcPr>
            <w:tcW w:w="60" w:type="dxa"/>
            <w:vAlign w:val="bottom"/>
            <w:shd w:val="clear" w:color="auto" w:fill="455986"/>
          </w:tcPr>
          <w:p>
            <w:pPr>
              <w:spacing w:after="0" w:line="20" w:lineRule="exact"/>
              <w:rPr>
                <w:sz w:val="1"/>
                <w:szCs w:val="1"/>
                <w:color w:val="auto"/>
              </w:rPr>
            </w:pPr>
          </w:p>
        </w:tc>
        <w:tc>
          <w:tcPr>
            <w:tcW w:w="240" w:type="dxa"/>
            <w:vAlign w:val="bottom"/>
            <w:shd w:val="clear" w:color="auto" w:fill="455986"/>
          </w:tcPr>
          <w:p>
            <w:pPr>
              <w:spacing w:after="0" w:line="20" w:lineRule="exact"/>
              <w:rPr>
                <w:sz w:val="1"/>
                <w:szCs w:val="1"/>
                <w:color w:val="auto"/>
              </w:rPr>
            </w:pPr>
          </w:p>
        </w:tc>
        <w:tc>
          <w:tcPr>
            <w:tcW w:w="100" w:type="dxa"/>
            <w:vAlign w:val="bottom"/>
            <w:shd w:val="clear" w:color="auto" w:fill="455986"/>
          </w:tcPr>
          <w:p>
            <w:pPr>
              <w:spacing w:after="0" w:line="20" w:lineRule="exact"/>
              <w:rPr>
                <w:sz w:val="1"/>
                <w:szCs w:val="1"/>
                <w:color w:val="auto"/>
              </w:rPr>
            </w:pPr>
          </w:p>
        </w:tc>
        <w:tc>
          <w:tcPr>
            <w:tcW w:w="160" w:type="dxa"/>
            <w:vAlign w:val="bottom"/>
            <w:shd w:val="clear" w:color="auto" w:fill="455986"/>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210"/>
        </w:trPr>
        <w:tc>
          <w:tcPr>
            <w:tcW w:w="1480" w:type="dxa"/>
            <w:vAlign w:val="bottom"/>
            <w:tcBorders>
              <w:bottom w:val="single" w:sz="8" w:color="4395D4"/>
            </w:tcBorders>
            <w:gridSpan w:val="7"/>
          </w:tcPr>
          <w:p>
            <w:pPr>
              <w:spacing w:after="0"/>
              <w:rPr>
                <w:rFonts w:ascii="Arial" w:cs="Arial" w:eastAsia="Arial" w:hAnsi="Arial"/>
                <w:sz w:val="14"/>
                <w:szCs w:val="14"/>
                <w:b w:val="1"/>
                <w:bCs w:val="1"/>
                <w:color w:val="4395D4"/>
                <w:w w:val="96"/>
              </w:rPr>
            </w:pPr>
            <w:hyperlink w:anchor="page20">
              <w:r>
                <w:rPr>
                  <w:rFonts w:ascii="Arial" w:cs="Arial" w:eastAsia="Arial" w:hAnsi="Arial"/>
                  <w:sz w:val="14"/>
                  <w:szCs w:val="14"/>
                  <w:b w:val="1"/>
                  <w:bCs w:val="1"/>
                  <w:color w:val="4395D4"/>
                  <w:w w:val="96"/>
                </w:rPr>
                <w:t>Corporate Governance</w:t>
              </w:r>
            </w:hyperlink>
          </w:p>
        </w:tc>
        <w:tc>
          <w:tcPr>
            <w:tcW w:w="8080" w:type="dxa"/>
            <w:vAlign w:val="bottom"/>
            <w:gridSpan w:val="16"/>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4"/>
                <w:szCs w:val="14"/>
                <w:b w:val="1"/>
                <w:bCs w:val="1"/>
                <w:color w:val="4395D4"/>
              </w:rPr>
              <w:t>17</w:t>
            </w:r>
          </w:p>
        </w:tc>
      </w:tr>
      <w:tr>
        <w:trPr>
          <w:trHeight w:val="210"/>
        </w:trPr>
        <w:tc>
          <w:tcPr>
            <w:tcW w:w="100" w:type="dxa"/>
            <w:vAlign w:val="bottom"/>
          </w:tcPr>
          <w:p>
            <w:pPr>
              <w:spacing w:after="0"/>
              <w:rPr>
                <w:sz w:val="18"/>
                <w:szCs w:val="18"/>
                <w:color w:val="auto"/>
              </w:rPr>
            </w:pPr>
          </w:p>
        </w:tc>
        <w:tc>
          <w:tcPr>
            <w:tcW w:w="9460" w:type="dxa"/>
            <w:vAlign w:val="bottom"/>
            <w:gridSpan w:val="22"/>
          </w:tcPr>
          <w:p>
            <w:pPr>
              <w:spacing w:after="0"/>
              <w:rPr>
                <w:rFonts w:ascii="Arial" w:cs="Arial" w:eastAsia="Arial" w:hAnsi="Arial"/>
                <w:sz w:val="14"/>
                <w:szCs w:val="14"/>
                <w:color w:val="231F20"/>
              </w:rPr>
            </w:pPr>
            <w:hyperlink w:anchor="page27">
              <w:r>
                <w:rPr>
                  <w:rFonts w:ascii="Arial" w:cs="Arial" w:eastAsia="Arial" w:hAnsi="Arial"/>
                  <w:sz w:val="14"/>
                  <w:szCs w:val="14"/>
                  <w:color w:val="231F20"/>
                </w:rPr>
                <w:t>Shareholder Outreach</w:t>
              </w:r>
            </w:hyperlink>
          </w:p>
        </w:tc>
        <w:tc>
          <w:tcPr>
            <w:tcW w:w="560" w:type="dxa"/>
            <w:vAlign w:val="bottom"/>
          </w:tcPr>
          <w:p>
            <w:pPr>
              <w:jc w:val="right"/>
              <w:spacing w:after="0"/>
              <w:rPr>
                <w:sz w:val="20"/>
                <w:szCs w:val="20"/>
                <w:color w:val="auto"/>
              </w:rPr>
            </w:pPr>
            <w:r>
              <w:rPr>
                <w:rFonts w:ascii="Arial" w:cs="Arial" w:eastAsia="Arial" w:hAnsi="Arial"/>
                <w:sz w:val="14"/>
                <w:szCs w:val="14"/>
                <w:color w:val="231F20"/>
              </w:rPr>
              <w:t>24</w:t>
            </w:r>
          </w:p>
        </w:tc>
      </w:tr>
      <w:tr>
        <w:trPr>
          <w:trHeight w:val="20"/>
        </w:trPr>
        <w:tc>
          <w:tcPr>
            <w:tcW w:w="100" w:type="dxa"/>
            <w:vAlign w:val="bottom"/>
          </w:tcPr>
          <w:p>
            <w:pPr>
              <w:spacing w:after="0" w:line="20" w:lineRule="exact"/>
              <w:rPr>
                <w:sz w:val="1"/>
                <w:szCs w:val="1"/>
                <w:color w:val="auto"/>
              </w:rPr>
            </w:pPr>
          </w:p>
        </w:tc>
        <w:tc>
          <w:tcPr>
            <w:tcW w:w="700" w:type="dxa"/>
            <w:vAlign w:val="bottom"/>
            <w:tcBorders>
              <w:right w:val="single" w:sz="8" w:color="231F20"/>
            </w:tcBorders>
            <w:shd w:val="clear" w:color="auto" w:fill="231F20"/>
          </w:tcPr>
          <w:p>
            <w:pPr>
              <w:spacing w:after="0" w:line="20" w:lineRule="exact"/>
              <w:rPr>
                <w:sz w:val="1"/>
                <w:szCs w:val="1"/>
                <w:color w:val="auto"/>
              </w:rPr>
            </w:pPr>
          </w:p>
        </w:tc>
        <w:tc>
          <w:tcPr>
            <w:tcW w:w="80" w:type="dxa"/>
            <w:vAlign w:val="bottom"/>
            <w:shd w:val="clear" w:color="auto" w:fill="231F20"/>
          </w:tcPr>
          <w:p>
            <w:pPr>
              <w:spacing w:after="0" w:line="20" w:lineRule="exact"/>
              <w:rPr>
                <w:sz w:val="1"/>
                <w:szCs w:val="1"/>
                <w:color w:val="auto"/>
              </w:rPr>
            </w:pPr>
          </w:p>
        </w:tc>
        <w:tc>
          <w:tcPr>
            <w:tcW w:w="560" w:type="dxa"/>
            <w:vAlign w:val="bottom"/>
            <w:gridSpan w:val="2"/>
            <w:shd w:val="clear" w:color="auto" w:fill="231F2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210"/>
        </w:trPr>
        <w:tc>
          <w:tcPr>
            <w:tcW w:w="100" w:type="dxa"/>
            <w:vAlign w:val="bottom"/>
          </w:tcPr>
          <w:p>
            <w:pPr>
              <w:spacing w:after="0"/>
              <w:rPr>
                <w:sz w:val="18"/>
                <w:szCs w:val="18"/>
                <w:color w:val="auto"/>
              </w:rPr>
            </w:pPr>
          </w:p>
        </w:tc>
        <w:tc>
          <w:tcPr>
            <w:tcW w:w="9460" w:type="dxa"/>
            <w:vAlign w:val="bottom"/>
            <w:gridSpan w:val="22"/>
          </w:tcPr>
          <w:p>
            <w:pPr>
              <w:spacing w:after="0"/>
              <w:rPr>
                <w:rFonts w:ascii="Arial" w:cs="Arial" w:eastAsia="Arial" w:hAnsi="Arial"/>
                <w:sz w:val="14"/>
                <w:szCs w:val="14"/>
                <w:color w:val="231F20"/>
              </w:rPr>
            </w:pPr>
            <w:hyperlink w:anchor="page28">
              <w:r>
                <w:rPr>
                  <w:rFonts w:ascii="Arial" w:cs="Arial" w:eastAsia="Arial" w:hAnsi="Arial"/>
                  <w:sz w:val="14"/>
                  <w:szCs w:val="14"/>
                  <w:color w:val="231F20"/>
                </w:rPr>
                <w:t>Environmental Stewardship and Corporate Responsibility</w:t>
              </w:r>
            </w:hyperlink>
          </w:p>
        </w:tc>
        <w:tc>
          <w:tcPr>
            <w:tcW w:w="560" w:type="dxa"/>
            <w:vAlign w:val="bottom"/>
          </w:tcPr>
          <w:p>
            <w:pPr>
              <w:jc w:val="right"/>
              <w:spacing w:after="0"/>
              <w:rPr>
                <w:sz w:val="20"/>
                <w:szCs w:val="20"/>
                <w:color w:val="auto"/>
              </w:rPr>
            </w:pPr>
            <w:r>
              <w:rPr>
                <w:rFonts w:ascii="Arial" w:cs="Arial" w:eastAsia="Arial" w:hAnsi="Arial"/>
                <w:sz w:val="14"/>
                <w:szCs w:val="14"/>
                <w:color w:val="231F20"/>
              </w:rPr>
              <w:t>25</w:t>
            </w:r>
          </w:p>
        </w:tc>
      </w:tr>
      <w:tr>
        <w:trPr>
          <w:trHeight w:val="210"/>
        </w:trPr>
        <w:tc>
          <w:tcPr>
            <w:tcW w:w="100" w:type="dxa"/>
            <w:vAlign w:val="bottom"/>
          </w:tcPr>
          <w:p>
            <w:pPr>
              <w:spacing w:after="0"/>
              <w:rPr>
                <w:sz w:val="18"/>
                <w:szCs w:val="18"/>
                <w:color w:val="auto"/>
              </w:rPr>
            </w:pPr>
          </w:p>
        </w:tc>
        <w:tc>
          <w:tcPr>
            <w:tcW w:w="2120" w:type="dxa"/>
            <w:vAlign w:val="bottom"/>
            <w:tcBorders>
              <w:top w:val="single" w:sz="8" w:color="231F20"/>
              <w:bottom w:val="single" w:sz="8" w:color="231F20"/>
            </w:tcBorders>
            <w:gridSpan w:val="12"/>
          </w:tcPr>
          <w:p>
            <w:pPr>
              <w:spacing w:after="0"/>
              <w:rPr>
                <w:rFonts w:ascii="Arial" w:cs="Arial" w:eastAsia="Arial" w:hAnsi="Arial"/>
                <w:sz w:val="14"/>
                <w:szCs w:val="14"/>
                <w:color w:val="231F20"/>
                <w:w w:val="96"/>
              </w:rPr>
            </w:pPr>
            <w:hyperlink w:anchor="page34">
              <w:r>
                <w:rPr>
                  <w:rFonts w:ascii="Arial" w:cs="Arial" w:eastAsia="Arial" w:hAnsi="Arial"/>
                  <w:sz w:val="14"/>
                  <w:szCs w:val="14"/>
                  <w:color w:val="231F20"/>
                  <w:w w:val="96"/>
                </w:rPr>
                <w:t>Governance Policies and Practices</w:t>
              </w:r>
            </w:hyperlink>
          </w:p>
        </w:tc>
        <w:tc>
          <w:tcPr>
            <w:tcW w:w="1320" w:type="dxa"/>
            <w:vAlign w:val="bottom"/>
            <w:tcBorders>
              <w:top w:val="single" w:sz="8" w:color="231F20"/>
            </w:tcBorders>
            <w:gridSpan w:val="2"/>
          </w:tcPr>
          <w:p>
            <w:pPr>
              <w:spacing w:after="0"/>
              <w:rPr>
                <w:sz w:val="18"/>
                <w:szCs w:val="18"/>
                <w:color w:val="auto"/>
              </w:rPr>
            </w:pPr>
          </w:p>
        </w:tc>
        <w:tc>
          <w:tcPr>
            <w:tcW w:w="6020" w:type="dxa"/>
            <w:vAlign w:val="bottom"/>
            <w:gridSpan w:val="8"/>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231F20"/>
              </w:rPr>
              <w:t>31</w:t>
            </w:r>
          </w:p>
        </w:tc>
      </w:tr>
      <w:tr>
        <w:trPr>
          <w:trHeight w:val="210"/>
        </w:trPr>
        <w:tc>
          <w:tcPr>
            <w:tcW w:w="9560" w:type="dxa"/>
            <w:vAlign w:val="bottom"/>
            <w:gridSpan w:val="23"/>
          </w:tcPr>
          <w:p>
            <w:pPr>
              <w:spacing w:after="0"/>
              <w:rPr>
                <w:rFonts w:ascii="Arial" w:cs="Arial" w:eastAsia="Arial" w:hAnsi="Arial"/>
                <w:sz w:val="14"/>
                <w:szCs w:val="14"/>
                <w:b w:val="1"/>
                <w:bCs w:val="1"/>
                <w:color w:val="231F20"/>
              </w:rPr>
            </w:pPr>
            <w:hyperlink w:anchor="page38">
              <w:r>
                <w:rPr>
                  <w:rFonts w:ascii="Arial" w:cs="Arial" w:eastAsia="Arial" w:hAnsi="Arial"/>
                  <w:sz w:val="14"/>
                  <w:szCs w:val="14"/>
                  <w:b w:val="1"/>
                  <w:bCs w:val="1"/>
                  <w:color w:val="231F20"/>
                </w:rPr>
                <w:t>Director Compensation</w:t>
              </w:r>
            </w:hyperlink>
          </w:p>
        </w:tc>
        <w:tc>
          <w:tcPr>
            <w:tcW w:w="560" w:type="dxa"/>
            <w:vAlign w:val="bottom"/>
          </w:tcPr>
          <w:p>
            <w:pPr>
              <w:jc w:val="right"/>
              <w:spacing w:after="0"/>
              <w:rPr>
                <w:sz w:val="20"/>
                <w:szCs w:val="20"/>
                <w:color w:val="auto"/>
              </w:rPr>
            </w:pPr>
            <w:r>
              <w:rPr>
                <w:rFonts w:ascii="Arial" w:cs="Arial" w:eastAsia="Arial" w:hAnsi="Arial"/>
                <w:sz w:val="14"/>
                <w:szCs w:val="14"/>
                <w:b w:val="1"/>
                <w:bCs w:val="1"/>
                <w:color w:val="231F20"/>
              </w:rPr>
              <w:t>35</w:t>
            </w:r>
          </w:p>
        </w:tc>
      </w:tr>
      <w:tr>
        <w:trPr>
          <w:trHeight w:val="20"/>
        </w:trPr>
        <w:tc>
          <w:tcPr>
            <w:tcW w:w="800" w:type="dxa"/>
            <w:vAlign w:val="bottom"/>
            <w:tcBorders>
              <w:right w:val="single" w:sz="8" w:color="231F20"/>
            </w:tcBorders>
            <w:gridSpan w:val="2"/>
            <w:shd w:val="clear" w:color="auto" w:fill="231F20"/>
          </w:tcPr>
          <w:p>
            <w:pPr>
              <w:spacing w:after="0" w:line="20" w:lineRule="exact"/>
              <w:rPr>
                <w:sz w:val="1"/>
                <w:szCs w:val="1"/>
                <w:color w:val="auto"/>
              </w:rPr>
            </w:pPr>
          </w:p>
        </w:tc>
        <w:tc>
          <w:tcPr>
            <w:tcW w:w="80" w:type="dxa"/>
            <w:vAlign w:val="bottom"/>
            <w:shd w:val="clear" w:color="auto" w:fill="231F20"/>
          </w:tcPr>
          <w:p>
            <w:pPr>
              <w:spacing w:after="0" w:line="20" w:lineRule="exact"/>
              <w:rPr>
                <w:sz w:val="1"/>
                <w:szCs w:val="1"/>
                <w:color w:val="auto"/>
              </w:rPr>
            </w:pPr>
          </w:p>
        </w:tc>
        <w:tc>
          <w:tcPr>
            <w:tcW w:w="580" w:type="dxa"/>
            <w:vAlign w:val="bottom"/>
            <w:gridSpan w:val="3"/>
            <w:shd w:val="clear" w:color="auto" w:fill="231F20"/>
          </w:tcPr>
          <w:p>
            <w:pPr>
              <w:spacing w:after="0" w:line="20" w:lineRule="exact"/>
              <w:rPr>
                <w:sz w:val="1"/>
                <w:szCs w:val="1"/>
                <w:color w:val="auto"/>
              </w:rPr>
            </w:pPr>
          </w:p>
        </w:tc>
        <w:tc>
          <w:tcPr>
            <w:tcW w:w="40" w:type="dxa"/>
            <w:vAlign w:val="bottom"/>
            <w:gridSpan w:val="2"/>
            <w:shd w:val="clear" w:color="auto" w:fill="231F2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210"/>
        </w:trPr>
        <w:tc>
          <w:tcPr>
            <w:tcW w:w="9560" w:type="dxa"/>
            <w:vAlign w:val="bottom"/>
            <w:gridSpan w:val="23"/>
          </w:tcPr>
          <w:p>
            <w:pPr>
              <w:spacing w:after="0"/>
              <w:rPr>
                <w:rFonts w:ascii="Arial" w:cs="Arial" w:eastAsia="Arial" w:hAnsi="Arial"/>
                <w:sz w:val="14"/>
                <w:szCs w:val="14"/>
                <w:b w:val="1"/>
                <w:bCs w:val="1"/>
                <w:color w:val="231F20"/>
              </w:rPr>
            </w:pPr>
            <w:hyperlink w:anchor="page40">
              <w:r>
                <w:rPr>
                  <w:rFonts w:ascii="Arial" w:cs="Arial" w:eastAsia="Arial" w:hAnsi="Arial"/>
                  <w:sz w:val="14"/>
                  <w:szCs w:val="14"/>
                  <w:b w:val="1"/>
                  <w:bCs w:val="1"/>
                  <w:color w:val="231F20"/>
                </w:rPr>
                <w:t>Ownership of Common Stock</w:t>
              </w:r>
            </w:hyperlink>
          </w:p>
        </w:tc>
        <w:tc>
          <w:tcPr>
            <w:tcW w:w="560" w:type="dxa"/>
            <w:vAlign w:val="bottom"/>
          </w:tcPr>
          <w:p>
            <w:pPr>
              <w:jc w:val="right"/>
              <w:spacing w:after="0"/>
              <w:rPr>
                <w:sz w:val="20"/>
                <w:szCs w:val="20"/>
                <w:color w:val="auto"/>
              </w:rPr>
            </w:pPr>
            <w:r>
              <w:rPr>
                <w:rFonts w:ascii="Arial" w:cs="Arial" w:eastAsia="Arial" w:hAnsi="Arial"/>
                <w:sz w:val="14"/>
                <w:szCs w:val="14"/>
                <w:b w:val="1"/>
                <w:bCs w:val="1"/>
                <w:color w:val="231F20"/>
              </w:rPr>
              <w:t>37</w:t>
            </w:r>
          </w:p>
        </w:tc>
      </w:tr>
      <w:tr>
        <w:trPr>
          <w:trHeight w:val="20"/>
        </w:trPr>
        <w:tc>
          <w:tcPr>
            <w:tcW w:w="800" w:type="dxa"/>
            <w:vAlign w:val="bottom"/>
            <w:tcBorders>
              <w:right w:val="single" w:sz="8" w:color="231F20"/>
            </w:tcBorders>
            <w:gridSpan w:val="2"/>
            <w:shd w:val="clear" w:color="auto" w:fill="231F20"/>
          </w:tcPr>
          <w:p>
            <w:pPr>
              <w:spacing w:after="0" w:line="20" w:lineRule="exact"/>
              <w:rPr>
                <w:sz w:val="1"/>
                <w:szCs w:val="1"/>
                <w:color w:val="auto"/>
              </w:rPr>
            </w:pPr>
          </w:p>
        </w:tc>
        <w:tc>
          <w:tcPr>
            <w:tcW w:w="80" w:type="dxa"/>
            <w:vAlign w:val="bottom"/>
            <w:shd w:val="clear" w:color="auto" w:fill="231F20"/>
          </w:tcPr>
          <w:p>
            <w:pPr>
              <w:spacing w:after="0" w:line="20" w:lineRule="exact"/>
              <w:rPr>
                <w:sz w:val="1"/>
                <w:szCs w:val="1"/>
                <w:color w:val="auto"/>
              </w:rPr>
            </w:pPr>
          </w:p>
        </w:tc>
        <w:tc>
          <w:tcPr>
            <w:tcW w:w="580" w:type="dxa"/>
            <w:vAlign w:val="bottom"/>
            <w:gridSpan w:val="3"/>
            <w:shd w:val="clear" w:color="auto" w:fill="231F20"/>
          </w:tcPr>
          <w:p>
            <w:pPr>
              <w:spacing w:after="0" w:line="20" w:lineRule="exact"/>
              <w:rPr>
                <w:sz w:val="1"/>
                <w:szCs w:val="1"/>
                <w:color w:val="auto"/>
              </w:rPr>
            </w:pPr>
          </w:p>
        </w:tc>
        <w:tc>
          <w:tcPr>
            <w:tcW w:w="100" w:type="dxa"/>
            <w:vAlign w:val="bottom"/>
            <w:gridSpan w:val="3"/>
            <w:shd w:val="clear" w:color="auto" w:fill="231F20"/>
          </w:tcPr>
          <w:p>
            <w:pPr>
              <w:spacing w:after="0" w:line="20" w:lineRule="exact"/>
              <w:rPr>
                <w:sz w:val="1"/>
                <w:szCs w:val="1"/>
                <w:color w:val="auto"/>
              </w:rPr>
            </w:pPr>
          </w:p>
        </w:tc>
        <w:tc>
          <w:tcPr>
            <w:tcW w:w="240" w:type="dxa"/>
            <w:vAlign w:val="bottom"/>
            <w:shd w:val="clear" w:color="auto" w:fill="231F20"/>
          </w:tcPr>
          <w:p>
            <w:pPr>
              <w:spacing w:after="0" w:line="20" w:lineRule="exact"/>
              <w:rPr>
                <w:sz w:val="1"/>
                <w:szCs w:val="1"/>
                <w:color w:val="auto"/>
              </w:rPr>
            </w:pPr>
          </w:p>
        </w:tc>
        <w:tc>
          <w:tcPr>
            <w:tcW w:w="100" w:type="dxa"/>
            <w:vAlign w:val="bottom"/>
            <w:shd w:val="clear" w:color="auto" w:fill="231F20"/>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210"/>
        </w:trPr>
        <w:tc>
          <w:tcPr>
            <w:tcW w:w="9560" w:type="dxa"/>
            <w:vAlign w:val="bottom"/>
            <w:gridSpan w:val="23"/>
          </w:tcPr>
          <w:p>
            <w:pPr>
              <w:spacing w:after="0"/>
              <w:rPr>
                <w:rFonts w:ascii="Arial" w:cs="Arial" w:eastAsia="Arial" w:hAnsi="Arial"/>
                <w:sz w:val="14"/>
                <w:szCs w:val="14"/>
                <w:b w:val="1"/>
                <w:bCs w:val="1"/>
                <w:color w:val="4395D4"/>
              </w:rPr>
            </w:pPr>
            <w:hyperlink w:anchor="page41">
              <w:r>
                <w:rPr>
                  <w:rFonts w:ascii="Arial" w:cs="Arial" w:eastAsia="Arial" w:hAnsi="Arial"/>
                  <w:sz w:val="14"/>
                  <w:szCs w:val="14"/>
                  <w:b w:val="1"/>
                  <w:bCs w:val="1"/>
                  <w:color w:val="4395D4"/>
                </w:rPr>
                <w:t xml:space="preserve">Proposal 2 </w:t>
              </w:r>
              <w:r>
                <w:rPr>
                  <w:rFonts w:ascii="Arial" w:cs="Arial" w:eastAsia="Arial" w:hAnsi="Arial"/>
                  <w:sz w:val="14"/>
                  <w:szCs w:val="14"/>
                  <w:b w:val="1"/>
                  <w:bCs w:val="1"/>
                  <w:color w:val="455986"/>
                </w:rPr>
                <w:t>Ratification of the Appointment of PricewaterhouseCoopers LLP as Independent Registered Public Accounting Firm for Fiscal 2021</w:t>
              </w:r>
            </w:hyperlink>
          </w:p>
        </w:tc>
        <w:tc>
          <w:tcPr>
            <w:tcW w:w="560" w:type="dxa"/>
            <w:vAlign w:val="bottom"/>
          </w:tcPr>
          <w:p>
            <w:pPr>
              <w:jc w:val="right"/>
              <w:spacing w:after="0"/>
              <w:rPr>
                <w:sz w:val="20"/>
                <w:szCs w:val="20"/>
                <w:color w:val="auto"/>
              </w:rPr>
            </w:pPr>
            <w:r>
              <w:rPr>
                <w:rFonts w:ascii="Arial" w:cs="Arial" w:eastAsia="Arial" w:hAnsi="Arial"/>
                <w:sz w:val="14"/>
                <w:szCs w:val="14"/>
                <w:b w:val="1"/>
                <w:bCs w:val="1"/>
                <w:color w:val="455986"/>
              </w:rPr>
              <w:t>38</w:t>
            </w:r>
          </w:p>
        </w:tc>
      </w:tr>
      <w:tr>
        <w:trPr>
          <w:trHeight w:val="20"/>
        </w:trPr>
        <w:tc>
          <w:tcPr>
            <w:tcW w:w="100" w:type="dxa"/>
            <w:vAlign w:val="bottom"/>
            <w:shd w:val="clear" w:color="auto" w:fill="4395D4"/>
          </w:tcPr>
          <w:p>
            <w:pPr>
              <w:spacing w:after="0" w:line="20" w:lineRule="exact"/>
              <w:rPr>
                <w:sz w:val="1"/>
                <w:szCs w:val="1"/>
                <w:color w:val="auto"/>
              </w:rPr>
            </w:pPr>
          </w:p>
        </w:tc>
        <w:tc>
          <w:tcPr>
            <w:tcW w:w="700" w:type="dxa"/>
            <w:vAlign w:val="bottom"/>
            <w:tcBorders>
              <w:right w:val="single" w:sz="8" w:color="455986"/>
            </w:tcBorders>
            <w:shd w:val="clear" w:color="auto" w:fill="4395D4"/>
          </w:tcPr>
          <w:p>
            <w:pPr>
              <w:spacing w:after="0" w:line="20" w:lineRule="exact"/>
              <w:rPr>
                <w:sz w:val="1"/>
                <w:szCs w:val="1"/>
                <w:color w:val="auto"/>
              </w:rPr>
            </w:pPr>
          </w:p>
        </w:tc>
        <w:tc>
          <w:tcPr>
            <w:tcW w:w="80" w:type="dxa"/>
            <w:vAlign w:val="bottom"/>
            <w:shd w:val="clear" w:color="auto" w:fill="455986"/>
          </w:tcPr>
          <w:p>
            <w:pPr>
              <w:spacing w:after="0" w:line="20" w:lineRule="exact"/>
              <w:rPr>
                <w:sz w:val="1"/>
                <w:szCs w:val="1"/>
                <w:color w:val="auto"/>
              </w:rPr>
            </w:pPr>
          </w:p>
        </w:tc>
        <w:tc>
          <w:tcPr>
            <w:tcW w:w="580" w:type="dxa"/>
            <w:vAlign w:val="bottom"/>
            <w:gridSpan w:val="3"/>
            <w:shd w:val="clear" w:color="auto" w:fill="455986"/>
          </w:tcPr>
          <w:p>
            <w:pPr>
              <w:spacing w:after="0" w:line="20" w:lineRule="exact"/>
              <w:rPr>
                <w:sz w:val="1"/>
                <w:szCs w:val="1"/>
                <w:color w:val="auto"/>
              </w:rPr>
            </w:pPr>
          </w:p>
        </w:tc>
        <w:tc>
          <w:tcPr>
            <w:tcW w:w="100" w:type="dxa"/>
            <w:vAlign w:val="bottom"/>
            <w:gridSpan w:val="3"/>
            <w:shd w:val="clear" w:color="auto" w:fill="455986"/>
          </w:tcPr>
          <w:p>
            <w:pPr>
              <w:spacing w:after="0" w:line="20" w:lineRule="exact"/>
              <w:rPr>
                <w:sz w:val="1"/>
                <w:szCs w:val="1"/>
                <w:color w:val="auto"/>
              </w:rPr>
            </w:pPr>
          </w:p>
        </w:tc>
        <w:tc>
          <w:tcPr>
            <w:tcW w:w="240" w:type="dxa"/>
            <w:vAlign w:val="bottom"/>
            <w:shd w:val="clear" w:color="auto" w:fill="455986"/>
          </w:tcPr>
          <w:p>
            <w:pPr>
              <w:spacing w:after="0" w:line="20" w:lineRule="exact"/>
              <w:rPr>
                <w:sz w:val="1"/>
                <w:szCs w:val="1"/>
                <w:color w:val="auto"/>
              </w:rPr>
            </w:pPr>
          </w:p>
        </w:tc>
        <w:tc>
          <w:tcPr>
            <w:tcW w:w="420" w:type="dxa"/>
            <w:vAlign w:val="bottom"/>
            <w:gridSpan w:val="3"/>
            <w:shd w:val="clear" w:color="auto" w:fill="455986"/>
          </w:tcPr>
          <w:p>
            <w:pPr>
              <w:spacing w:after="0" w:line="20" w:lineRule="exact"/>
              <w:rPr>
                <w:sz w:val="1"/>
                <w:szCs w:val="1"/>
                <w:color w:val="auto"/>
              </w:rPr>
            </w:pPr>
          </w:p>
        </w:tc>
        <w:tc>
          <w:tcPr>
            <w:tcW w:w="1240" w:type="dxa"/>
            <w:vAlign w:val="bottom"/>
            <w:shd w:val="clear" w:color="auto" w:fill="455986"/>
          </w:tcPr>
          <w:p>
            <w:pPr>
              <w:spacing w:after="0" w:line="20" w:lineRule="exact"/>
              <w:rPr>
                <w:sz w:val="1"/>
                <w:szCs w:val="1"/>
                <w:color w:val="auto"/>
              </w:rPr>
            </w:pPr>
          </w:p>
        </w:tc>
        <w:tc>
          <w:tcPr>
            <w:tcW w:w="100" w:type="dxa"/>
            <w:vAlign w:val="bottom"/>
            <w:gridSpan w:val="2"/>
            <w:shd w:val="clear" w:color="auto" w:fill="455986"/>
          </w:tcPr>
          <w:p>
            <w:pPr>
              <w:spacing w:after="0" w:line="20" w:lineRule="exact"/>
              <w:rPr>
                <w:sz w:val="1"/>
                <w:szCs w:val="1"/>
                <w:color w:val="auto"/>
              </w:rPr>
            </w:pPr>
          </w:p>
        </w:tc>
        <w:tc>
          <w:tcPr>
            <w:tcW w:w="80" w:type="dxa"/>
            <w:vAlign w:val="bottom"/>
            <w:shd w:val="clear" w:color="auto" w:fill="455986"/>
          </w:tcPr>
          <w:p>
            <w:pPr>
              <w:spacing w:after="0" w:line="20" w:lineRule="exact"/>
              <w:rPr>
                <w:sz w:val="1"/>
                <w:szCs w:val="1"/>
                <w:color w:val="auto"/>
              </w:rPr>
            </w:pPr>
          </w:p>
        </w:tc>
        <w:tc>
          <w:tcPr>
            <w:tcW w:w="200" w:type="dxa"/>
            <w:vAlign w:val="bottom"/>
            <w:tcBorders>
              <w:right w:val="single" w:sz="8" w:color="455986"/>
            </w:tcBorders>
            <w:shd w:val="clear" w:color="auto" w:fill="455986"/>
          </w:tcPr>
          <w:p>
            <w:pPr>
              <w:spacing w:after="0" w:line="20" w:lineRule="exact"/>
              <w:rPr>
                <w:sz w:val="1"/>
                <w:szCs w:val="1"/>
                <w:color w:val="auto"/>
              </w:rPr>
            </w:pPr>
          </w:p>
        </w:tc>
        <w:tc>
          <w:tcPr>
            <w:tcW w:w="80" w:type="dxa"/>
            <w:vAlign w:val="bottom"/>
            <w:shd w:val="clear" w:color="auto" w:fill="455986"/>
          </w:tcPr>
          <w:p>
            <w:pPr>
              <w:spacing w:after="0" w:line="20" w:lineRule="exact"/>
              <w:rPr>
                <w:sz w:val="1"/>
                <w:szCs w:val="1"/>
                <w:color w:val="auto"/>
              </w:rPr>
            </w:pPr>
          </w:p>
        </w:tc>
        <w:tc>
          <w:tcPr>
            <w:tcW w:w="1560" w:type="dxa"/>
            <w:vAlign w:val="bottom"/>
            <w:shd w:val="clear" w:color="auto" w:fill="455986"/>
          </w:tcPr>
          <w:p>
            <w:pPr>
              <w:spacing w:after="0" w:line="20" w:lineRule="exact"/>
              <w:rPr>
                <w:sz w:val="1"/>
                <w:szCs w:val="1"/>
                <w:color w:val="auto"/>
              </w:rPr>
            </w:pPr>
          </w:p>
        </w:tc>
        <w:tc>
          <w:tcPr>
            <w:tcW w:w="2760" w:type="dxa"/>
            <w:vAlign w:val="bottom"/>
            <w:shd w:val="clear" w:color="auto" w:fill="455986"/>
          </w:tcPr>
          <w:p>
            <w:pPr>
              <w:spacing w:after="0" w:line="20" w:lineRule="exact"/>
              <w:rPr>
                <w:sz w:val="1"/>
                <w:szCs w:val="1"/>
                <w:color w:val="auto"/>
              </w:rPr>
            </w:pPr>
          </w:p>
        </w:tc>
        <w:tc>
          <w:tcPr>
            <w:tcW w:w="980" w:type="dxa"/>
            <w:vAlign w:val="bottom"/>
            <w:shd w:val="clear" w:color="auto" w:fill="455986"/>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210"/>
        </w:trPr>
        <w:tc>
          <w:tcPr>
            <w:tcW w:w="100" w:type="dxa"/>
            <w:vAlign w:val="bottom"/>
          </w:tcPr>
          <w:p>
            <w:pPr>
              <w:spacing w:after="0"/>
              <w:rPr>
                <w:sz w:val="18"/>
                <w:szCs w:val="18"/>
                <w:color w:val="auto"/>
              </w:rPr>
            </w:pPr>
          </w:p>
        </w:tc>
        <w:tc>
          <w:tcPr>
            <w:tcW w:w="1460" w:type="dxa"/>
            <w:vAlign w:val="bottom"/>
            <w:tcBorders>
              <w:bottom w:val="single" w:sz="8" w:color="231F20"/>
            </w:tcBorders>
            <w:gridSpan w:val="8"/>
          </w:tcPr>
          <w:p>
            <w:pPr>
              <w:spacing w:after="0"/>
              <w:rPr>
                <w:rFonts w:ascii="Arial" w:cs="Arial" w:eastAsia="Arial" w:hAnsi="Arial"/>
                <w:sz w:val="14"/>
                <w:szCs w:val="14"/>
                <w:color w:val="231F20"/>
                <w:w w:val="96"/>
              </w:rPr>
            </w:pPr>
            <w:hyperlink w:anchor="page42">
              <w:r>
                <w:rPr>
                  <w:rFonts w:ascii="Arial" w:cs="Arial" w:eastAsia="Arial" w:hAnsi="Arial"/>
                  <w:sz w:val="14"/>
                  <w:szCs w:val="14"/>
                  <w:color w:val="231F20"/>
                  <w:w w:val="96"/>
                </w:rPr>
                <w:t>Audit Committee Report</w:t>
              </w:r>
            </w:hyperlink>
          </w:p>
        </w:tc>
        <w:tc>
          <w:tcPr>
            <w:tcW w:w="8000" w:type="dxa"/>
            <w:vAlign w:val="bottom"/>
            <w:gridSpan w:val="14"/>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231F20"/>
              </w:rPr>
              <w:t>39</w:t>
            </w:r>
          </w:p>
        </w:tc>
      </w:tr>
      <w:tr>
        <w:trPr>
          <w:trHeight w:val="210"/>
        </w:trPr>
        <w:tc>
          <w:tcPr>
            <w:tcW w:w="9560" w:type="dxa"/>
            <w:vAlign w:val="bottom"/>
            <w:gridSpan w:val="23"/>
          </w:tcPr>
          <w:p>
            <w:pPr>
              <w:spacing w:after="0"/>
              <w:rPr>
                <w:rFonts w:ascii="Arial" w:cs="Arial" w:eastAsia="Arial" w:hAnsi="Arial"/>
                <w:sz w:val="14"/>
                <w:szCs w:val="14"/>
                <w:b w:val="1"/>
                <w:bCs w:val="1"/>
                <w:color w:val="4395D4"/>
              </w:rPr>
            </w:pPr>
            <w:hyperlink w:anchor="page43">
              <w:r>
                <w:rPr>
                  <w:rFonts w:ascii="Arial" w:cs="Arial" w:eastAsia="Arial" w:hAnsi="Arial"/>
                  <w:sz w:val="14"/>
                  <w:szCs w:val="14"/>
                  <w:b w:val="1"/>
                  <w:bCs w:val="1"/>
                  <w:color w:val="4395D4"/>
                </w:rPr>
                <w:t xml:space="preserve">Proposal 3 </w:t>
              </w:r>
              <w:r>
                <w:rPr>
                  <w:rFonts w:ascii="Arial" w:cs="Arial" w:eastAsia="Arial" w:hAnsi="Arial"/>
                  <w:sz w:val="14"/>
                  <w:szCs w:val="14"/>
                  <w:b w:val="1"/>
                  <w:bCs w:val="1"/>
                  <w:color w:val="455986"/>
                </w:rPr>
                <w:t>Advisory Vote to Approve Named Executive Officers’ 2020 Compensation</w:t>
              </w:r>
            </w:hyperlink>
          </w:p>
        </w:tc>
        <w:tc>
          <w:tcPr>
            <w:tcW w:w="560" w:type="dxa"/>
            <w:vAlign w:val="bottom"/>
          </w:tcPr>
          <w:p>
            <w:pPr>
              <w:jc w:val="right"/>
              <w:spacing w:after="0"/>
              <w:rPr>
                <w:sz w:val="20"/>
                <w:szCs w:val="20"/>
                <w:color w:val="auto"/>
              </w:rPr>
            </w:pPr>
            <w:r>
              <w:rPr>
                <w:rFonts w:ascii="Arial" w:cs="Arial" w:eastAsia="Arial" w:hAnsi="Arial"/>
                <w:sz w:val="14"/>
                <w:szCs w:val="14"/>
                <w:b w:val="1"/>
                <w:bCs w:val="1"/>
                <w:color w:val="455986"/>
              </w:rPr>
              <w:t>40</w:t>
            </w:r>
          </w:p>
        </w:tc>
      </w:tr>
      <w:tr>
        <w:trPr>
          <w:trHeight w:val="20"/>
        </w:trPr>
        <w:tc>
          <w:tcPr>
            <w:tcW w:w="100" w:type="dxa"/>
            <w:vAlign w:val="bottom"/>
            <w:shd w:val="clear" w:color="auto" w:fill="4395D4"/>
          </w:tcPr>
          <w:p>
            <w:pPr>
              <w:spacing w:after="0" w:line="20" w:lineRule="exact"/>
              <w:rPr>
                <w:sz w:val="1"/>
                <w:szCs w:val="1"/>
                <w:color w:val="auto"/>
              </w:rPr>
            </w:pPr>
          </w:p>
        </w:tc>
        <w:tc>
          <w:tcPr>
            <w:tcW w:w="700" w:type="dxa"/>
            <w:vAlign w:val="bottom"/>
            <w:tcBorders>
              <w:right w:val="single" w:sz="8" w:color="455986"/>
            </w:tcBorders>
            <w:shd w:val="clear" w:color="auto" w:fill="4395D4"/>
          </w:tcPr>
          <w:p>
            <w:pPr>
              <w:spacing w:after="0" w:line="20" w:lineRule="exact"/>
              <w:rPr>
                <w:sz w:val="1"/>
                <w:szCs w:val="1"/>
                <w:color w:val="auto"/>
              </w:rPr>
            </w:pPr>
          </w:p>
        </w:tc>
        <w:tc>
          <w:tcPr>
            <w:tcW w:w="80" w:type="dxa"/>
            <w:vAlign w:val="bottom"/>
            <w:shd w:val="clear" w:color="auto" w:fill="455986"/>
          </w:tcPr>
          <w:p>
            <w:pPr>
              <w:spacing w:after="0" w:line="20" w:lineRule="exact"/>
              <w:rPr>
                <w:sz w:val="1"/>
                <w:szCs w:val="1"/>
                <w:color w:val="auto"/>
              </w:rPr>
            </w:pPr>
          </w:p>
        </w:tc>
        <w:tc>
          <w:tcPr>
            <w:tcW w:w="160" w:type="dxa"/>
            <w:vAlign w:val="bottom"/>
            <w:shd w:val="clear" w:color="auto" w:fill="455986"/>
          </w:tcPr>
          <w:p>
            <w:pPr>
              <w:spacing w:after="0" w:line="20" w:lineRule="exact"/>
              <w:rPr>
                <w:sz w:val="1"/>
                <w:szCs w:val="1"/>
                <w:color w:val="auto"/>
              </w:rPr>
            </w:pPr>
          </w:p>
        </w:tc>
        <w:tc>
          <w:tcPr>
            <w:tcW w:w="400" w:type="dxa"/>
            <w:vAlign w:val="bottom"/>
            <w:shd w:val="clear" w:color="auto" w:fill="455986"/>
          </w:tcPr>
          <w:p>
            <w:pPr>
              <w:spacing w:after="0" w:line="20" w:lineRule="exact"/>
              <w:rPr>
                <w:sz w:val="1"/>
                <w:szCs w:val="1"/>
                <w:color w:val="auto"/>
              </w:rPr>
            </w:pPr>
          </w:p>
        </w:tc>
        <w:tc>
          <w:tcPr>
            <w:tcW w:w="20" w:type="dxa"/>
            <w:vAlign w:val="bottom"/>
            <w:shd w:val="clear" w:color="auto" w:fill="455986"/>
          </w:tcPr>
          <w:p>
            <w:pPr>
              <w:spacing w:after="0" w:line="20" w:lineRule="exact"/>
              <w:rPr>
                <w:sz w:val="1"/>
                <w:szCs w:val="1"/>
                <w:color w:val="auto"/>
              </w:rPr>
            </w:pPr>
          </w:p>
        </w:tc>
        <w:tc>
          <w:tcPr>
            <w:tcW w:w="20" w:type="dxa"/>
            <w:vAlign w:val="bottom"/>
            <w:shd w:val="clear" w:color="auto" w:fill="455986"/>
          </w:tcPr>
          <w:p>
            <w:pPr>
              <w:spacing w:after="0" w:line="20" w:lineRule="exact"/>
              <w:rPr>
                <w:sz w:val="1"/>
                <w:szCs w:val="1"/>
                <w:color w:val="auto"/>
              </w:rPr>
            </w:pPr>
          </w:p>
        </w:tc>
        <w:tc>
          <w:tcPr>
            <w:tcW w:w="20" w:type="dxa"/>
            <w:vAlign w:val="bottom"/>
            <w:shd w:val="clear" w:color="auto" w:fill="455986"/>
          </w:tcPr>
          <w:p>
            <w:pPr>
              <w:spacing w:after="0" w:line="20" w:lineRule="exact"/>
              <w:rPr>
                <w:sz w:val="1"/>
                <w:szCs w:val="1"/>
                <w:color w:val="auto"/>
              </w:rPr>
            </w:pPr>
          </w:p>
        </w:tc>
        <w:tc>
          <w:tcPr>
            <w:tcW w:w="60" w:type="dxa"/>
            <w:vAlign w:val="bottom"/>
            <w:shd w:val="clear" w:color="auto" w:fill="455986"/>
          </w:tcPr>
          <w:p>
            <w:pPr>
              <w:spacing w:after="0" w:line="20" w:lineRule="exact"/>
              <w:rPr>
                <w:sz w:val="1"/>
                <w:szCs w:val="1"/>
                <w:color w:val="auto"/>
              </w:rPr>
            </w:pPr>
          </w:p>
        </w:tc>
        <w:tc>
          <w:tcPr>
            <w:tcW w:w="240" w:type="dxa"/>
            <w:vAlign w:val="bottom"/>
            <w:shd w:val="clear" w:color="auto" w:fill="455986"/>
          </w:tcPr>
          <w:p>
            <w:pPr>
              <w:spacing w:after="0" w:line="20" w:lineRule="exact"/>
              <w:rPr>
                <w:sz w:val="1"/>
                <w:szCs w:val="1"/>
                <w:color w:val="auto"/>
              </w:rPr>
            </w:pPr>
          </w:p>
        </w:tc>
        <w:tc>
          <w:tcPr>
            <w:tcW w:w="100" w:type="dxa"/>
            <w:vAlign w:val="bottom"/>
            <w:shd w:val="clear" w:color="auto" w:fill="455986"/>
          </w:tcPr>
          <w:p>
            <w:pPr>
              <w:spacing w:after="0" w:line="20" w:lineRule="exact"/>
              <w:rPr>
                <w:sz w:val="1"/>
                <w:szCs w:val="1"/>
                <w:color w:val="auto"/>
              </w:rPr>
            </w:pPr>
          </w:p>
        </w:tc>
        <w:tc>
          <w:tcPr>
            <w:tcW w:w="160" w:type="dxa"/>
            <w:vAlign w:val="bottom"/>
            <w:shd w:val="clear" w:color="auto" w:fill="455986"/>
          </w:tcPr>
          <w:p>
            <w:pPr>
              <w:spacing w:after="0" w:line="20" w:lineRule="exact"/>
              <w:rPr>
                <w:sz w:val="1"/>
                <w:szCs w:val="1"/>
                <w:color w:val="auto"/>
              </w:rPr>
            </w:pPr>
          </w:p>
        </w:tc>
        <w:tc>
          <w:tcPr>
            <w:tcW w:w="160" w:type="dxa"/>
            <w:vAlign w:val="bottom"/>
            <w:shd w:val="clear" w:color="auto" w:fill="455986"/>
          </w:tcPr>
          <w:p>
            <w:pPr>
              <w:spacing w:after="0" w:line="20" w:lineRule="exact"/>
              <w:rPr>
                <w:sz w:val="1"/>
                <w:szCs w:val="1"/>
                <w:color w:val="auto"/>
              </w:rPr>
            </w:pPr>
          </w:p>
        </w:tc>
        <w:tc>
          <w:tcPr>
            <w:tcW w:w="1240" w:type="dxa"/>
            <w:vAlign w:val="bottom"/>
            <w:shd w:val="clear" w:color="auto" w:fill="455986"/>
          </w:tcPr>
          <w:p>
            <w:pPr>
              <w:spacing w:after="0" w:line="20" w:lineRule="exact"/>
              <w:rPr>
                <w:sz w:val="1"/>
                <w:szCs w:val="1"/>
                <w:color w:val="auto"/>
              </w:rPr>
            </w:pPr>
          </w:p>
        </w:tc>
        <w:tc>
          <w:tcPr>
            <w:tcW w:w="80" w:type="dxa"/>
            <w:vAlign w:val="bottom"/>
            <w:shd w:val="clear" w:color="auto" w:fill="455986"/>
          </w:tcPr>
          <w:p>
            <w:pPr>
              <w:spacing w:after="0" w:line="20" w:lineRule="exact"/>
              <w:rPr>
                <w:sz w:val="1"/>
                <w:szCs w:val="1"/>
                <w:color w:val="auto"/>
              </w:rPr>
            </w:pPr>
          </w:p>
        </w:tc>
        <w:tc>
          <w:tcPr>
            <w:tcW w:w="20" w:type="dxa"/>
            <w:vAlign w:val="bottom"/>
            <w:shd w:val="clear" w:color="auto" w:fill="455986"/>
          </w:tcPr>
          <w:p>
            <w:pPr>
              <w:spacing w:after="0" w:line="20" w:lineRule="exact"/>
              <w:rPr>
                <w:sz w:val="1"/>
                <w:szCs w:val="1"/>
                <w:color w:val="auto"/>
              </w:rPr>
            </w:pPr>
          </w:p>
        </w:tc>
        <w:tc>
          <w:tcPr>
            <w:tcW w:w="80" w:type="dxa"/>
            <w:vAlign w:val="bottom"/>
            <w:shd w:val="clear" w:color="auto" w:fill="455986"/>
          </w:tcPr>
          <w:p>
            <w:pPr>
              <w:spacing w:after="0" w:line="20" w:lineRule="exact"/>
              <w:rPr>
                <w:sz w:val="1"/>
                <w:szCs w:val="1"/>
                <w:color w:val="auto"/>
              </w:rPr>
            </w:pPr>
          </w:p>
        </w:tc>
        <w:tc>
          <w:tcPr>
            <w:tcW w:w="200" w:type="dxa"/>
            <w:vAlign w:val="bottom"/>
            <w:tcBorders>
              <w:right w:val="single" w:sz="8" w:color="455986"/>
            </w:tcBorders>
            <w:shd w:val="clear" w:color="auto" w:fill="455986"/>
          </w:tcPr>
          <w:p>
            <w:pPr>
              <w:spacing w:after="0" w:line="20" w:lineRule="exact"/>
              <w:rPr>
                <w:sz w:val="1"/>
                <w:szCs w:val="1"/>
                <w:color w:val="auto"/>
              </w:rPr>
            </w:pPr>
          </w:p>
        </w:tc>
        <w:tc>
          <w:tcPr>
            <w:tcW w:w="80" w:type="dxa"/>
            <w:vAlign w:val="bottom"/>
            <w:shd w:val="clear" w:color="auto" w:fill="455986"/>
          </w:tcPr>
          <w:p>
            <w:pPr>
              <w:spacing w:after="0" w:line="20" w:lineRule="exact"/>
              <w:rPr>
                <w:sz w:val="1"/>
                <w:szCs w:val="1"/>
                <w:color w:val="auto"/>
              </w:rPr>
            </w:pPr>
          </w:p>
        </w:tc>
        <w:tc>
          <w:tcPr>
            <w:tcW w:w="1560" w:type="dxa"/>
            <w:vAlign w:val="bottom"/>
            <w:shd w:val="clear" w:color="auto" w:fill="455986"/>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286"/>
        </w:trPr>
        <w:tc>
          <w:tcPr>
            <w:tcW w:w="9560" w:type="dxa"/>
            <w:vAlign w:val="bottom"/>
            <w:gridSpan w:val="23"/>
          </w:tcPr>
          <w:p>
            <w:pPr>
              <w:spacing w:after="0"/>
              <w:rPr>
                <w:rFonts w:ascii="Arial" w:cs="Arial" w:eastAsia="Arial" w:hAnsi="Arial"/>
                <w:sz w:val="14"/>
                <w:szCs w:val="14"/>
                <w:b w:val="1"/>
                <w:bCs w:val="1"/>
                <w:color w:val="231F20"/>
              </w:rPr>
            </w:pPr>
            <w:hyperlink w:anchor="page44">
              <w:r>
                <w:rPr>
                  <w:rFonts w:ascii="Arial" w:cs="Arial" w:eastAsia="Arial" w:hAnsi="Arial"/>
                  <w:sz w:val="14"/>
                  <w:szCs w:val="14"/>
                  <w:b w:val="1"/>
                  <w:bCs w:val="1"/>
                  <w:color w:val="231F20"/>
                </w:rPr>
                <w:t xml:space="preserve">Executive Compensation </w:t>
              </w:r>
              <w:r>
                <w:rPr>
                  <w:rFonts w:ascii="Arial" w:cs="Arial" w:eastAsia="Arial" w:hAnsi="Arial"/>
                  <w:sz w:val="14"/>
                  <w:szCs w:val="14"/>
                  <w:color w:val="231F20"/>
                </w:rPr>
                <w:t>(see separate table of contents)</w:t>
              </w:r>
            </w:hyperlink>
          </w:p>
        </w:tc>
        <w:tc>
          <w:tcPr>
            <w:tcW w:w="560" w:type="dxa"/>
            <w:vAlign w:val="bottom"/>
          </w:tcPr>
          <w:p>
            <w:pPr>
              <w:jc w:val="right"/>
              <w:spacing w:after="0"/>
              <w:rPr>
                <w:sz w:val="20"/>
                <w:szCs w:val="20"/>
                <w:color w:val="auto"/>
              </w:rPr>
            </w:pPr>
            <w:r>
              <w:rPr>
                <w:rFonts w:ascii="Arial" w:cs="Arial" w:eastAsia="Arial" w:hAnsi="Arial"/>
                <w:sz w:val="14"/>
                <w:szCs w:val="14"/>
                <w:b w:val="1"/>
                <w:bCs w:val="1"/>
                <w:color w:val="231F20"/>
              </w:rPr>
              <w:t>41</w:t>
            </w:r>
          </w:p>
        </w:tc>
      </w:tr>
      <w:tr>
        <w:trPr>
          <w:trHeight w:val="20"/>
        </w:trPr>
        <w:tc>
          <w:tcPr>
            <w:tcW w:w="800" w:type="dxa"/>
            <w:vAlign w:val="bottom"/>
            <w:tcBorders>
              <w:right w:val="single" w:sz="8" w:color="231F20"/>
            </w:tcBorders>
            <w:gridSpan w:val="2"/>
            <w:shd w:val="clear" w:color="auto" w:fill="231F20"/>
          </w:tcPr>
          <w:p>
            <w:pPr>
              <w:spacing w:after="0" w:line="20" w:lineRule="exact"/>
              <w:rPr>
                <w:sz w:val="1"/>
                <w:szCs w:val="1"/>
                <w:color w:val="auto"/>
              </w:rPr>
            </w:pPr>
          </w:p>
        </w:tc>
        <w:tc>
          <w:tcPr>
            <w:tcW w:w="80" w:type="dxa"/>
            <w:vAlign w:val="bottom"/>
            <w:shd w:val="clear" w:color="auto" w:fill="231F20"/>
          </w:tcPr>
          <w:p>
            <w:pPr>
              <w:spacing w:after="0" w:line="20" w:lineRule="exact"/>
              <w:rPr>
                <w:sz w:val="1"/>
                <w:szCs w:val="1"/>
                <w:color w:val="auto"/>
              </w:rPr>
            </w:pPr>
          </w:p>
        </w:tc>
        <w:tc>
          <w:tcPr>
            <w:tcW w:w="580" w:type="dxa"/>
            <w:vAlign w:val="bottom"/>
            <w:gridSpan w:val="3"/>
            <w:shd w:val="clear" w:color="auto" w:fill="231F20"/>
          </w:tcPr>
          <w:p>
            <w:pPr>
              <w:spacing w:after="0" w:line="20" w:lineRule="exact"/>
              <w:rPr>
                <w:sz w:val="1"/>
                <w:szCs w:val="1"/>
                <w:color w:val="auto"/>
              </w:rPr>
            </w:pPr>
          </w:p>
        </w:tc>
        <w:tc>
          <w:tcPr>
            <w:tcW w:w="340" w:type="dxa"/>
            <w:vAlign w:val="bottom"/>
            <w:gridSpan w:val="4"/>
            <w:shd w:val="clear" w:color="auto" w:fill="231F20"/>
          </w:tcPr>
          <w:p>
            <w:pPr>
              <w:spacing w:after="0" w:line="20" w:lineRule="exact"/>
              <w:rPr>
                <w:sz w:val="1"/>
                <w:szCs w:val="1"/>
                <w:color w:val="auto"/>
              </w:rPr>
            </w:pPr>
          </w:p>
        </w:tc>
        <w:tc>
          <w:tcPr>
            <w:tcW w:w="420" w:type="dxa"/>
            <w:vAlign w:val="bottom"/>
            <w:gridSpan w:val="3"/>
            <w:shd w:val="clear" w:color="auto" w:fill="231F20"/>
          </w:tcPr>
          <w:p>
            <w:pPr>
              <w:spacing w:after="0" w:line="20" w:lineRule="exact"/>
              <w:rPr>
                <w:sz w:val="1"/>
                <w:szCs w:val="1"/>
                <w:color w:val="auto"/>
              </w:rPr>
            </w:pPr>
          </w:p>
        </w:tc>
        <w:tc>
          <w:tcPr>
            <w:tcW w:w="1240" w:type="dxa"/>
            <w:vAlign w:val="bottom"/>
            <w:shd w:val="clear" w:color="auto" w:fill="231F20"/>
          </w:tcPr>
          <w:p>
            <w:pPr>
              <w:spacing w:after="0" w:line="20" w:lineRule="exact"/>
              <w:rPr>
                <w:sz w:val="1"/>
                <w:szCs w:val="1"/>
                <w:color w:val="auto"/>
              </w:rPr>
            </w:pPr>
          </w:p>
        </w:tc>
        <w:tc>
          <w:tcPr>
            <w:tcW w:w="100" w:type="dxa"/>
            <w:vAlign w:val="bottom"/>
            <w:gridSpan w:val="2"/>
            <w:shd w:val="clear" w:color="auto" w:fill="231F2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320" w:type="dxa"/>
            <w:vAlign w:val="bottom"/>
            <w:gridSpan w:val="2"/>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210"/>
        </w:trPr>
        <w:tc>
          <w:tcPr>
            <w:tcW w:w="9560" w:type="dxa"/>
            <w:vAlign w:val="bottom"/>
            <w:gridSpan w:val="23"/>
          </w:tcPr>
          <w:p>
            <w:pPr>
              <w:spacing w:after="0"/>
              <w:rPr>
                <w:rFonts w:ascii="Arial" w:cs="Arial" w:eastAsia="Arial" w:hAnsi="Arial"/>
                <w:sz w:val="14"/>
                <w:szCs w:val="14"/>
                <w:b w:val="1"/>
                <w:bCs w:val="1"/>
                <w:color w:val="4395D4"/>
              </w:rPr>
            </w:pPr>
            <w:hyperlink w:anchor="page88">
              <w:r>
                <w:rPr>
                  <w:rFonts w:ascii="Arial" w:cs="Arial" w:eastAsia="Arial" w:hAnsi="Arial"/>
                  <w:sz w:val="14"/>
                  <w:szCs w:val="14"/>
                  <w:b w:val="1"/>
                  <w:bCs w:val="1"/>
                  <w:color w:val="4395D4"/>
                </w:rPr>
                <w:t xml:space="preserve">Proposal 4 </w:t>
              </w:r>
              <w:r>
                <w:rPr>
                  <w:rFonts w:ascii="Arial" w:cs="Arial" w:eastAsia="Arial" w:hAnsi="Arial"/>
                  <w:sz w:val="14"/>
                  <w:szCs w:val="14"/>
                  <w:b w:val="1"/>
                  <w:bCs w:val="1"/>
                  <w:color w:val="455986"/>
                </w:rPr>
                <w:t>Ratification of an Amendment to the Bylaws Establishing a Standard for Shareholder Access to the Proxy Statement</w:t>
              </w:r>
            </w:hyperlink>
          </w:p>
        </w:tc>
        <w:tc>
          <w:tcPr>
            <w:tcW w:w="560" w:type="dxa"/>
            <w:vAlign w:val="bottom"/>
          </w:tcPr>
          <w:p>
            <w:pPr>
              <w:jc w:val="right"/>
              <w:spacing w:after="0"/>
              <w:rPr>
                <w:sz w:val="20"/>
                <w:szCs w:val="20"/>
                <w:color w:val="auto"/>
              </w:rPr>
            </w:pPr>
            <w:r>
              <w:rPr>
                <w:rFonts w:ascii="Arial" w:cs="Arial" w:eastAsia="Arial" w:hAnsi="Arial"/>
                <w:sz w:val="14"/>
                <w:szCs w:val="14"/>
                <w:b w:val="1"/>
                <w:bCs w:val="1"/>
                <w:color w:val="455986"/>
              </w:rPr>
              <w:t>85</w:t>
            </w:r>
          </w:p>
        </w:tc>
      </w:tr>
      <w:tr>
        <w:trPr>
          <w:trHeight w:val="20"/>
        </w:trPr>
        <w:tc>
          <w:tcPr>
            <w:tcW w:w="800" w:type="dxa"/>
            <w:vAlign w:val="bottom"/>
            <w:tcBorders>
              <w:right w:val="single" w:sz="8" w:color="455986"/>
            </w:tcBorders>
            <w:gridSpan w:val="2"/>
            <w:shd w:val="clear" w:color="auto" w:fill="4395D4"/>
          </w:tcPr>
          <w:p>
            <w:pPr>
              <w:spacing w:after="0" w:line="20" w:lineRule="exact"/>
              <w:rPr>
                <w:sz w:val="1"/>
                <w:szCs w:val="1"/>
                <w:color w:val="auto"/>
              </w:rPr>
            </w:pPr>
          </w:p>
        </w:tc>
        <w:tc>
          <w:tcPr>
            <w:tcW w:w="80" w:type="dxa"/>
            <w:vAlign w:val="bottom"/>
            <w:shd w:val="clear" w:color="auto" w:fill="455986"/>
          </w:tcPr>
          <w:p>
            <w:pPr>
              <w:spacing w:after="0" w:line="20" w:lineRule="exact"/>
              <w:rPr>
                <w:sz w:val="1"/>
                <w:szCs w:val="1"/>
                <w:color w:val="auto"/>
              </w:rPr>
            </w:pPr>
          </w:p>
        </w:tc>
        <w:tc>
          <w:tcPr>
            <w:tcW w:w="580" w:type="dxa"/>
            <w:vAlign w:val="bottom"/>
            <w:gridSpan w:val="3"/>
            <w:shd w:val="clear" w:color="auto" w:fill="455986"/>
          </w:tcPr>
          <w:p>
            <w:pPr>
              <w:spacing w:after="0" w:line="20" w:lineRule="exact"/>
              <w:rPr>
                <w:sz w:val="1"/>
                <w:szCs w:val="1"/>
                <w:color w:val="auto"/>
              </w:rPr>
            </w:pPr>
          </w:p>
        </w:tc>
        <w:tc>
          <w:tcPr>
            <w:tcW w:w="340" w:type="dxa"/>
            <w:vAlign w:val="bottom"/>
            <w:gridSpan w:val="4"/>
            <w:shd w:val="clear" w:color="auto" w:fill="455986"/>
          </w:tcPr>
          <w:p>
            <w:pPr>
              <w:spacing w:after="0" w:line="20" w:lineRule="exact"/>
              <w:rPr>
                <w:sz w:val="1"/>
                <w:szCs w:val="1"/>
                <w:color w:val="auto"/>
              </w:rPr>
            </w:pPr>
          </w:p>
        </w:tc>
        <w:tc>
          <w:tcPr>
            <w:tcW w:w="420" w:type="dxa"/>
            <w:vAlign w:val="bottom"/>
            <w:gridSpan w:val="3"/>
            <w:shd w:val="clear" w:color="auto" w:fill="455986"/>
          </w:tcPr>
          <w:p>
            <w:pPr>
              <w:spacing w:after="0" w:line="20" w:lineRule="exact"/>
              <w:rPr>
                <w:sz w:val="1"/>
                <w:szCs w:val="1"/>
                <w:color w:val="auto"/>
              </w:rPr>
            </w:pPr>
          </w:p>
        </w:tc>
        <w:tc>
          <w:tcPr>
            <w:tcW w:w="1240" w:type="dxa"/>
            <w:vAlign w:val="bottom"/>
            <w:shd w:val="clear" w:color="auto" w:fill="455986"/>
          </w:tcPr>
          <w:p>
            <w:pPr>
              <w:spacing w:after="0" w:line="20" w:lineRule="exact"/>
              <w:rPr>
                <w:sz w:val="1"/>
                <w:szCs w:val="1"/>
                <w:color w:val="auto"/>
              </w:rPr>
            </w:pPr>
          </w:p>
        </w:tc>
        <w:tc>
          <w:tcPr>
            <w:tcW w:w="180" w:type="dxa"/>
            <w:vAlign w:val="bottom"/>
            <w:gridSpan w:val="3"/>
            <w:shd w:val="clear" w:color="auto" w:fill="455986"/>
          </w:tcPr>
          <w:p>
            <w:pPr>
              <w:spacing w:after="0" w:line="20" w:lineRule="exact"/>
              <w:rPr>
                <w:sz w:val="1"/>
                <w:szCs w:val="1"/>
                <w:color w:val="auto"/>
              </w:rPr>
            </w:pPr>
          </w:p>
        </w:tc>
        <w:tc>
          <w:tcPr>
            <w:tcW w:w="200" w:type="dxa"/>
            <w:vAlign w:val="bottom"/>
            <w:tcBorders>
              <w:right w:val="single" w:sz="8" w:color="455986"/>
            </w:tcBorders>
            <w:shd w:val="clear" w:color="auto" w:fill="455986"/>
          </w:tcPr>
          <w:p>
            <w:pPr>
              <w:spacing w:after="0" w:line="20" w:lineRule="exact"/>
              <w:rPr>
                <w:sz w:val="1"/>
                <w:szCs w:val="1"/>
                <w:color w:val="auto"/>
              </w:rPr>
            </w:pPr>
          </w:p>
        </w:tc>
        <w:tc>
          <w:tcPr>
            <w:tcW w:w="80" w:type="dxa"/>
            <w:vAlign w:val="bottom"/>
            <w:shd w:val="clear" w:color="auto" w:fill="455986"/>
          </w:tcPr>
          <w:p>
            <w:pPr>
              <w:spacing w:after="0" w:line="20" w:lineRule="exact"/>
              <w:rPr>
                <w:sz w:val="1"/>
                <w:szCs w:val="1"/>
                <w:color w:val="auto"/>
              </w:rPr>
            </w:pPr>
          </w:p>
        </w:tc>
        <w:tc>
          <w:tcPr>
            <w:tcW w:w="4320" w:type="dxa"/>
            <w:vAlign w:val="bottom"/>
            <w:gridSpan w:val="2"/>
            <w:shd w:val="clear" w:color="auto" w:fill="455986"/>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286"/>
        </w:trPr>
        <w:tc>
          <w:tcPr>
            <w:tcW w:w="9560" w:type="dxa"/>
            <w:vAlign w:val="bottom"/>
            <w:gridSpan w:val="23"/>
          </w:tcPr>
          <w:p>
            <w:pPr>
              <w:spacing w:after="0"/>
              <w:rPr>
                <w:rFonts w:ascii="Arial" w:cs="Arial" w:eastAsia="Arial" w:hAnsi="Arial"/>
                <w:sz w:val="14"/>
                <w:szCs w:val="14"/>
                <w:b w:val="1"/>
                <w:bCs w:val="1"/>
                <w:color w:val="4395D4"/>
              </w:rPr>
            </w:pPr>
            <w:hyperlink w:anchor="page89">
              <w:r>
                <w:rPr>
                  <w:rFonts w:ascii="Arial" w:cs="Arial" w:eastAsia="Arial" w:hAnsi="Arial"/>
                  <w:sz w:val="14"/>
                  <w:szCs w:val="14"/>
                  <w:b w:val="1"/>
                  <w:bCs w:val="1"/>
                  <w:color w:val="4395D4"/>
                </w:rPr>
                <w:t>Annual Meeting Information</w:t>
              </w:r>
            </w:hyperlink>
          </w:p>
        </w:tc>
        <w:tc>
          <w:tcPr>
            <w:tcW w:w="560" w:type="dxa"/>
            <w:vAlign w:val="bottom"/>
          </w:tcPr>
          <w:p>
            <w:pPr>
              <w:jc w:val="right"/>
              <w:spacing w:after="0"/>
              <w:rPr>
                <w:sz w:val="20"/>
                <w:szCs w:val="20"/>
                <w:color w:val="auto"/>
              </w:rPr>
            </w:pPr>
            <w:r>
              <w:rPr>
                <w:rFonts w:ascii="Arial" w:cs="Arial" w:eastAsia="Arial" w:hAnsi="Arial"/>
                <w:sz w:val="14"/>
                <w:szCs w:val="14"/>
                <w:b w:val="1"/>
                <w:bCs w:val="1"/>
                <w:color w:val="4395D4"/>
              </w:rPr>
              <w:t>86</w:t>
            </w:r>
          </w:p>
        </w:tc>
      </w:tr>
      <w:tr>
        <w:trPr>
          <w:trHeight w:val="20"/>
        </w:trPr>
        <w:tc>
          <w:tcPr>
            <w:tcW w:w="100" w:type="dxa"/>
            <w:vAlign w:val="bottom"/>
            <w:shd w:val="clear" w:color="auto" w:fill="4395D4"/>
          </w:tcPr>
          <w:p>
            <w:pPr>
              <w:spacing w:after="0" w:line="20" w:lineRule="exact"/>
              <w:rPr>
                <w:sz w:val="1"/>
                <w:szCs w:val="1"/>
                <w:color w:val="auto"/>
              </w:rPr>
            </w:pPr>
          </w:p>
        </w:tc>
        <w:tc>
          <w:tcPr>
            <w:tcW w:w="700" w:type="dxa"/>
            <w:vAlign w:val="bottom"/>
            <w:tcBorders>
              <w:right w:val="single" w:sz="8" w:color="4395D4"/>
            </w:tcBorders>
            <w:shd w:val="clear" w:color="auto" w:fill="4395D4"/>
          </w:tcPr>
          <w:p>
            <w:pPr>
              <w:spacing w:after="0" w:line="20" w:lineRule="exact"/>
              <w:rPr>
                <w:sz w:val="1"/>
                <w:szCs w:val="1"/>
                <w:color w:val="auto"/>
              </w:rPr>
            </w:pPr>
          </w:p>
        </w:tc>
        <w:tc>
          <w:tcPr>
            <w:tcW w:w="80" w:type="dxa"/>
            <w:vAlign w:val="bottom"/>
            <w:shd w:val="clear" w:color="auto" w:fill="4395D4"/>
          </w:tcPr>
          <w:p>
            <w:pPr>
              <w:spacing w:after="0" w:line="20" w:lineRule="exact"/>
              <w:rPr>
                <w:sz w:val="1"/>
                <w:szCs w:val="1"/>
                <w:color w:val="auto"/>
              </w:rPr>
            </w:pPr>
          </w:p>
        </w:tc>
        <w:tc>
          <w:tcPr>
            <w:tcW w:w="580" w:type="dxa"/>
            <w:vAlign w:val="bottom"/>
            <w:gridSpan w:val="3"/>
            <w:shd w:val="clear" w:color="auto" w:fill="4395D4"/>
          </w:tcPr>
          <w:p>
            <w:pPr>
              <w:spacing w:after="0" w:line="20" w:lineRule="exact"/>
              <w:rPr>
                <w:sz w:val="1"/>
                <w:szCs w:val="1"/>
                <w:color w:val="auto"/>
              </w:rPr>
            </w:pPr>
          </w:p>
        </w:tc>
        <w:tc>
          <w:tcPr>
            <w:tcW w:w="340" w:type="dxa"/>
            <w:vAlign w:val="bottom"/>
            <w:gridSpan w:val="4"/>
            <w:shd w:val="clear" w:color="auto" w:fill="4395D4"/>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40" w:type="dxa"/>
            <w:vAlign w:val="bottom"/>
            <w:gridSpan w:val="4"/>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210"/>
        </w:trPr>
        <w:tc>
          <w:tcPr>
            <w:tcW w:w="100" w:type="dxa"/>
            <w:vAlign w:val="bottom"/>
          </w:tcPr>
          <w:p>
            <w:pPr>
              <w:spacing w:after="0"/>
              <w:rPr>
                <w:sz w:val="18"/>
                <w:szCs w:val="18"/>
                <w:color w:val="auto"/>
              </w:rPr>
            </w:pPr>
          </w:p>
        </w:tc>
        <w:tc>
          <w:tcPr>
            <w:tcW w:w="9460" w:type="dxa"/>
            <w:vAlign w:val="bottom"/>
            <w:gridSpan w:val="22"/>
          </w:tcPr>
          <w:p>
            <w:pPr>
              <w:spacing w:after="0"/>
              <w:rPr>
                <w:rFonts w:ascii="Arial" w:cs="Arial" w:eastAsia="Arial" w:hAnsi="Arial"/>
                <w:sz w:val="14"/>
                <w:szCs w:val="14"/>
                <w:color w:val="231F20"/>
              </w:rPr>
            </w:pPr>
            <w:hyperlink w:anchor="page89">
              <w:r>
                <w:rPr>
                  <w:rFonts w:ascii="Arial" w:cs="Arial" w:eastAsia="Arial" w:hAnsi="Arial"/>
                  <w:sz w:val="14"/>
                  <w:szCs w:val="14"/>
                  <w:color w:val="231F20"/>
                </w:rPr>
                <w:t>Questions and Answers about the 2021 Annual Meeting</w:t>
              </w:r>
            </w:hyperlink>
          </w:p>
        </w:tc>
        <w:tc>
          <w:tcPr>
            <w:tcW w:w="560" w:type="dxa"/>
            <w:vAlign w:val="bottom"/>
          </w:tcPr>
          <w:p>
            <w:pPr>
              <w:jc w:val="right"/>
              <w:spacing w:after="0"/>
              <w:rPr>
                <w:sz w:val="20"/>
                <w:szCs w:val="20"/>
                <w:color w:val="auto"/>
              </w:rPr>
            </w:pPr>
            <w:r>
              <w:rPr>
                <w:rFonts w:ascii="Arial" w:cs="Arial" w:eastAsia="Arial" w:hAnsi="Arial"/>
                <w:sz w:val="14"/>
                <w:szCs w:val="14"/>
                <w:color w:val="231F20"/>
              </w:rPr>
              <w:t>86</w:t>
            </w:r>
          </w:p>
        </w:tc>
      </w:tr>
      <w:tr>
        <w:trPr>
          <w:trHeight w:val="210"/>
        </w:trPr>
        <w:tc>
          <w:tcPr>
            <w:tcW w:w="100" w:type="dxa"/>
            <w:vAlign w:val="bottom"/>
          </w:tcPr>
          <w:p>
            <w:pPr>
              <w:spacing w:after="0"/>
              <w:rPr>
                <w:sz w:val="18"/>
                <w:szCs w:val="18"/>
                <w:color w:val="auto"/>
              </w:rPr>
            </w:pPr>
          </w:p>
        </w:tc>
        <w:tc>
          <w:tcPr>
            <w:tcW w:w="3360" w:type="dxa"/>
            <w:vAlign w:val="bottom"/>
            <w:tcBorders>
              <w:top w:val="single" w:sz="8" w:color="231F20"/>
            </w:tcBorders>
            <w:gridSpan w:val="13"/>
          </w:tcPr>
          <w:p>
            <w:pPr>
              <w:spacing w:after="0"/>
              <w:rPr>
                <w:rFonts w:ascii="Arial" w:cs="Arial" w:eastAsia="Arial" w:hAnsi="Arial"/>
                <w:sz w:val="14"/>
                <w:szCs w:val="14"/>
                <w:color w:val="231F20"/>
              </w:rPr>
            </w:pPr>
            <w:hyperlink w:anchor="page93">
              <w:r>
                <w:rPr>
                  <w:rFonts w:ascii="Arial" w:cs="Arial" w:eastAsia="Arial" w:hAnsi="Arial"/>
                  <w:sz w:val="14"/>
                  <w:szCs w:val="14"/>
                  <w:color w:val="231F20"/>
                </w:rPr>
                <w:t>Nominating Candidates for Director</w:t>
              </w:r>
            </w:hyperlink>
          </w:p>
        </w:tc>
        <w:tc>
          <w:tcPr>
            <w:tcW w:w="6100" w:type="dxa"/>
            <w:vAlign w:val="bottom"/>
            <w:gridSpan w:val="9"/>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231F20"/>
              </w:rPr>
              <w:t>90</w:t>
            </w:r>
          </w:p>
        </w:tc>
      </w:tr>
      <w:tr>
        <w:trPr>
          <w:trHeight w:val="20"/>
        </w:trPr>
        <w:tc>
          <w:tcPr>
            <w:tcW w:w="100" w:type="dxa"/>
            <w:vAlign w:val="bottom"/>
          </w:tcPr>
          <w:p>
            <w:pPr>
              <w:spacing w:after="0" w:line="20" w:lineRule="exact"/>
              <w:rPr>
                <w:sz w:val="1"/>
                <w:szCs w:val="1"/>
                <w:color w:val="auto"/>
              </w:rPr>
            </w:pPr>
          </w:p>
        </w:tc>
        <w:tc>
          <w:tcPr>
            <w:tcW w:w="700" w:type="dxa"/>
            <w:vAlign w:val="bottom"/>
            <w:tcBorders>
              <w:right w:val="single" w:sz="8" w:color="231F20"/>
            </w:tcBorders>
            <w:shd w:val="clear" w:color="auto" w:fill="231F20"/>
          </w:tcPr>
          <w:p>
            <w:pPr>
              <w:spacing w:after="0" w:line="20" w:lineRule="exact"/>
              <w:rPr>
                <w:sz w:val="1"/>
                <w:szCs w:val="1"/>
                <w:color w:val="auto"/>
              </w:rPr>
            </w:pPr>
          </w:p>
        </w:tc>
        <w:tc>
          <w:tcPr>
            <w:tcW w:w="80" w:type="dxa"/>
            <w:vAlign w:val="bottom"/>
            <w:shd w:val="clear" w:color="auto" w:fill="231F20"/>
          </w:tcPr>
          <w:p>
            <w:pPr>
              <w:spacing w:after="0" w:line="20" w:lineRule="exact"/>
              <w:rPr>
                <w:sz w:val="1"/>
                <w:szCs w:val="1"/>
                <w:color w:val="auto"/>
              </w:rPr>
            </w:pPr>
          </w:p>
        </w:tc>
        <w:tc>
          <w:tcPr>
            <w:tcW w:w="580" w:type="dxa"/>
            <w:vAlign w:val="bottom"/>
            <w:gridSpan w:val="3"/>
            <w:shd w:val="clear" w:color="auto" w:fill="231F20"/>
          </w:tcPr>
          <w:p>
            <w:pPr>
              <w:spacing w:after="0" w:line="20" w:lineRule="exact"/>
              <w:rPr>
                <w:sz w:val="1"/>
                <w:szCs w:val="1"/>
                <w:color w:val="auto"/>
              </w:rPr>
            </w:pPr>
          </w:p>
        </w:tc>
        <w:tc>
          <w:tcPr>
            <w:tcW w:w="760" w:type="dxa"/>
            <w:vAlign w:val="bottom"/>
            <w:gridSpan w:val="7"/>
            <w:shd w:val="clear" w:color="auto" w:fill="231F20"/>
          </w:tcPr>
          <w:p>
            <w:pPr>
              <w:spacing w:after="0" w:line="20" w:lineRule="exact"/>
              <w:rPr>
                <w:sz w:val="1"/>
                <w:szCs w:val="1"/>
                <w:color w:val="auto"/>
              </w:rPr>
            </w:pPr>
          </w:p>
        </w:tc>
        <w:tc>
          <w:tcPr>
            <w:tcW w:w="1420" w:type="dxa"/>
            <w:vAlign w:val="bottom"/>
            <w:gridSpan w:val="4"/>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40" w:type="dxa"/>
            <w:vAlign w:val="bottom"/>
            <w:gridSpan w:val="4"/>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210"/>
        </w:trPr>
        <w:tc>
          <w:tcPr>
            <w:tcW w:w="100" w:type="dxa"/>
            <w:vAlign w:val="bottom"/>
          </w:tcPr>
          <w:p>
            <w:pPr>
              <w:spacing w:after="0"/>
              <w:rPr>
                <w:sz w:val="18"/>
                <w:szCs w:val="18"/>
                <w:color w:val="auto"/>
              </w:rPr>
            </w:pPr>
          </w:p>
        </w:tc>
        <w:tc>
          <w:tcPr>
            <w:tcW w:w="3740" w:type="dxa"/>
            <w:vAlign w:val="bottom"/>
            <w:tcBorders>
              <w:bottom w:val="single" w:sz="8" w:color="231F20"/>
            </w:tcBorders>
            <w:gridSpan w:val="17"/>
          </w:tcPr>
          <w:p>
            <w:pPr>
              <w:spacing w:after="0"/>
              <w:rPr>
                <w:rFonts w:ascii="Arial" w:cs="Arial" w:eastAsia="Arial" w:hAnsi="Arial"/>
                <w:sz w:val="14"/>
                <w:szCs w:val="14"/>
                <w:color w:val="231F20"/>
                <w:w w:val="97"/>
              </w:rPr>
            </w:pPr>
            <w:hyperlink w:anchor="page94">
              <w:r>
                <w:rPr>
                  <w:rFonts w:ascii="Arial" w:cs="Arial" w:eastAsia="Arial" w:hAnsi="Arial"/>
                  <w:sz w:val="14"/>
                  <w:szCs w:val="14"/>
                  <w:color w:val="231F20"/>
                  <w:w w:val="97"/>
                </w:rPr>
                <w:t>Communications with the Company or Independent Directors</w:t>
              </w:r>
            </w:hyperlink>
          </w:p>
        </w:tc>
        <w:tc>
          <w:tcPr>
            <w:tcW w:w="5720" w:type="dxa"/>
            <w:vAlign w:val="bottom"/>
            <w:gridSpan w:val="5"/>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231F20"/>
              </w:rPr>
              <w:t>91</w:t>
            </w:r>
          </w:p>
        </w:tc>
      </w:tr>
      <w:tr>
        <w:trPr>
          <w:trHeight w:val="210"/>
        </w:trPr>
        <w:tc>
          <w:tcPr>
            <w:tcW w:w="1460" w:type="dxa"/>
            <w:vAlign w:val="bottom"/>
            <w:tcBorders>
              <w:bottom w:val="single" w:sz="8" w:color="231F20"/>
            </w:tcBorders>
            <w:gridSpan w:val="6"/>
          </w:tcPr>
          <w:p>
            <w:pPr>
              <w:spacing w:after="0"/>
              <w:rPr>
                <w:rFonts w:ascii="Arial" w:cs="Arial" w:eastAsia="Arial" w:hAnsi="Arial"/>
                <w:sz w:val="14"/>
                <w:szCs w:val="14"/>
                <w:b w:val="1"/>
                <w:bCs w:val="1"/>
                <w:color w:val="231F20"/>
                <w:w w:val="96"/>
              </w:rPr>
            </w:pPr>
            <w:hyperlink w:anchor="page94">
              <w:r>
                <w:rPr>
                  <w:rFonts w:ascii="Arial" w:cs="Arial" w:eastAsia="Arial" w:hAnsi="Arial"/>
                  <w:sz w:val="14"/>
                  <w:szCs w:val="14"/>
                  <w:b w:val="1"/>
                  <w:bCs w:val="1"/>
                  <w:color w:val="231F20"/>
                  <w:w w:val="96"/>
                </w:rPr>
                <w:t>Additional Information</w:t>
              </w:r>
            </w:hyperlink>
          </w:p>
        </w:tc>
        <w:tc>
          <w:tcPr>
            <w:tcW w:w="8100" w:type="dxa"/>
            <w:vAlign w:val="bottom"/>
            <w:gridSpan w:val="17"/>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4"/>
                <w:szCs w:val="14"/>
                <w:b w:val="1"/>
                <w:bCs w:val="1"/>
                <w:color w:val="231F20"/>
              </w:rPr>
              <w:t>91</w:t>
            </w:r>
          </w:p>
        </w:tc>
      </w:tr>
      <w:tr>
        <w:trPr>
          <w:trHeight w:val="210"/>
        </w:trPr>
        <w:tc>
          <w:tcPr>
            <w:tcW w:w="9560" w:type="dxa"/>
            <w:vAlign w:val="bottom"/>
            <w:gridSpan w:val="23"/>
          </w:tcPr>
          <w:p>
            <w:pPr>
              <w:spacing w:after="0"/>
              <w:rPr>
                <w:rFonts w:ascii="Arial" w:cs="Arial" w:eastAsia="Arial" w:hAnsi="Arial"/>
                <w:sz w:val="14"/>
                <w:szCs w:val="14"/>
                <w:b w:val="1"/>
                <w:bCs w:val="1"/>
                <w:color w:val="231F20"/>
              </w:rPr>
            </w:pPr>
            <w:hyperlink w:anchor="page94">
              <w:r>
                <w:rPr>
                  <w:rFonts w:ascii="Arial" w:cs="Arial" w:eastAsia="Arial" w:hAnsi="Arial"/>
                  <w:sz w:val="14"/>
                  <w:szCs w:val="14"/>
                  <w:b w:val="1"/>
                  <w:bCs w:val="1"/>
                  <w:color w:val="231F20"/>
                </w:rPr>
                <w:t>Other Matters</w:t>
              </w:r>
            </w:hyperlink>
          </w:p>
        </w:tc>
        <w:tc>
          <w:tcPr>
            <w:tcW w:w="560" w:type="dxa"/>
            <w:vAlign w:val="bottom"/>
          </w:tcPr>
          <w:p>
            <w:pPr>
              <w:jc w:val="right"/>
              <w:spacing w:after="0"/>
              <w:rPr>
                <w:sz w:val="20"/>
                <w:szCs w:val="20"/>
                <w:color w:val="auto"/>
              </w:rPr>
            </w:pPr>
            <w:r>
              <w:rPr>
                <w:rFonts w:ascii="Arial" w:cs="Arial" w:eastAsia="Arial" w:hAnsi="Arial"/>
                <w:sz w:val="14"/>
                <w:szCs w:val="14"/>
                <w:b w:val="1"/>
                <w:bCs w:val="1"/>
                <w:color w:val="231F20"/>
              </w:rPr>
              <w:t>91</w:t>
            </w:r>
          </w:p>
        </w:tc>
      </w:tr>
      <w:tr>
        <w:trPr>
          <w:trHeight w:val="20"/>
        </w:trPr>
        <w:tc>
          <w:tcPr>
            <w:tcW w:w="800" w:type="dxa"/>
            <w:vAlign w:val="bottom"/>
            <w:tcBorders>
              <w:right w:val="single" w:sz="8" w:color="231F20"/>
            </w:tcBorders>
            <w:gridSpan w:val="2"/>
            <w:shd w:val="clear" w:color="auto" w:fill="231F20"/>
          </w:tcPr>
          <w:p>
            <w:pPr>
              <w:spacing w:after="0" w:line="20" w:lineRule="exact"/>
              <w:rPr>
                <w:sz w:val="1"/>
                <w:szCs w:val="1"/>
                <w:color w:val="auto"/>
              </w:rPr>
            </w:pPr>
          </w:p>
        </w:tc>
        <w:tc>
          <w:tcPr>
            <w:tcW w:w="80" w:type="dxa"/>
            <w:vAlign w:val="bottom"/>
            <w:shd w:val="clear" w:color="auto" w:fill="231F20"/>
          </w:tcPr>
          <w:p>
            <w:pPr>
              <w:spacing w:after="0" w:line="20" w:lineRule="exact"/>
              <w:rPr>
                <w:sz w:val="1"/>
                <w:szCs w:val="1"/>
                <w:color w:val="auto"/>
              </w:rPr>
            </w:pPr>
          </w:p>
        </w:tc>
        <w:tc>
          <w:tcPr>
            <w:tcW w:w="2760" w:type="dxa"/>
            <w:vAlign w:val="bottom"/>
            <w:gridSpan w:val="14"/>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40" w:type="dxa"/>
            <w:vAlign w:val="bottom"/>
            <w:gridSpan w:val="4"/>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210"/>
        </w:trPr>
        <w:tc>
          <w:tcPr>
            <w:tcW w:w="9560" w:type="dxa"/>
            <w:vAlign w:val="bottom"/>
            <w:gridSpan w:val="23"/>
          </w:tcPr>
          <w:p>
            <w:pPr>
              <w:spacing w:after="0"/>
              <w:rPr>
                <w:rFonts w:ascii="Arial" w:cs="Arial" w:eastAsia="Arial" w:hAnsi="Arial"/>
                <w:sz w:val="14"/>
                <w:szCs w:val="14"/>
                <w:b w:val="1"/>
                <w:bCs w:val="1"/>
                <w:color w:val="4395D4"/>
              </w:rPr>
            </w:pPr>
            <w:hyperlink w:anchor="page95">
              <w:r>
                <w:rPr>
                  <w:rFonts w:ascii="Arial" w:cs="Arial" w:eastAsia="Arial" w:hAnsi="Arial"/>
                  <w:sz w:val="14"/>
                  <w:szCs w:val="14"/>
                  <w:b w:val="1"/>
                  <w:bCs w:val="1"/>
                  <w:color w:val="4395D4"/>
                </w:rPr>
                <w:t xml:space="preserve">Appendix A </w:t>
              </w:r>
              <w:r>
                <w:rPr>
                  <w:rFonts w:ascii="Arial" w:cs="Arial" w:eastAsia="Arial" w:hAnsi="Arial"/>
                  <w:sz w:val="14"/>
                  <w:szCs w:val="14"/>
                  <w:b w:val="1"/>
                  <w:bCs w:val="1"/>
                  <w:color w:val="455986"/>
                </w:rPr>
                <w:t>Essential Utilities Peer Group of Companies</w:t>
              </w:r>
            </w:hyperlink>
          </w:p>
        </w:tc>
        <w:tc>
          <w:tcPr>
            <w:tcW w:w="560" w:type="dxa"/>
            <w:vAlign w:val="bottom"/>
          </w:tcPr>
          <w:p>
            <w:pPr>
              <w:jc w:val="right"/>
              <w:spacing w:after="0"/>
              <w:rPr>
                <w:sz w:val="20"/>
                <w:szCs w:val="20"/>
                <w:color w:val="auto"/>
              </w:rPr>
            </w:pPr>
            <w:r>
              <w:rPr>
                <w:rFonts w:ascii="Arial" w:cs="Arial" w:eastAsia="Arial" w:hAnsi="Arial"/>
                <w:sz w:val="14"/>
                <w:szCs w:val="14"/>
                <w:b w:val="1"/>
                <w:bCs w:val="1"/>
                <w:color w:val="455986"/>
              </w:rPr>
              <w:t>A-1</w:t>
            </w:r>
          </w:p>
        </w:tc>
      </w:tr>
      <w:tr>
        <w:trPr>
          <w:trHeight w:val="20"/>
        </w:trPr>
        <w:tc>
          <w:tcPr>
            <w:tcW w:w="100" w:type="dxa"/>
            <w:vAlign w:val="bottom"/>
            <w:shd w:val="clear" w:color="auto" w:fill="4395D4"/>
          </w:tcPr>
          <w:p>
            <w:pPr>
              <w:spacing w:after="0" w:line="20" w:lineRule="exact"/>
              <w:rPr>
                <w:sz w:val="1"/>
                <w:szCs w:val="1"/>
                <w:color w:val="auto"/>
              </w:rPr>
            </w:pPr>
          </w:p>
        </w:tc>
        <w:tc>
          <w:tcPr>
            <w:tcW w:w="700" w:type="dxa"/>
            <w:vAlign w:val="bottom"/>
            <w:tcBorders>
              <w:right w:val="single" w:sz="8" w:color="4395D4"/>
            </w:tcBorders>
            <w:shd w:val="clear" w:color="auto" w:fill="4395D4"/>
          </w:tcPr>
          <w:p>
            <w:pPr>
              <w:spacing w:after="0" w:line="20" w:lineRule="exact"/>
              <w:rPr>
                <w:sz w:val="1"/>
                <w:szCs w:val="1"/>
                <w:color w:val="auto"/>
              </w:rPr>
            </w:pPr>
          </w:p>
        </w:tc>
        <w:tc>
          <w:tcPr>
            <w:tcW w:w="80" w:type="dxa"/>
            <w:vAlign w:val="bottom"/>
            <w:shd w:val="clear" w:color="auto" w:fill="455986"/>
          </w:tcPr>
          <w:p>
            <w:pPr>
              <w:spacing w:after="0" w:line="20" w:lineRule="exact"/>
              <w:rPr>
                <w:sz w:val="1"/>
                <w:szCs w:val="1"/>
                <w:color w:val="auto"/>
              </w:rPr>
            </w:pPr>
          </w:p>
        </w:tc>
        <w:tc>
          <w:tcPr>
            <w:tcW w:w="160" w:type="dxa"/>
            <w:vAlign w:val="bottom"/>
            <w:shd w:val="clear" w:color="auto" w:fill="455986"/>
          </w:tcPr>
          <w:p>
            <w:pPr>
              <w:spacing w:after="0" w:line="20" w:lineRule="exact"/>
              <w:rPr>
                <w:sz w:val="1"/>
                <w:szCs w:val="1"/>
                <w:color w:val="auto"/>
              </w:rPr>
            </w:pPr>
          </w:p>
        </w:tc>
        <w:tc>
          <w:tcPr>
            <w:tcW w:w="400" w:type="dxa"/>
            <w:vAlign w:val="bottom"/>
            <w:shd w:val="clear" w:color="auto" w:fill="455986"/>
          </w:tcPr>
          <w:p>
            <w:pPr>
              <w:spacing w:after="0" w:line="20" w:lineRule="exact"/>
              <w:rPr>
                <w:sz w:val="1"/>
                <w:szCs w:val="1"/>
                <w:color w:val="auto"/>
              </w:rPr>
            </w:pPr>
          </w:p>
        </w:tc>
        <w:tc>
          <w:tcPr>
            <w:tcW w:w="20" w:type="dxa"/>
            <w:vAlign w:val="bottom"/>
            <w:shd w:val="clear" w:color="auto" w:fill="455986"/>
          </w:tcPr>
          <w:p>
            <w:pPr>
              <w:spacing w:after="0" w:line="20" w:lineRule="exact"/>
              <w:rPr>
                <w:sz w:val="1"/>
                <w:szCs w:val="1"/>
                <w:color w:val="auto"/>
              </w:rPr>
            </w:pPr>
          </w:p>
        </w:tc>
        <w:tc>
          <w:tcPr>
            <w:tcW w:w="20" w:type="dxa"/>
            <w:vAlign w:val="bottom"/>
            <w:shd w:val="clear" w:color="auto" w:fill="455986"/>
          </w:tcPr>
          <w:p>
            <w:pPr>
              <w:spacing w:after="0" w:line="20" w:lineRule="exact"/>
              <w:rPr>
                <w:sz w:val="1"/>
                <w:szCs w:val="1"/>
                <w:color w:val="auto"/>
              </w:rPr>
            </w:pPr>
          </w:p>
        </w:tc>
        <w:tc>
          <w:tcPr>
            <w:tcW w:w="20" w:type="dxa"/>
            <w:vAlign w:val="bottom"/>
            <w:shd w:val="clear" w:color="auto" w:fill="455986"/>
          </w:tcPr>
          <w:p>
            <w:pPr>
              <w:spacing w:after="0" w:line="20" w:lineRule="exact"/>
              <w:rPr>
                <w:sz w:val="1"/>
                <w:szCs w:val="1"/>
                <w:color w:val="auto"/>
              </w:rPr>
            </w:pPr>
          </w:p>
        </w:tc>
        <w:tc>
          <w:tcPr>
            <w:tcW w:w="60" w:type="dxa"/>
            <w:vAlign w:val="bottom"/>
            <w:shd w:val="clear" w:color="auto" w:fill="455986"/>
          </w:tcPr>
          <w:p>
            <w:pPr>
              <w:spacing w:after="0" w:line="20" w:lineRule="exact"/>
              <w:rPr>
                <w:sz w:val="1"/>
                <w:szCs w:val="1"/>
                <w:color w:val="auto"/>
              </w:rPr>
            </w:pPr>
          </w:p>
        </w:tc>
        <w:tc>
          <w:tcPr>
            <w:tcW w:w="240" w:type="dxa"/>
            <w:vAlign w:val="bottom"/>
            <w:shd w:val="clear" w:color="auto" w:fill="455986"/>
          </w:tcPr>
          <w:p>
            <w:pPr>
              <w:spacing w:after="0" w:line="20" w:lineRule="exact"/>
              <w:rPr>
                <w:sz w:val="1"/>
                <w:szCs w:val="1"/>
                <w:color w:val="auto"/>
              </w:rPr>
            </w:pPr>
          </w:p>
        </w:tc>
        <w:tc>
          <w:tcPr>
            <w:tcW w:w="100" w:type="dxa"/>
            <w:vAlign w:val="bottom"/>
            <w:shd w:val="clear" w:color="auto" w:fill="455986"/>
          </w:tcPr>
          <w:p>
            <w:pPr>
              <w:spacing w:after="0" w:line="20" w:lineRule="exact"/>
              <w:rPr>
                <w:sz w:val="1"/>
                <w:szCs w:val="1"/>
                <w:color w:val="auto"/>
              </w:rPr>
            </w:pPr>
          </w:p>
        </w:tc>
        <w:tc>
          <w:tcPr>
            <w:tcW w:w="160" w:type="dxa"/>
            <w:vAlign w:val="bottom"/>
            <w:shd w:val="clear" w:color="auto" w:fill="455986"/>
          </w:tcPr>
          <w:p>
            <w:pPr>
              <w:spacing w:after="0" w:line="20" w:lineRule="exact"/>
              <w:rPr>
                <w:sz w:val="1"/>
                <w:szCs w:val="1"/>
                <w:color w:val="auto"/>
              </w:rPr>
            </w:pPr>
          </w:p>
        </w:tc>
        <w:tc>
          <w:tcPr>
            <w:tcW w:w="160" w:type="dxa"/>
            <w:vAlign w:val="bottom"/>
            <w:shd w:val="clear" w:color="auto" w:fill="455986"/>
          </w:tcPr>
          <w:p>
            <w:pPr>
              <w:spacing w:after="0" w:line="20" w:lineRule="exact"/>
              <w:rPr>
                <w:sz w:val="1"/>
                <w:szCs w:val="1"/>
                <w:color w:val="auto"/>
              </w:rPr>
            </w:pPr>
          </w:p>
        </w:tc>
        <w:tc>
          <w:tcPr>
            <w:tcW w:w="1240" w:type="dxa"/>
            <w:vAlign w:val="bottom"/>
            <w:shd w:val="clear" w:color="auto" w:fill="455986"/>
          </w:tcPr>
          <w:p>
            <w:pPr>
              <w:spacing w:after="0" w:line="20" w:lineRule="exact"/>
              <w:rPr>
                <w:sz w:val="1"/>
                <w:szCs w:val="1"/>
                <w:color w:val="auto"/>
              </w:rPr>
            </w:pPr>
          </w:p>
        </w:tc>
        <w:tc>
          <w:tcPr>
            <w:tcW w:w="80" w:type="dxa"/>
            <w:vAlign w:val="bottom"/>
            <w:shd w:val="clear" w:color="auto" w:fill="455986"/>
          </w:tcPr>
          <w:p>
            <w:pPr>
              <w:spacing w:after="0" w:line="20" w:lineRule="exact"/>
              <w:rPr>
                <w:sz w:val="1"/>
                <w:szCs w:val="1"/>
                <w:color w:val="auto"/>
              </w:rPr>
            </w:pPr>
          </w:p>
        </w:tc>
        <w:tc>
          <w:tcPr>
            <w:tcW w:w="20" w:type="dxa"/>
            <w:vAlign w:val="bottom"/>
            <w:shd w:val="clear" w:color="auto" w:fill="455986"/>
          </w:tcPr>
          <w:p>
            <w:pPr>
              <w:spacing w:after="0" w:line="20" w:lineRule="exact"/>
              <w:rPr>
                <w:sz w:val="1"/>
                <w:szCs w:val="1"/>
                <w:color w:val="auto"/>
              </w:rPr>
            </w:pPr>
          </w:p>
        </w:tc>
        <w:tc>
          <w:tcPr>
            <w:tcW w:w="80" w:type="dxa"/>
            <w:vAlign w:val="bottom"/>
            <w:shd w:val="clear" w:color="auto" w:fill="455986"/>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210"/>
        </w:trPr>
        <w:tc>
          <w:tcPr>
            <w:tcW w:w="9560" w:type="dxa"/>
            <w:vAlign w:val="bottom"/>
            <w:gridSpan w:val="23"/>
          </w:tcPr>
          <w:p>
            <w:pPr>
              <w:spacing w:after="0"/>
              <w:rPr>
                <w:rFonts w:ascii="Arial" w:cs="Arial" w:eastAsia="Arial" w:hAnsi="Arial"/>
                <w:sz w:val="14"/>
                <w:szCs w:val="14"/>
                <w:b w:val="1"/>
                <w:bCs w:val="1"/>
                <w:color w:val="4395D4"/>
              </w:rPr>
            </w:pPr>
            <w:hyperlink w:anchor="page96">
              <w:r>
                <w:rPr>
                  <w:rFonts w:ascii="Arial" w:cs="Arial" w:eastAsia="Arial" w:hAnsi="Arial"/>
                  <w:sz w:val="14"/>
                  <w:szCs w:val="14"/>
                  <w:b w:val="1"/>
                  <w:bCs w:val="1"/>
                  <w:color w:val="4395D4"/>
                </w:rPr>
                <w:t xml:space="preserve">Appendix B </w:t>
              </w:r>
              <w:r>
                <w:rPr>
                  <w:rFonts w:ascii="Arial" w:cs="Arial" w:eastAsia="Arial" w:hAnsi="Arial"/>
                  <w:sz w:val="14"/>
                  <w:szCs w:val="14"/>
                  <w:b w:val="1"/>
                  <w:bCs w:val="1"/>
                  <w:color w:val="455986"/>
                </w:rPr>
                <w:t>Reconciliation of Non-GAAP Financial Measures</w:t>
              </w:r>
            </w:hyperlink>
          </w:p>
        </w:tc>
        <w:tc>
          <w:tcPr>
            <w:tcW w:w="560" w:type="dxa"/>
            <w:vAlign w:val="bottom"/>
          </w:tcPr>
          <w:p>
            <w:pPr>
              <w:jc w:val="right"/>
              <w:spacing w:after="0"/>
              <w:rPr>
                <w:sz w:val="20"/>
                <w:szCs w:val="20"/>
                <w:color w:val="auto"/>
              </w:rPr>
            </w:pPr>
            <w:r>
              <w:rPr>
                <w:rFonts w:ascii="Arial" w:cs="Arial" w:eastAsia="Arial" w:hAnsi="Arial"/>
                <w:sz w:val="14"/>
                <w:szCs w:val="14"/>
                <w:b w:val="1"/>
                <w:bCs w:val="1"/>
                <w:color w:val="455986"/>
              </w:rPr>
              <w:t>B-1</w:t>
            </w:r>
          </w:p>
        </w:tc>
      </w:tr>
      <w:tr>
        <w:trPr>
          <w:trHeight w:val="20"/>
        </w:trPr>
        <w:tc>
          <w:tcPr>
            <w:tcW w:w="100" w:type="dxa"/>
            <w:vAlign w:val="bottom"/>
            <w:shd w:val="clear" w:color="auto" w:fill="4395D4"/>
          </w:tcPr>
          <w:p>
            <w:pPr>
              <w:spacing w:after="0" w:line="20" w:lineRule="exact"/>
              <w:rPr>
                <w:sz w:val="1"/>
                <w:szCs w:val="1"/>
                <w:color w:val="auto"/>
              </w:rPr>
            </w:pPr>
          </w:p>
        </w:tc>
        <w:tc>
          <w:tcPr>
            <w:tcW w:w="700" w:type="dxa"/>
            <w:vAlign w:val="bottom"/>
            <w:tcBorders>
              <w:right w:val="single" w:sz="8" w:color="4395D4"/>
            </w:tcBorders>
            <w:shd w:val="clear" w:color="auto" w:fill="4395D4"/>
          </w:tcPr>
          <w:p>
            <w:pPr>
              <w:spacing w:after="0" w:line="20" w:lineRule="exact"/>
              <w:rPr>
                <w:sz w:val="1"/>
                <w:szCs w:val="1"/>
                <w:color w:val="auto"/>
              </w:rPr>
            </w:pPr>
          </w:p>
        </w:tc>
        <w:tc>
          <w:tcPr>
            <w:tcW w:w="80" w:type="dxa"/>
            <w:vAlign w:val="bottom"/>
            <w:shd w:val="clear" w:color="auto" w:fill="455986"/>
          </w:tcPr>
          <w:p>
            <w:pPr>
              <w:spacing w:after="0" w:line="20" w:lineRule="exact"/>
              <w:rPr>
                <w:sz w:val="1"/>
                <w:szCs w:val="1"/>
                <w:color w:val="auto"/>
              </w:rPr>
            </w:pPr>
          </w:p>
        </w:tc>
        <w:tc>
          <w:tcPr>
            <w:tcW w:w="160" w:type="dxa"/>
            <w:vAlign w:val="bottom"/>
            <w:shd w:val="clear" w:color="auto" w:fill="455986"/>
          </w:tcPr>
          <w:p>
            <w:pPr>
              <w:spacing w:after="0" w:line="20" w:lineRule="exact"/>
              <w:rPr>
                <w:sz w:val="1"/>
                <w:szCs w:val="1"/>
                <w:color w:val="auto"/>
              </w:rPr>
            </w:pPr>
          </w:p>
        </w:tc>
        <w:tc>
          <w:tcPr>
            <w:tcW w:w="400" w:type="dxa"/>
            <w:vAlign w:val="bottom"/>
            <w:shd w:val="clear" w:color="auto" w:fill="455986"/>
          </w:tcPr>
          <w:p>
            <w:pPr>
              <w:spacing w:after="0" w:line="20" w:lineRule="exact"/>
              <w:rPr>
                <w:sz w:val="1"/>
                <w:szCs w:val="1"/>
                <w:color w:val="auto"/>
              </w:rPr>
            </w:pPr>
          </w:p>
        </w:tc>
        <w:tc>
          <w:tcPr>
            <w:tcW w:w="20" w:type="dxa"/>
            <w:vAlign w:val="bottom"/>
            <w:shd w:val="clear" w:color="auto" w:fill="455986"/>
          </w:tcPr>
          <w:p>
            <w:pPr>
              <w:spacing w:after="0" w:line="20" w:lineRule="exact"/>
              <w:rPr>
                <w:sz w:val="1"/>
                <w:szCs w:val="1"/>
                <w:color w:val="auto"/>
              </w:rPr>
            </w:pPr>
          </w:p>
        </w:tc>
        <w:tc>
          <w:tcPr>
            <w:tcW w:w="20" w:type="dxa"/>
            <w:vAlign w:val="bottom"/>
            <w:shd w:val="clear" w:color="auto" w:fill="455986"/>
          </w:tcPr>
          <w:p>
            <w:pPr>
              <w:spacing w:after="0" w:line="20" w:lineRule="exact"/>
              <w:rPr>
                <w:sz w:val="1"/>
                <w:szCs w:val="1"/>
                <w:color w:val="auto"/>
              </w:rPr>
            </w:pPr>
          </w:p>
        </w:tc>
        <w:tc>
          <w:tcPr>
            <w:tcW w:w="20" w:type="dxa"/>
            <w:vAlign w:val="bottom"/>
            <w:shd w:val="clear" w:color="auto" w:fill="455986"/>
          </w:tcPr>
          <w:p>
            <w:pPr>
              <w:spacing w:after="0" w:line="20" w:lineRule="exact"/>
              <w:rPr>
                <w:sz w:val="1"/>
                <w:szCs w:val="1"/>
                <w:color w:val="auto"/>
              </w:rPr>
            </w:pPr>
          </w:p>
        </w:tc>
        <w:tc>
          <w:tcPr>
            <w:tcW w:w="60" w:type="dxa"/>
            <w:vAlign w:val="bottom"/>
            <w:shd w:val="clear" w:color="auto" w:fill="455986"/>
          </w:tcPr>
          <w:p>
            <w:pPr>
              <w:spacing w:after="0" w:line="20" w:lineRule="exact"/>
              <w:rPr>
                <w:sz w:val="1"/>
                <w:szCs w:val="1"/>
                <w:color w:val="auto"/>
              </w:rPr>
            </w:pPr>
          </w:p>
        </w:tc>
        <w:tc>
          <w:tcPr>
            <w:tcW w:w="240" w:type="dxa"/>
            <w:vAlign w:val="bottom"/>
            <w:shd w:val="clear" w:color="auto" w:fill="455986"/>
          </w:tcPr>
          <w:p>
            <w:pPr>
              <w:spacing w:after="0" w:line="20" w:lineRule="exact"/>
              <w:rPr>
                <w:sz w:val="1"/>
                <w:szCs w:val="1"/>
                <w:color w:val="auto"/>
              </w:rPr>
            </w:pPr>
          </w:p>
        </w:tc>
        <w:tc>
          <w:tcPr>
            <w:tcW w:w="100" w:type="dxa"/>
            <w:vAlign w:val="bottom"/>
            <w:shd w:val="clear" w:color="auto" w:fill="455986"/>
          </w:tcPr>
          <w:p>
            <w:pPr>
              <w:spacing w:after="0" w:line="20" w:lineRule="exact"/>
              <w:rPr>
                <w:sz w:val="1"/>
                <w:szCs w:val="1"/>
                <w:color w:val="auto"/>
              </w:rPr>
            </w:pPr>
          </w:p>
        </w:tc>
        <w:tc>
          <w:tcPr>
            <w:tcW w:w="160" w:type="dxa"/>
            <w:vAlign w:val="bottom"/>
            <w:shd w:val="clear" w:color="auto" w:fill="455986"/>
          </w:tcPr>
          <w:p>
            <w:pPr>
              <w:spacing w:after="0" w:line="20" w:lineRule="exact"/>
              <w:rPr>
                <w:sz w:val="1"/>
                <w:szCs w:val="1"/>
                <w:color w:val="auto"/>
              </w:rPr>
            </w:pPr>
          </w:p>
        </w:tc>
        <w:tc>
          <w:tcPr>
            <w:tcW w:w="160" w:type="dxa"/>
            <w:vAlign w:val="bottom"/>
            <w:shd w:val="clear" w:color="auto" w:fill="455986"/>
          </w:tcPr>
          <w:p>
            <w:pPr>
              <w:spacing w:after="0" w:line="20" w:lineRule="exact"/>
              <w:rPr>
                <w:sz w:val="1"/>
                <w:szCs w:val="1"/>
                <w:color w:val="auto"/>
              </w:rPr>
            </w:pPr>
          </w:p>
        </w:tc>
        <w:tc>
          <w:tcPr>
            <w:tcW w:w="1240" w:type="dxa"/>
            <w:vAlign w:val="bottom"/>
            <w:shd w:val="clear" w:color="auto" w:fill="455986"/>
          </w:tcPr>
          <w:p>
            <w:pPr>
              <w:spacing w:after="0" w:line="20" w:lineRule="exact"/>
              <w:rPr>
                <w:sz w:val="1"/>
                <w:szCs w:val="1"/>
                <w:color w:val="auto"/>
              </w:rPr>
            </w:pPr>
          </w:p>
        </w:tc>
        <w:tc>
          <w:tcPr>
            <w:tcW w:w="80" w:type="dxa"/>
            <w:vAlign w:val="bottom"/>
            <w:shd w:val="clear" w:color="auto" w:fill="455986"/>
          </w:tcPr>
          <w:p>
            <w:pPr>
              <w:spacing w:after="0" w:line="20" w:lineRule="exact"/>
              <w:rPr>
                <w:sz w:val="1"/>
                <w:szCs w:val="1"/>
                <w:color w:val="auto"/>
              </w:rPr>
            </w:pPr>
          </w:p>
        </w:tc>
        <w:tc>
          <w:tcPr>
            <w:tcW w:w="20" w:type="dxa"/>
            <w:vAlign w:val="bottom"/>
            <w:shd w:val="clear" w:color="auto" w:fill="455986"/>
          </w:tcPr>
          <w:p>
            <w:pPr>
              <w:spacing w:after="0" w:line="20" w:lineRule="exact"/>
              <w:rPr>
                <w:sz w:val="1"/>
                <w:szCs w:val="1"/>
                <w:color w:val="auto"/>
              </w:rPr>
            </w:pPr>
          </w:p>
        </w:tc>
        <w:tc>
          <w:tcPr>
            <w:tcW w:w="80" w:type="dxa"/>
            <w:vAlign w:val="bottom"/>
            <w:shd w:val="clear" w:color="auto" w:fill="455986"/>
          </w:tcPr>
          <w:p>
            <w:pPr>
              <w:spacing w:after="0" w:line="20" w:lineRule="exact"/>
              <w:rPr>
                <w:sz w:val="1"/>
                <w:szCs w:val="1"/>
                <w:color w:val="auto"/>
              </w:rPr>
            </w:pPr>
          </w:p>
        </w:tc>
        <w:tc>
          <w:tcPr>
            <w:tcW w:w="200" w:type="dxa"/>
            <w:vAlign w:val="bottom"/>
            <w:tcBorders>
              <w:right w:val="single" w:sz="8" w:color="455986"/>
            </w:tcBorders>
            <w:shd w:val="clear" w:color="auto" w:fill="455986"/>
          </w:tcPr>
          <w:p>
            <w:pPr>
              <w:spacing w:after="0" w:line="20" w:lineRule="exact"/>
              <w:rPr>
                <w:sz w:val="1"/>
                <w:szCs w:val="1"/>
                <w:color w:val="auto"/>
              </w:rPr>
            </w:pPr>
          </w:p>
        </w:tc>
        <w:tc>
          <w:tcPr>
            <w:tcW w:w="80" w:type="dxa"/>
            <w:vAlign w:val="bottom"/>
            <w:shd w:val="clear" w:color="auto" w:fill="455986"/>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210"/>
        </w:trPr>
        <w:tc>
          <w:tcPr>
            <w:tcW w:w="9560" w:type="dxa"/>
            <w:vAlign w:val="bottom"/>
            <w:gridSpan w:val="23"/>
          </w:tcPr>
          <w:p>
            <w:pPr>
              <w:spacing w:after="0"/>
              <w:rPr>
                <w:rFonts w:ascii="Arial" w:cs="Arial" w:eastAsia="Arial" w:hAnsi="Arial"/>
                <w:sz w:val="14"/>
                <w:szCs w:val="14"/>
                <w:b w:val="1"/>
                <w:bCs w:val="1"/>
                <w:color w:val="4395D4"/>
              </w:rPr>
            </w:pPr>
            <w:hyperlink w:anchor="page97">
              <w:r>
                <w:rPr>
                  <w:rFonts w:ascii="Arial" w:cs="Arial" w:eastAsia="Arial" w:hAnsi="Arial"/>
                  <w:sz w:val="14"/>
                  <w:szCs w:val="14"/>
                  <w:b w:val="1"/>
                  <w:bCs w:val="1"/>
                  <w:color w:val="4395D4"/>
                </w:rPr>
                <w:t xml:space="preserve">Appendix C </w:t>
              </w:r>
              <w:r>
                <w:rPr>
                  <w:rFonts w:ascii="Arial" w:cs="Arial" w:eastAsia="Arial" w:hAnsi="Arial"/>
                  <w:sz w:val="14"/>
                  <w:szCs w:val="14"/>
                  <w:b w:val="1"/>
                  <w:bCs w:val="1"/>
                  <w:color w:val="455986"/>
                </w:rPr>
                <w:t>Amendment to Essential Utilities, Inc.’s Bylaws</w:t>
              </w:r>
            </w:hyperlink>
          </w:p>
        </w:tc>
        <w:tc>
          <w:tcPr>
            <w:tcW w:w="560" w:type="dxa"/>
            <w:vAlign w:val="bottom"/>
          </w:tcPr>
          <w:p>
            <w:pPr>
              <w:jc w:val="right"/>
              <w:spacing w:after="0"/>
              <w:rPr>
                <w:sz w:val="20"/>
                <w:szCs w:val="20"/>
                <w:color w:val="auto"/>
              </w:rPr>
            </w:pPr>
            <w:r>
              <w:rPr>
                <w:rFonts w:ascii="Arial" w:cs="Arial" w:eastAsia="Arial" w:hAnsi="Arial"/>
                <w:sz w:val="14"/>
                <w:szCs w:val="14"/>
                <w:b w:val="1"/>
                <w:bCs w:val="1"/>
                <w:color w:val="455986"/>
              </w:rPr>
              <w:t>C-1</w:t>
            </w:r>
          </w:p>
        </w:tc>
      </w:tr>
      <w:tr>
        <w:trPr>
          <w:trHeight w:val="20"/>
        </w:trPr>
        <w:tc>
          <w:tcPr>
            <w:tcW w:w="100" w:type="dxa"/>
            <w:vAlign w:val="bottom"/>
            <w:shd w:val="clear" w:color="auto" w:fill="4395D4"/>
          </w:tcPr>
          <w:p>
            <w:pPr>
              <w:spacing w:after="0" w:line="20" w:lineRule="exact"/>
              <w:rPr>
                <w:sz w:val="1"/>
                <w:szCs w:val="1"/>
                <w:color w:val="auto"/>
              </w:rPr>
            </w:pPr>
          </w:p>
        </w:tc>
        <w:tc>
          <w:tcPr>
            <w:tcW w:w="700" w:type="dxa"/>
            <w:vAlign w:val="bottom"/>
            <w:tcBorders>
              <w:right w:val="single" w:sz="8" w:color="4395D4"/>
            </w:tcBorders>
            <w:shd w:val="clear" w:color="auto" w:fill="4395D4"/>
          </w:tcPr>
          <w:p>
            <w:pPr>
              <w:spacing w:after="0" w:line="20" w:lineRule="exact"/>
              <w:rPr>
                <w:sz w:val="1"/>
                <w:szCs w:val="1"/>
                <w:color w:val="auto"/>
              </w:rPr>
            </w:pPr>
          </w:p>
        </w:tc>
        <w:tc>
          <w:tcPr>
            <w:tcW w:w="80" w:type="dxa"/>
            <w:vAlign w:val="bottom"/>
            <w:shd w:val="clear" w:color="auto" w:fill="455986"/>
          </w:tcPr>
          <w:p>
            <w:pPr>
              <w:spacing w:after="0" w:line="20" w:lineRule="exact"/>
              <w:rPr>
                <w:sz w:val="1"/>
                <w:szCs w:val="1"/>
                <w:color w:val="auto"/>
              </w:rPr>
            </w:pPr>
          </w:p>
        </w:tc>
        <w:tc>
          <w:tcPr>
            <w:tcW w:w="160" w:type="dxa"/>
            <w:vAlign w:val="bottom"/>
            <w:shd w:val="clear" w:color="auto" w:fill="455986"/>
          </w:tcPr>
          <w:p>
            <w:pPr>
              <w:spacing w:after="0" w:line="20" w:lineRule="exact"/>
              <w:rPr>
                <w:sz w:val="1"/>
                <w:szCs w:val="1"/>
                <w:color w:val="auto"/>
              </w:rPr>
            </w:pPr>
          </w:p>
        </w:tc>
        <w:tc>
          <w:tcPr>
            <w:tcW w:w="400" w:type="dxa"/>
            <w:vAlign w:val="bottom"/>
            <w:shd w:val="clear" w:color="auto" w:fill="455986"/>
          </w:tcPr>
          <w:p>
            <w:pPr>
              <w:spacing w:after="0" w:line="20" w:lineRule="exact"/>
              <w:rPr>
                <w:sz w:val="1"/>
                <w:szCs w:val="1"/>
                <w:color w:val="auto"/>
              </w:rPr>
            </w:pPr>
          </w:p>
        </w:tc>
        <w:tc>
          <w:tcPr>
            <w:tcW w:w="20" w:type="dxa"/>
            <w:vAlign w:val="bottom"/>
            <w:shd w:val="clear" w:color="auto" w:fill="455986"/>
          </w:tcPr>
          <w:p>
            <w:pPr>
              <w:spacing w:after="0" w:line="20" w:lineRule="exact"/>
              <w:rPr>
                <w:sz w:val="1"/>
                <w:szCs w:val="1"/>
                <w:color w:val="auto"/>
              </w:rPr>
            </w:pPr>
          </w:p>
        </w:tc>
        <w:tc>
          <w:tcPr>
            <w:tcW w:w="20" w:type="dxa"/>
            <w:vAlign w:val="bottom"/>
            <w:shd w:val="clear" w:color="auto" w:fill="455986"/>
          </w:tcPr>
          <w:p>
            <w:pPr>
              <w:spacing w:after="0" w:line="20" w:lineRule="exact"/>
              <w:rPr>
                <w:sz w:val="1"/>
                <w:szCs w:val="1"/>
                <w:color w:val="auto"/>
              </w:rPr>
            </w:pPr>
          </w:p>
        </w:tc>
        <w:tc>
          <w:tcPr>
            <w:tcW w:w="20" w:type="dxa"/>
            <w:vAlign w:val="bottom"/>
            <w:shd w:val="clear" w:color="auto" w:fill="455986"/>
          </w:tcPr>
          <w:p>
            <w:pPr>
              <w:spacing w:after="0" w:line="20" w:lineRule="exact"/>
              <w:rPr>
                <w:sz w:val="1"/>
                <w:szCs w:val="1"/>
                <w:color w:val="auto"/>
              </w:rPr>
            </w:pPr>
          </w:p>
        </w:tc>
        <w:tc>
          <w:tcPr>
            <w:tcW w:w="60" w:type="dxa"/>
            <w:vAlign w:val="bottom"/>
            <w:shd w:val="clear" w:color="auto" w:fill="455986"/>
          </w:tcPr>
          <w:p>
            <w:pPr>
              <w:spacing w:after="0" w:line="20" w:lineRule="exact"/>
              <w:rPr>
                <w:sz w:val="1"/>
                <w:szCs w:val="1"/>
                <w:color w:val="auto"/>
              </w:rPr>
            </w:pPr>
          </w:p>
        </w:tc>
        <w:tc>
          <w:tcPr>
            <w:tcW w:w="240" w:type="dxa"/>
            <w:vAlign w:val="bottom"/>
            <w:shd w:val="clear" w:color="auto" w:fill="455986"/>
          </w:tcPr>
          <w:p>
            <w:pPr>
              <w:spacing w:after="0" w:line="20" w:lineRule="exact"/>
              <w:rPr>
                <w:sz w:val="1"/>
                <w:szCs w:val="1"/>
                <w:color w:val="auto"/>
              </w:rPr>
            </w:pPr>
          </w:p>
        </w:tc>
        <w:tc>
          <w:tcPr>
            <w:tcW w:w="100" w:type="dxa"/>
            <w:vAlign w:val="bottom"/>
            <w:shd w:val="clear" w:color="auto" w:fill="455986"/>
          </w:tcPr>
          <w:p>
            <w:pPr>
              <w:spacing w:after="0" w:line="20" w:lineRule="exact"/>
              <w:rPr>
                <w:sz w:val="1"/>
                <w:szCs w:val="1"/>
                <w:color w:val="auto"/>
              </w:rPr>
            </w:pPr>
          </w:p>
        </w:tc>
        <w:tc>
          <w:tcPr>
            <w:tcW w:w="160" w:type="dxa"/>
            <w:vAlign w:val="bottom"/>
            <w:shd w:val="clear" w:color="auto" w:fill="455986"/>
          </w:tcPr>
          <w:p>
            <w:pPr>
              <w:spacing w:after="0" w:line="20" w:lineRule="exact"/>
              <w:rPr>
                <w:sz w:val="1"/>
                <w:szCs w:val="1"/>
                <w:color w:val="auto"/>
              </w:rPr>
            </w:pPr>
          </w:p>
        </w:tc>
        <w:tc>
          <w:tcPr>
            <w:tcW w:w="160" w:type="dxa"/>
            <w:vAlign w:val="bottom"/>
            <w:shd w:val="clear" w:color="auto" w:fill="455986"/>
          </w:tcPr>
          <w:p>
            <w:pPr>
              <w:spacing w:after="0" w:line="20" w:lineRule="exact"/>
              <w:rPr>
                <w:sz w:val="1"/>
                <w:szCs w:val="1"/>
                <w:color w:val="auto"/>
              </w:rPr>
            </w:pPr>
          </w:p>
        </w:tc>
        <w:tc>
          <w:tcPr>
            <w:tcW w:w="1240" w:type="dxa"/>
            <w:vAlign w:val="bottom"/>
            <w:shd w:val="clear" w:color="auto" w:fill="455986"/>
          </w:tcPr>
          <w:p>
            <w:pPr>
              <w:spacing w:after="0" w:line="20" w:lineRule="exact"/>
              <w:rPr>
                <w:sz w:val="1"/>
                <w:szCs w:val="1"/>
                <w:color w:val="auto"/>
              </w:rPr>
            </w:pPr>
          </w:p>
        </w:tc>
        <w:tc>
          <w:tcPr>
            <w:tcW w:w="80" w:type="dxa"/>
            <w:vAlign w:val="bottom"/>
            <w:shd w:val="clear" w:color="auto" w:fill="455986"/>
          </w:tcPr>
          <w:p>
            <w:pPr>
              <w:spacing w:after="0" w:line="20" w:lineRule="exact"/>
              <w:rPr>
                <w:sz w:val="1"/>
                <w:szCs w:val="1"/>
                <w:color w:val="auto"/>
              </w:rPr>
            </w:pPr>
          </w:p>
        </w:tc>
        <w:tc>
          <w:tcPr>
            <w:tcW w:w="20" w:type="dxa"/>
            <w:vAlign w:val="bottom"/>
            <w:shd w:val="clear" w:color="auto" w:fill="455986"/>
          </w:tcPr>
          <w:p>
            <w:pPr>
              <w:spacing w:after="0" w:line="20" w:lineRule="exact"/>
              <w:rPr>
                <w:sz w:val="1"/>
                <w:szCs w:val="1"/>
                <w:color w:val="auto"/>
              </w:rPr>
            </w:pPr>
          </w:p>
        </w:tc>
        <w:tc>
          <w:tcPr>
            <w:tcW w:w="80" w:type="dxa"/>
            <w:vAlign w:val="bottom"/>
            <w:shd w:val="clear" w:color="auto" w:fill="455986"/>
          </w:tcPr>
          <w:p>
            <w:pPr>
              <w:spacing w:after="0" w:line="20" w:lineRule="exact"/>
              <w:rPr>
                <w:sz w:val="1"/>
                <w:szCs w:val="1"/>
                <w:color w:val="auto"/>
              </w:rPr>
            </w:pPr>
          </w:p>
        </w:tc>
        <w:tc>
          <w:tcPr>
            <w:tcW w:w="200" w:type="dxa"/>
            <w:vAlign w:val="bottom"/>
            <w:tcBorders>
              <w:right w:val="single" w:sz="8" w:color="455986"/>
            </w:tcBorders>
            <w:shd w:val="clear" w:color="auto" w:fill="455986"/>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bl>
    <w:p>
      <w:pPr>
        <w:spacing w:after="0" w:line="168" w:lineRule="exact"/>
        <w:rPr>
          <w:sz w:val="20"/>
          <w:szCs w:val="20"/>
          <w:color w:val="auto"/>
        </w:rPr>
      </w:pPr>
    </w:p>
    <w:p>
      <w:pPr>
        <w:spacing w:after="0"/>
        <w:rPr>
          <w:sz w:val="20"/>
          <w:szCs w:val="20"/>
          <w:color w:val="auto"/>
        </w:rPr>
      </w:pPr>
      <w:r>
        <w:rPr>
          <w:rFonts w:ascii="Arial" w:cs="Arial" w:eastAsia="Arial" w:hAnsi="Arial"/>
          <w:sz w:val="14"/>
          <w:szCs w:val="14"/>
          <w:b w:val="1"/>
          <w:bCs w:val="1"/>
          <w:color w:val="455986"/>
        </w:rPr>
        <w:t>Forward-Looking Information</w:t>
      </w:r>
    </w:p>
    <w:p>
      <w:pPr>
        <w:spacing w:after="0" w:line="12" w:lineRule="exact"/>
        <w:rPr>
          <w:sz w:val="20"/>
          <w:szCs w:val="20"/>
          <w:color w:val="auto"/>
        </w:rPr>
      </w:pPr>
    </w:p>
    <w:p>
      <w:pPr>
        <w:ind w:right="80"/>
        <w:spacing w:after="0" w:line="232" w:lineRule="auto"/>
        <w:rPr>
          <w:sz w:val="20"/>
          <w:szCs w:val="20"/>
          <w:color w:val="auto"/>
        </w:rPr>
      </w:pPr>
      <w:r>
        <w:rPr>
          <w:rFonts w:ascii="Arial" w:cs="Arial" w:eastAsia="Arial" w:hAnsi="Arial"/>
          <w:sz w:val="14"/>
          <w:szCs w:val="14"/>
          <w:color w:val="231F20"/>
        </w:rPr>
        <w:t>This document includes forward-looking statements within the meaning of Section 27A of the Securities Act of 1933, as amended (the Securities Act) and Section 21E of the Securities Exchange Act of 1934, as amended (the Exchange Act). Forward-looking statements are based on management’s beliefs and assumptions. Various factors may cause actual results to be materially different than the suggested outcomes within forward-looking statements. Accordingly, there is no assurance that such results will be realized. For details on the uncertainties that may cause the Company’s actual future results to be materially different than those expressed in our forward-looking statements, see our Annual Report on Form 10-K and Quarterly Reports on Form 10-Q filed with the Securities and Exchange Commission (SEC) and available on the SEC’s website at www.sec.gov. In light of these risks, uncertainties, and assumptions, the events described in the forward-looking statements might not occur or might occur to a different extent or at a different time than described. Forward-looking statements speak only as of the date they are made. Essential Utilities, Inc. expressly disclaims an obligation to publicly update or revise any forward-looking statements, whether as a result of new information, future events, or otherwise.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111125</wp:posOffset>
            </wp:positionV>
            <wp:extent cx="713994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9940" cy="8255"/>
                    </a:xfrm>
                    <a:prstGeom prst="rect">
                      <a:avLst/>
                    </a:prstGeom>
                    <a:noFill/>
                  </pic:spPr>
                </pic:pic>
              </a:graphicData>
            </a:graphic>
          </wp:anchor>
        </w:drawing>
      </w:r>
    </w:p>
    <w:p>
      <w:pPr>
        <w:spacing w:after="0" w:line="200" w:lineRule="exact"/>
        <w:rPr>
          <w:sz w:val="20"/>
          <w:szCs w:val="20"/>
          <w:color w:val="auto"/>
        </w:rPr>
      </w:pPr>
    </w:p>
    <w:p>
      <w:pPr>
        <w:jc w:val="right"/>
        <w:spacing w:after="0"/>
        <w:tabs>
          <w:tab w:leader="none" w:pos="60" w:val="left"/>
        </w:tabs>
        <w:rPr>
          <w:sz w:val="20"/>
          <w:szCs w:val="20"/>
          <w:color w:val="auto"/>
        </w:rPr>
      </w:pPr>
      <w:r>
        <w:rPr>
          <w:rFonts w:ascii="Arial" w:cs="Arial" w:eastAsia="Arial" w:hAnsi="Arial"/>
          <w:sz w:val="12"/>
          <w:szCs w:val="12"/>
          <w:color w:val="4395D4"/>
        </w:rPr>
        <w:t xml:space="preserve">ESSENTIAL UTILITIES, INC. </w:t>
      </w:r>
      <w:r>
        <w:rPr>
          <w:rFonts w:ascii="Arial" w:cs="Arial" w:eastAsia="Arial" w:hAnsi="Arial"/>
          <w:sz w:val="12"/>
          <w:szCs w:val="12"/>
          <w:color w:val="455986"/>
        </w:rPr>
        <w:t>2021 PROXY STATEMENT</w:t>
      </w:r>
      <w:r>
        <w:rPr>
          <w:sz w:val="20"/>
          <w:szCs w:val="20"/>
          <w:color w:val="auto"/>
        </w:rPr>
        <w:tab/>
      </w:r>
      <w:r>
        <w:rPr>
          <w:rFonts w:ascii="Arial" w:cs="Arial" w:eastAsia="Arial" w:hAnsi="Arial"/>
          <w:sz w:val="14"/>
          <w:szCs w:val="14"/>
          <w:color w:val="455986"/>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346710</wp:posOffset>
            </wp:positionV>
            <wp:extent cx="7139940" cy="2413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9940" cy="24130"/>
                    </a:xfrm>
                    <a:prstGeom prst="rect">
                      <a:avLst/>
                    </a:prstGeom>
                    <a:noFill/>
                  </pic:spPr>
                </pic:pic>
              </a:graphicData>
            </a:graphic>
          </wp:anchor>
        </w:drawing>
      </w:r>
    </w:p>
    <w:p>
      <w:pPr>
        <w:sectPr>
          <w:pgSz w:w="11900" w:h="16838" w:orient="portrait"/>
          <w:cols w:equalWidth="0" w:num="1">
            <w:col w:w="11240"/>
          </w:cols>
          <w:pgMar w:left="320" w:top="585" w:right="339" w:bottom="1440" w:gutter="0" w:footer="0" w:header="0"/>
        </w:sectPr>
      </w:pPr>
    </w:p>
    <w:bookmarkStart w:id="6" w:name="page7"/>
    <w:bookmarkEnd w:id="6"/>
    <w:p>
      <w:pPr>
        <w:spacing w:after="0"/>
        <w:rPr>
          <w:sz w:val="20"/>
          <w:szCs w:val="20"/>
          <w:color w:val="auto"/>
        </w:rPr>
      </w:pPr>
      <w:r>
        <w:rPr>
          <w:rFonts w:ascii="Arial" w:cs="Arial" w:eastAsia="Arial" w:hAnsi="Arial"/>
          <w:sz w:val="73"/>
          <w:szCs w:val="73"/>
          <w:b w:val="1"/>
          <w:bCs w:val="1"/>
          <w:color w:val="455986"/>
        </w:rPr>
        <w:t>Proxy Summary</w:t>
      </w:r>
    </w:p>
    <w:p>
      <w:pPr>
        <w:spacing w:after="0" w:line="339" w:lineRule="exact"/>
        <w:rPr>
          <w:sz w:val="20"/>
          <w:szCs w:val="20"/>
          <w:color w:val="auto"/>
        </w:rPr>
      </w:pPr>
    </w:p>
    <w:p>
      <w:pPr>
        <w:ind w:right="40"/>
        <w:spacing w:after="0" w:line="253" w:lineRule="auto"/>
        <w:rPr>
          <w:sz w:val="20"/>
          <w:szCs w:val="20"/>
          <w:color w:val="auto"/>
        </w:rPr>
      </w:pPr>
      <w:r>
        <w:rPr>
          <w:rFonts w:ascii="Arial" w:cs="Arial" w:eastAsia="Arial" w:hAnsi="Arial"/>
          <w:sz w:val="14"/>
          <w:szCs w:val="14"/>
          <w:color w:val="231F20"/>
        </w:rPr>
        <w:t>This summary highlights information contained elsewhere in this proxy statement. This summary does not contain all of the information that you should consider, and you should read the entire proxy statement before voting. For more complete information regarding the Company’s 2020 performance, please review the Company’s Annual Report on Form 10-K for the year ended December 31, 2020.</w:t>
      </w:r>
    </w:p>
    <w:p>
      <w:pPr>
        <w:spacing w:after="0" w:line="125" w:lineRule="exact"/>
        <w:rPr>
          <w:sz w:val="20"/>
          <w:szCs w:val="20"/>
          <w:color w:val="auto"/>
        </w:rPr>
      </w:pPr>
    </w:p>
    <w:p>
      <w:pPr>
        <w:spacing w:after="0"/>
        <w:rPr>
          <w:sz w:val="20"/>
          <w:szCs w:val="20"/>
          <w:color w:val="auto"/>
        </w:rPr>
      </w:pPr>
      <w:r>
        <w:rPr>
          <w:rFonts w:ascii="Arial" w:cs="Arial" w:eastAsia="Arial" w:hAnsi="Arial"/>
          <w:sz w:val="17"/>
          <w:szCs w:val="17"/>
          <w:b w:val="1"/>
          <w:bCs w:val="1"/>
          <w:color w:val="4395D4"/>
        </w:rPr>
        <w:t>Summary of Matters to be Voted upon at the Annual Meeting</w:t>
      </w:r>
    </w:p>
    <w:p>
      <w:pPr>
        <w:spacing w:after="0" w:line="89" w:lineRule="exact"/>
        <w:rPr>
          <w:sz w:val="20"/>
          <w:szCs w:val="20"/>
          <w:color w:val="auto"/>
        </w:rPr>
      </w:pPr>
    </w:p>
    <w:p>
      <w:pPr>
        <w:spacing w:after="0"/>
        <w:rPr>
          <w:sz w:val="20"/>
          <w:szCs w:val="20"/>
          <w:color w:val="auto"/>
        </w:rPr>
      </w:pPr>
      <w:r>
        <w:rPr>
          <w:rFonts w:ascii="Arial" w:cs="Arial" w:eastAsia="Arial" w:hAnsi="Arial"/>
          <w:sz w:val="14"/>
          <w:szCs w:val="14"/>
          <w:color w:val="231F20"/>
        </w:rPr>
        <w:t>The following table summarizes the items that shareholders are being asked to vote on at the 2021 Annual Meeting:</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2160" w:type="dxa"/>
            <w:vAlign w:val="bottom"/>
            <w:vMerge w:val="restart"/>
          </w:tcPr>
          <w:p>
            <w:pPr>
              <w:spacing w:after="0"/>
              <w:rPr>
                <w:sz w:val="20"/>
                <w:szCs w:val="20"/>
                <w:color w:val="auto"/>
              </w:rPr>
            </w:pPr>
            <w:r>
              <w:rPr>
                <w:rFonts w:ascii="Arial" w:cs="Arial" w:eastAsia="Arial" w:hAnsi="Arial"/>
                <w:sz w:val="12"/>
                <w:szCs w:val="12"/>
                <w:color w:val="455986"/>
              </w:rPr>
              <w:t>Proposal</w:t>
            </w:r>
          </w:p>
        </w:tc>
        <w:tc>
          <w:tcPr>
            <w:tcW w:w="6740" w:type="dxa"/>
            <w:vAlign w:val="bottom"/>
            <w:vMerge w:val="restart"/>
          </w:tcPr>
          <w:p>
            <w:pPr>
              <w:ind w:left="100"/>
              <w:spacing w:after="0"/>
              <w:rPr>
                <w:sz w:val="20"/>
                <w:szCs w:val="20"/>
                <w:color w:val="auto"/>
              </w:rPr>
            </w:pPr>
            <w:r>
              <w:rPr>
                <w:rFonts w:ascii="Arial" w:cs="Arial" w:eastAsia="Arial" w:hAnsi="Arial"/>
                <w:sz w:val="12"/>
                <w:szCs w:val="12"/>
                <w:color w:val="455986"/>
              </w:rPr>
              <w:t>Description</w:t>
            </w:r>
          </w:p>
        </w:tc>
        <w:tc>
          <w:tcPr>
            <w:tcW w:w="1120" w:type="dxa"/>
            <w:vAlign w:val="bottom"/>
          </w:tcPr>
          <w:p>
            <w:pPr>
              <w:ind w:left="100"/>
              <w:spacing w:after="0"/>
              <w:rPr>
                <w:sz w:val="20"/>
                <w:szCs w:val="20"/>
                <w:color w:val="auto"/>
              </w:rPr>
            </w:pPr>
            <w:r>
              <w:rPr>
                <w:rFonts w:ascii="Arial" w:cs="Arial" w:eastAsia="Arial" w:hAnsi="Arial"/>
                <w:sz w:val="12"/>
                <w:szCs w:val="12"/>
                <w:color w:val="455986"/>
              </w:rPr>
              <w:t>Vote</w:t>
            </w:r>
          </w:p>
        </w:tc>
        <w:tc>
          <w:tcPr>
            <w:tcW w:w="1220" w:type="dxa"/>
            <w:vAlign w:val="bottom"/>
          </w:tcPr>
          <w:p>
            <w:pPr>
              <w:ind w:left="100"/>
              <w:spacing w:after="0"/>
              <w:rPr>
                <w:sz w:val="20"/>
                <w:szCs w:val="20"/>
                <w:color w:val="auto"/>
              </w:rPr>
            </w:pPr>
            <w:r>
              <w:rPr>
                <w:rFonts w:ascii="Arial" w:cs="Arial" w:eastAsia="Arial" w:hAnsi="Arial"/>
                <w:sz w:val="12"/>
                <w:szCs w:val="12"/>
                <w:color w:val="455986"/>
              </w:rPr>
              <w:t>Page</w:t>
            </w:r>
          </w:p>
        </w:tc>
        <w:tc>
          <w:tcPr>
            <w:tcW w:w="0" w:type="dxa"/>
            <w:vAlign w:val="bottom"/>
          </w:tcPr>
          <w:p>
            <w:pPr>
              <w:spacing w:after="0"/>
              <w:rPr>
                <w:sz w:val="1"/>
                <w:szCs w:val="1"/>
                <w:color w:val="auto"/>
              </w:rPr>
            </w:pPr>
          </w:p>
        </w:tc>
      </w:tr>
      <w:tr>
        <w:trPr>
          <w:trHeight w:val="166"/>
        </w:trPr>
        <w:tc>
          <w:tcPr>
            <w:tcW w:w="2160" w:type="dxa"/>
            <w:vAlign w:val="bottom"/>
            <w:tcBorders>
              <w:bottom w:val="single" w:sz="8" w:color="4395D4"/>
            </w:tcBorders>
            <w:vMerge w:val="continue"/>
          </w:tcPr>
          <w:p>
            <w:pPr>
              <w:spacing w:after="0"/>
              <w:rPr>
                <w:sz w:val="14"/>
                <w:szCs w:val="14"/>
                <w:color w:val="auto"/>
              </w:rPr>
            </w:pPr>
          </w:p>
        </w:tc>
        <w:tc>
          <w:tcPr>
            <w:tcW w:w="6740" w:type="dxa"/>
            <w:vAlign w:val="bottom"/>
            <w:tcBorders>
              <w:bottom w:val="single" w:sz="8" w:color="4395D4"/>
            </w:tcBorders>
            <w:vMerge w:val="continue"/>
          </w:tcPr>
          <w:p>
            <w:pPr>
              <w:spacing w:after="0"/>
              <w:rPr>
                <w:sz w:val="14"/>
                <w:szCs w:val="14"/>
                <w:color w:val="auto"/>
              </w:rPr>
            </w:pPr>
          </w:p>
        </w:tc>
        <w:tc>
          <w:tcPr>
            <w:tcW w:w="1120" w:type="dxa"/>
            <w:vAlign w:val="bottom"/>
            <w:tcBorders>
              <w:bottom w:val="single" w:sz="8" w:color="4395D4"/>
            </w:tcBorders>
          </w:tcPr>
          <w:p>
            <w:pPr>
              <w:ind w:left="100"/>
              <w:spacing w:after="0"/>
              <w:rPr>
                <w:sz w:val="20"/>
                <w:szCs w:val="20"/>
                <w:color w:val="auto"/>
              </w:rPr>
            </w:pPr>
            <w:r>
              <w:rPr>
                <w:rFonts w:ascii="Arial" w:cs="Arial" w:eastAsia="Arial" w:hAnsi="Arial"/>
                <w:sz w:val="12"/>
                <w:szCs w:val="12"/>
                <w:color w:val="455986"/>
              </w:rPr>
              <w:t>Recommendation</w:t>
            </w:r>
          </w:p>
        </w:tc>
        <w:tc>
          <w:tcPr>
            <w:tcW w:w="1220" w:type="dxa"/>
            <w:vAlign w:val="bottom"/>
            <w:tcBorders>
              <w:bottom w:val="single" w:sz="8" w:color="4395D4"/>
            </w:tcBorders>
          </w:tcPr>
          <w:p>
            <w:pPr>
              <w:ind w:left="100"/>
              <w:spacing w:after="0"/>
              <w:rPr>
                <w:sz w:val="20"/>
                <w:szCs w:val="20"/>
                <w:color w:val="auto"/>
              </w:rPr>
            </w:pPr>
            <w:r>
              <w:rPr>
                <w:rFonts w:ascii="Arial" w:cs="Arial" w:eastAsia="Arial" w:hAnsi="Arial"/>
                <w:sz w:val="12"/>
                <w:szCs w:val="12"/>
                <w:color w:val="455986"/>
              </w:rPr>
              <w:t>Reference</w:t>
            </w:r>
          </w:p>
        </w:tc>
        <w:tc>
          <w:tcPr>
            <w:tcW w:w="0" w:type="dxa"/>
            <w:vAlign w:val="bottom"/>
          </w:tcPr>
          <w:p>
            <w:pPr>
              <w:spacing w:after="0"/>
              <w:rPr>
                <w:sz w:val="1"/>
                <w:szCs w:val="1"/>
                <w:color w:val="auto"/>
              </w:rPr>
            </w:pPr>
          </w:p>
        </w:tc>
      </w:tr>
      <w:tr>
        <w:trPr>
          <w:trHeight w:val="208"/>
        </w:trPr>
        <w:tc>
          <w:tcPr>
            <w:tcW w:w="2160" w:type="dxa"/>
            <w:vAlign w:val="bottom"/>
          </w:tcPr>
          <w:p>
            <w:pPr>
              <w:spacing w:after="0"/>
              <w:rPr>
                <w:sz w:val="20"/>
                <w:szCs w:val="20"/>
                <w:color w:val="auto"/>
              </w:rPr>
            </w:pPr>
            <w:r>
              <w:rPr>
                <w:rFonts w:ascii="Arial" w:cs="Arial" w:eastAsia="Arial" w:hAnsi="Arial"/>
                <w:sz w:val="14"/>
                <w:szCs w:val="14"/>
                <w:b w:val="1"/>
                <w:bCs w:val="1"/>
                <w:color w:val="455986"/>
              </w:rPr>
              <w:t>Proposal 1</w:t>
            </w:r>
          </w:p>
        </w:tc>
        <w:tc>
          <w:tcPr>
            <w:tcW w:w="6740" w:type="dxa"/>
            <w:vAlign w:val="bottom"/>
          </w:tcPr>
          <w:p>
            <w:pPr>
              <w:ind w:left="100"/>
              <w:spacing w:after="0"/>
              <w:rPr>
                <w:sz w:val="20"/>
                <w:szCs w:val="20"/>
                <w:color w:val="auto"/>
              </w:rPr>
            </w:pPr>
            <w:r>
              <w:rPr>
                <w:rFonts w:ascii="Arial" w:cs="Arial" w:eastAsia="Arial" w:hAnsi="Arial"/>
                <w:sz w:val="14"/>
                <w:szCs w:val="14"/>
                <w:color w:val="231F20"/>
              </w:rPr>
              <w:t>The Board of Directors of the Company (the Board of Directors or the Board) and the Corporate</w:t>
            </w:r>
          </w:p>
        </w:tc>
        <w:tc>
          <w:tcPr>
            <w:tcW w:w="1120" w:type="dxa"/>
            <w:vAlign w:val="bottom"/>
          </w:tcPr>
          <w:p>
            <w:pPr>
              <w:ind w:left="100"/>
              <w:spacing w:after="0"/>
              <w:rPr>
                <w:sz w:val="20"/>
                <w:szCs w:val="20"/>
                <w:color w:val="auto"/>
              </w:rPr>
            </w:pPr>
            <w:r>
              <w:rPr>
                <w:rFonts w:ascii="Arial" w:cs="Arial" w:eastAsia="Arial" w:hAnsi="Arial"/>
                <w:sz w:val="14"/>
                <w:szCs w:val="14"/>
                <w:color w:val="231F20"/>
              </w:rPr>
              <w:t>FOR each</w:t>
            </w:r>
          </w:p>
        </w:tc>
        <w:tc>
          <w:tcPr>
            <w:tcW w:w="1220" w:type="dxa"/>
            <w:vAlign w:val="bottom"/>
          </w:tcPr>
          <w:p>
            <w:pPr>
              <w:ind w:left="100"/>
              <w:spacing w:after="0"/>
              <w:rPr>
                <w:sz w:val="20"/>
                <w:szCs w:val="20"/>
                <w:color w:val="auto"/>
              </w:rPr>
            </w:pPr>
            <w:r>
              <w:rPr>
                <w:rFonts w:ascii="Arial" w:cs="Arial" w:eastAsia="Arial" w:hAnsi="Arial"/>
                <w:sz w:val="14"/>
                <w:szCs w:val="14"/>
                <w:color w:val="231F20"/>
              </w:rPr>
              <w:t>10</w:t>
            </w:r>
          </w:p>
        </w:tc>
        <w:tc>
          <w:tcPr>
            <w:tcW w:w="0" w:type="dxa"/>
            <w:vAlign w:val="bottom"/>
          </w:tcPr>
          <w:p>
            <w:pPr>
              <w:spacing w:after="0"/>
              <w:rPr>
                <w:sz w:val="1"/>
                <w:szCs w:val="1"/>
                <w:color w:val="auto"/>
              </w:rPr>
            </w:pPr>
          </w:p>
        </w:tc>
      </w:tr>
      <w:tr>
        <w:trPr>
          <w:trHeight w:val="153"/>
        </w:trPr>
        <w:tc>
          <w:tcPr>
            <w:tcW w:w="2160" w:type="dxa"/>
            <w:vAlign w:val="bottom"/>
          </w:tcPr>
          <w:p>
            <w:pPr>
              <w:spacing w:after="0" w:line="153" w:lineRule="exact"/>
              <w:rPr>
                <w:sz w:val="20"/>
                <w:szCs w:val="20"/>
                <w:color w:val="auto"/>
              </w:rPr>
            </w:pPr>
            <w:r>
              <w:rPr>
                <w:rFonts w:ascii="Arial" w:cs="Arial" w:eastAsia="Arial" w:hAnsi="Arial"/>
                <w:sz w:val="14"/>
                <w:szCs w:val="14"/>
                <w:color w:val="4395D4"/>
              </w:rPr>
              <w:t>Election of Directors</w:t>
            </w:r>
          </w:p>
        </w:tc>
        <w:tc>
          <w:tcPr>
            <w:tcW w:w="6740" w:type="dxa"/>
            <w:vAlign w:val="bottom"/>
          </w:tcPr>
          <w:p>
            <w:pPr>
              <w:ind w:left="100"/>
              <w:spacing w:after="0" w:line="153" w:lineRule="exact"/>
              <w:rPr>
                <w:sz w:val="20"/>
                <w:szCs w:val="20"/>
                <w:color w:val="auto"/>
              </w:rPr>
            </w:pPr>
            <w:r>
              <w:rPr>
                <w:rFonts w:ascii="Arial" w:cs="Arial" w:eastAsia="Arial" w:hAnsi="Arial"/>
                <w:sz w:val="14"/>
                <w:szCs w:val="14"/>
                <w:color w:val="231F20"/>
              </w:rPr>
              <w:t>Governance Committee believe that the eight director nominees possess the necessary qualifications,</w:t>
            </w:r>
          </w:p>
        </w:tc>
        <w:tc>
          <w:tcPr>
            <w:tcW w:w="1120" w:type="dxa"/>
            <w:vAlign w:val="bottom"/>
          </w:tcPr>
          <w:p>
            <w:pPr>
              <w:ind w:left="100"/>
              <w:spacing w:after="0" w:line="153" w:lineRule="exact"/>
              <w:rPr>
                <w:sz w:val="20"/>
                <w:szCs w:val="20"/>
                <w:color w:val="auto"/>
              </w:rPr>
            </w:pPr>
            <w:r>
              <w:rPr>
                <w:rFonts w:ascii="Arial" w:cs="Arial" w:eastAsia="Arial" w:hAnsi="Arial"/>
                <w:sz w:val="14"/>
                <w:szCs w:val="14"/>
                <w:color w:val="231F20"/>
              </w:rPr>
              <w:t>Director</w:t>
            </w:r>
          </w:p>
        </w:tc>
        <w:tc>
          <w:tcPr>
            <w:tcW w:w="1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2160" w:type="dxa"/>
            <w:vAlign w:val="bottom"/>
          </w:tcPr>
          <w:p>
            <w:pPr>
              <w:spacing w:after="0"/>
              <w:rPr>
                <w:sz w:val="13"/>
                <w:szCs w:val="13"/>
                <w:color w:val="auto"/>
              </w:rPr>
            </w:pPr>
          </w:p>
        </w:tc>
        <w:tc>
          <w:tcPr>
            <w:tcW w:w="6740" w:type="dxa"/>
            <w:vAlign w:val="bottom"/>
          </w:tcPr>
          <w:p>
            <w:pPr>
              <w:ind w:left="100"/>
              <w:spacing w:after="0" w:line="153" w:lineRule="exact"/>
              <w:rPr>
                <w:sz w:val="20"/>
                <w:szCs w:val="20"/>
                <w:color w:val="auto"/>
              </w:rPr>
            </w:pPr>
            <w:r>
              <w:rPr>
                <w:rFonts w:ascii="Arial" w:cs="Arial" w:eastAsia="Arial" w:hAnsi="Arial"/>
                <w:sz w:val="14"/>
                <w:szCs w:val="14"/>
                <w:color w:val="231F20"/>
              </w:rPr>
              <w:t>attributes, skills, and experience to provide advice and counsel to the Company’s management and</w:t>
            </w:r>
          </w:p>
        </w:tc>
        <w:tc>
          <w:tcPr>
            <w:tcW w:w="1120" w:type="dxa"/>
            <w:vAlign w:val="bottom"/>
          </w:tcPr>
          <w:p>
            <w:pPr>
              <w:ind w:left="100"/>
              <w:spacing w:after="0" w:line="153" w:lineRule="exact"/>
              <w:rPr>
                <w:sz w:val="20"/>
                <w:szCs w:val="20"/>
                <w:color w:val="auto"/>
              </w:rPr>
            </w:pPr>
            <w:r>
              <w:rPr>
                <w:rFonts w:ascii="Arial" w:cs="Arial" w:eastAsia="Arial" w:hAnsi="Arial"/>
                <w:sz w:val="14"/>
                <w:szCs w:val="14"/>
                <w:color w:val="231F20"/>
              </w:rPr>
              <w:t>Nominee</w:t>
            </w:r>
          </w:p>
        </w:tc>
        <w:tc>
          <w:tcPr>
            <w:tcW w:w="1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5"/>
        </w:trPr>
        <w:tc>
          <w:tcPr>
            <w:tcW w:w="2160" w:type="dxa"/>
            <w:vAlign w:val="bottom"/>
          </w:tcPr>
          <w:p>
            <w:pPr>
              <w:spacing w:after="0"/>
              <w:rPr>
                <w:sz w:val="16"/>
                <w:szCs w:val="16"/>
                <w:color w:val="auto"/>
              </w:rPr>
            </w:pPr>
          </w:p>
        </w:tc>
        <w:tc>
          <w:tcPr>
            <w:tcW w:w="6740" w:type="dxa"/>
            <w:vAlign w:val="bottom"/>
          </w:tcPr>
          <w:p>
            <w:pPr>
              <w:ind w:left="100"/>
              <w:spacing w:after="0"/>
              <w:rPr>
                <w:sz w:val="20"/>
                <w:szCs w:val="20"/>
                <w:color w:val="auto"/>
              </w:rPr>
            </w:pPr>
            <w:r>
              <w:rPr>
                <w:rFonts w:ascii="Arial" w:cs="Arial" w:eastAsia="Arial" w:hAnsi="Arial"/>
                <w:sz w:val="14"/>
                <w:szCs w:val="14"/>
                <w:color w:val="231F20"/>
              </w:rPr>
              <w:t>effectively oversee the business and the long-term interests of our shareholders.</w:t>
            </w:r>
          </w:p>
        </w:tc>
        <w:tc>
          <w:tcPr>
            <w:tcW w:w="11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6"/>
        </w:trPr>
        <w:tc>
          <w:tcPr>
            <w:tcW w:w="2160" w:type="dxa"/>
            <w:vAlign w:val="bottom"/>
            <w:tcBorders>
              <w:bottom w:val="single" w:sz="8" w:color="231F20"/>
            </w:tcBorders>
          </w:tcPr>
          <w:p>
            <w:pPr>
              <w:spacing w:after="0"/>
              <w:rPr>
                <w:sz w:val="4"/>
                <w:szCs w:val="4"/>
                <w:color w:val="auto"/>
              </w:rPr>
            </w:pPr>
          </w:p>
        </w:tc>
        <w:tc>
          <w:tcPr>
            <w:tcW w:w="6740" w:type="dxa"/>
            <w:vAlign w:val="bottom"/>
            <w:tcBorders>
              <w:bottom w:val="single" w:sz="8" w:color="231F20"/>
            </w:tcBorders>
          </w:tcPr>
          <w:p>
            <w:pPr>
              <w:spacing w:after="0"/>
              <w:rPr>
                <w:sz w:val="4"/>
                <w:szCs w:val="4"/>
                <w:color w:val="auto"/>
              </w:rPr>
            </w:pPr>
          </w:p>
        </w:tc>
        <w:tc>
          <w:tcPr>
            <w:tcW w:w="1120" w:type="dxa"/>
            <w:vAlign w:val="bottom"/>
            <w:tcBorders>
              <w:bottom w:val="single" w:sz="8" w:color="231F20"/>
            </w:tcBorders>
          </w:tcPr>
          <w:p>
            <w:pPr>
              <w:spacing w:after="0"/>
              <w:rPr>
                <w:sz w:val="4"/>
                <w:szCs w:val="4"/>
                <w:color w:val="auto"/>
              </w:rPr>
            </w:pPr>
          </w:p>
        </w:tc>
        <w:tc>
          <w:tcPr>
            <w:tcW w:w="1220" w:type="dxa"/>
            <w:vAlign w:val="bottom"/>
            <w:tcBorders>
              <w:bottom w:val="single" w:sz="8" w:color="231F20"/>
            </w:tcBorders>
          </w:tcPr>
          <w:p>
            <w:pPr>
              <w:spacing w:after="0"/>
              <w:rPr>
                <w:sz w:val="4"/>
                <w:szCs w:val="4"/>
                <w:color w:val="auto"/>
              </w:rPr>
            </w:pPr>
          </w:p>
        </w:tc>
        <w:tc>
          <w:tcPr>
            <w:tcW w:w="0" w:type="dxa"/>
            <w:vAlign w:val="bottom"/>
          </w:tcPr>
          <w:p>
            <w:pPr>
              <w:spacing w:after="0"/>
              <w:rPr>
                <w:sz w:val="1"/>
                <w:szCs w:val="1"/>
                <w:color w:val="auto"/>
              </w:rPr>
            </w:pPr>
          </w:p>
        </w:tc>
      </w:tr>
      <w:tr>
        <w:trPr>
          <w:trHeight w:val="201"/>
        </w:trPr>
        <w:tc>
          <w:tcPr>
            <w:tcW w:w="2160" w:type="dxa"/>
            <w:vAlign w:val="bottom"/>
          </w:tcPr>
          <w:p>
            <w:pPr>
              <w:spacing w:after="0"/>
              <w:rPr>
                <w:sz w:val="20"/>
                <w:szCs w:val="20"/>
                <w:color w:val="auto"/>
              </w:rPr>
            </w:pPr>
            <w:r>
              <w:rPr>
                <w:rFonts w:ascii="Arial" w:cs="Arial" w:eastAsia="Arial" w:hAnsi="Arial"/>
                <w:sz w:val="14"/>
                <w:szCs w:val="14"/>
                <w:b w:val="1"/>
                <w:bCs w:val="1"/>
                <w:color w:val="455986"/>
              </w:rPr>
              <w:t>Proposal 2</w:t>
            </w:r>
          </w:p>
        </w:tc>
        <w:tc>
          <w:tcPr>
            <w:tcW w:w="6740" w:type="dxa"/>
            <w:vAlign w:val="bottom"/>
          </w:tcPr>
          <w:p>
            <w:pPr>
              <w:ind w:left="100"/>
              <w:spacing w:after="0"/>
              <w:rPr>
                <w:sz w:val="20"/>
                <w:szCs w:val="20"/>
                <w:color w:val="auto"/>
              </w:rPr>
            </w:pPr>
            <w:r>
              <w:rPr>
                <w:rFonts w:ascii="Arial" w:cs="Arial" w:eastAsia="Arial" w:hAnsi="Arial"/>
                <w:sz w:val="14"/>
                <w:szCs w:val="14"/>
                <w:color w:val="231F20"/>
              </w:rPr>
              <w:t>The Board believes the retention of PricewaterhouseCoopers LLP as the Company’s independent</w:t>
            </w:r>
          </w:p>
        </w:tc>
        <w:tc>
          <w:tcPr>
            <w:tcW w:w="1120" w:type="dxa"/>
            <w:vAlign w:val="bottom"/>
          </w:tcPr>
          <w:p>
            <w:pPr>
              <w:ind w:left="100"/>
              <w:spacing w:after="0"/>
              <w:rPr>
                <w:sz w:val="20"/>
                <w:szCs w:val="20"/>
                <w:color w:val="auto"/>
              </w:rPr>
            </w:pPr>
            <w:r>
              <w:rPr>
                <w:rFonts w:ascii="Arial" w:cs="Arial" w:eastAsia="Arial" w:hAnsi="Arial"/>
                <w:sz w:val="14"/>
                <w:szCs w:val="14"/>
                <w:color w:val="231F20"/>
              </w:rPr>
              <w:t>FOR</w:t>
            </w:r>
          </w:p>
        </w:tc>
        <w:tc>
          <w:tcPr>
            <w:tcW w:w="1220" w:type="dxa"/>
            <w:vAlign w:val="bottom"/>
          </w:tcPr>
          <w:p>
            <w:pPr>
              <w:ind w:left="100"/>
              <w:spacing w:after="0"/>
              <w:rPr>
                <w:sz w:val="20"/>
                <w:szCs w:val="20"/>
                <w:color w:val="auto"/>
              </w:rPr>
            </w:pPr>
            <w:r>
              <w:rPr>
                <w:rFonts w:ascii="Arial" w:cs="Arial" w:eastAsia="Arial" w:hAnsi="Arial"/>
                <w:sz w:val="14"/>
                <w:szCs w:val="14"/>
                <w:color w:val="231F20"/>
              </w:rPr>
              <w:t>38</w:t>
            </w:r>
          </w:p>
        </w:tc>
        <w:tc>
          <w:tcPr>
            <w:tcW w:w="0" w:type="dxa"/>
            <w:vAlign w:val="bottom"/>
          </w:tcPr>
          <w:p>
            <w:pPr>
              <w:spacing w:after="0"/>
              <w:rPr>
                <w:sz w:val="1"/>
                <w:szCs w:val="1"/>
                <w:color w:val="auto"/>
              </w:rPr>
            </w:pPr>
          </w:p>
        </w:tc>
      </w:tr>
      <w:tr>
        <w:trPr>
          <w:trHeight w:val="153"/>
        </w:trPr>
        <w:tc>
          <w:tcPr>
            <w:tcW w:w="2160" w:type="dxa"/>
            <w:vAlign w:val="bottom"/>
          </w:tcPr>
          <w:p>
            <w:pPr>
              <w:spacing w:after="0" w:line="153" w:lineRule="exact"/>
              <w:rPr>
                <w:sz w:val="20"/>
                <w:szCs w:val="20"/>
                <w:color w:val="auto"/>
              </w:rPr>
            </w:pPr>
            <w:r>
              <w:rPr>
                <w:rFonts w:ascii="Arial" w:cs="Arial" w:eastAsia="Arial" w:hAnsi="Arial"/>
                <w:sz w:val="14"/>
                <w:szCs w:val="14"/>
                <w:color w:val="4395D4"/>
              </w:rPr>
              <w:t>Ratification of Independent</w:t>
            </w:r>
          </w:p>
        </w:tc>
        <w:tc>
          <w:tcPr>
            <w:tcW w:w="6740" w:type="dxa"/>
            <w:vAlign w:val="bottom"/>
          </w:tcPr>
          <w:p>
            <w:pPr>
              <w:ind w:left="100"/>
              <w:spacing w:after="0" w:line="153" w:lineRule="exact"/>
              <w:rPr>
                <w:sz w:val="20"/>
                <w:szCs w:val="20"/>
                <w:color w:val="auto"/>
              </w:rPr>
            </w:pPr>
            <w:r>
              <w:rPr>
                <w:rFonts w:ascii="Arial" w:cs="Arial" w:eastAsia="Arial" w:hAnsi="Arial"/>
                <w:sz w:val="14"/>
                <w:szCs w:val="14"/>
                <w:color w:val="231F20"/>
              </w:rPr>
              <w:t>registered public accounting firm for the 2021 fiscal year is in the best interests of the Company and its</w:t>
            </w:r>
          </w:p>
        </w:tc>
        <w:tc>
          <w:tcPr>
            <w:tcW w:w="112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2160" w:type="dxa"/>
            <w:vAlign w:val="bottom"/>
          </w:tcPr>
          <w:p>
            <w:pPr>
              <w:spacing w:after="0" w:line="153" w:lineRule="exact"/>
              <w:rPr>
                <w:sz w:val="20"/>
                <w:szCs w:val="20"/>
                <w:color w:val="auto"/>
              </w:rPr>
            </w:pPr>
            <w:r>
              <w:rPr>
                <w:rFonts w:ascii="Arial" w:cs="Arial" w:eastAsia="Arial" w:hAnsi="Arial"/>
                <w:sz w:val="14"/>
                <w:szCs w:val="14"/>
                <w:color w:val="4395D4"/>
              </w:rPr>
              <w:t>Accounting Firm</w:t>
            </w:r>
          </w:p>
        </w:tc>
        <w:tc>
          <w:tcPr>
            <w:tcW w:w="6740" w:type="dxa"/>
            <w:vAlign w:val="bottom"/>
          </w:tcPr>
          <w:p>
            <w:pPr>
              <w:ind w:left="100"/>
              <w:spacing w:after="0" w:line="153" w:lineRule="exact"/>
              <w:rPr>
                <w:sz w:val="20"/>
                <w:szCs w:val="20"/>
                <w:color w:val="auto"/>
              </w:rPr>
            </w:pPr>
            <w:r>
              <w:rPr>
                <w:rFonts w:ascii="Arial" w:cs="Arial" w:eastAsia="Arial" w:hAnsi="Arial"/>
                <w:sz w:val="14"/>
                <w:szCs w:val="14"/>
                <w:color w:val="231F20"/>
              </w:rPr>
              <w:t>shareholders. As a matter of good corporate governance, shareholders are being asked to ratify the</w:t>
            </w:r>
          </w:p>
        </w:tc>
        <w:tc>
          <w:tcPr>
            <w:tcW w:w="112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5"/>
        </w:trPr>
        <w:tc>
          <w:tcPr>
            <w:tcW w:w="2160" w:type="dxa"/>
            <w:vAlign w:val="bottom"/>
          </w:tcPr>
          <w:p>
            <w:pPr>
              <w:spacing w:after="0"/>
              <w:rPr>
                <w:sz w:val="16"/>
                <w:szCs w:val="16"/>
                <w:color w:val="auto"/>
              </w:rPr>
            </w:pPr>
          </w:p>
        </w:tc>
        <w:tc>
          <w:tcPr>
            <w:tcW w:w="6740" w:type="dxa"/>
            <w:vAlign w:val="bottom"/>
          </w:tcPr>
          <w:p>
            <w:pPr>
              <w:ind w:left="100"/>
              <w:spacing w:after="0"/>
              <w:rPr>
                <w:sz w:val="20"/>
                <w:szCs w:val="20"/>
                <w:color w:val="auto"/>
              </w:rPr>
            </w:pPr>
            <w:r>
              <w:rPr>
                <w:rFonts w:ascii="Arial" w:cs="Arial" w:eastAsia="Arial" w:hAnsi="Arial"/>
                <w:sz w:val="14"/>
                <w:szCs w:val="14"/>
                <w:color w:val="231F20"/>
              </w:rPr>
              <w:t>Audit Committee’s selection of PricewaterhouseCoopers LLP.</w:t>
            </w:r>
          </w:p>
        </w:tc>
        <w:tc>
          <w:tcPr>
            <w:tcW w:w="11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6"/>
        </w:trPr>
        <w:tc>
          <w:tcPr>
            <w:tcW w:w="2160" w:type="dxa"/>
            <w:vAlign w:val="bottom"/>
            <w:tcBorders>
              <w:bottom w:val="single" w:sz="8" w:color="231F20"/>
            </w:tcBorders>
          </w:tcPr>
          <w:p>
            <w:pPr>
              <w:spacing w:after="0"/>
              <w:rPr>
                <w:sz w:val="4"/>
                <w:szCs w:val="4"/>
                <w:color w:val="auto"/>
              </w:rPr>
            </w:pPr>
          </w:p>
        </w:tc>
        <w:tc>
          <w:tcPr>
            <w:tcW w:w="6740" w:type="dxa"/>
            <w:vAlign w:val="bottom"/>
            <w:tcBorders>
              <w:bottom w:val="single" w:sz="8" w:color="231F20"/>
            </w:tcBorders>
          </w:tcPr>
          <w:p>
            <w:pPr>
              <w:spacing w:after="0"/>
              <w:rPr>
                <w:sz w:val="4"/>
                <w:szCs w:val="4"/>
                <w:color w:val="auto"/>
              </w:rPr>
            </w:pPr>
          </w:p>
        </w:tc>
        <w:tc>
          <w:tcPr>
            <w:tcW w:w="1120" w:type="dxa"/>
            <w:vAlign w:val="bottom"/>
            <w:tcBorders>
              <w:bottom w:val="single" w:sz="8" w:color="231F20"/>
            </w:tcBorders>
          </w:tcPr>
          <w:p>
            <w:pPr>
              <w:spacing w:after="0"/>
              <w:rPr>
                <w:sz w:val="4"/>
                <w:szCs w:val="4"/>
                <w:color w:val="auto"/>
              </w:rPr>
            </w:pPr>
          </w:p>
        </w:tc>
        <w:tc>
          <w:tcPr>
            <w:tcW w:w="1220" w:type="dxa"/>
            <w:vAlign w:val="bottom"/>
            <w:tcBorders>
              <w:bottom w:val="single" w:sz="8" w:color="231F20"/>
            </w:tcBorders>
          </w:tcPr>
          <w:p>
            <w:pPr>
              <w:spacing w:after="0"/>
              <w:rPr>
                <w:sz w:val="4"/>
                <w:szCs w:val="4"/>
                <w:color w:val="auto"/>
              </w:rPr>
            </w:pPr>
          </w:p>
        </w:tc>
        <w:tc>
          <w:tcPr>
            <w:tcW w:w="0" w:type="dxa"/>
            <w:vAlign w:val="bottom"/>
          </w:tcPr>
          <w:p>
            <w:pPr>
              <w:spacing w:after="0"/>
              <w:rPr>
                <w:sz w:val="1"/>
                <w:szCs w:val="1"/>
                <w:color w:val="auto"/>
              </w:rPr>
            </w:pPr>
          </w:p>
        </w:tc>
      </w:tr>
      <w:tr>
        <w:trPr>
          <w:trHeight w:val="201"/>
        </w:trPr>
        <w:tc>
          <w:tcPr>
            <w:tcW w:w="2160" w:type="dxa"/>
            <w:vAlign w:val="bottom"/>
          </w:tcPr>
          <w:p>
            <w:pPr>
              <w:spacing w:after="0"/>
              <w:rPr>
                <w:sz w:val="20"/>
                <w:szCs w:val="20"/>
                <w:color w:val="auto"/>
              </w:rPr>
            </w:pPr>
            <w:r>
              <w:rPr>
                <w:rFonts w:ascii="Arial" w:cs="Arial" w:eastAsia="Arial" w:hAnsi="Arial"/>
                <w:sz w:val="14"/>
                <w:szCs w:val="14"/>
                <w:b w:val="1"/>
                <w:bCs w:val="1"/>
                <w:color w:val="455986"/>
              </w:rPr>
              <w:t>Proposal 3</w:t>
            </w:r>
          </w:p>
        </w:tc>
        <w:tc>
          <w:tcPr>
            <w:tcW w:w="6740" w:type="dxa"/>
            <w:vAlign w:val="bottom"/>
          </w:tcPr>
          <w:p>
            <w:pPr>
              <w:ind w:left="100"/>
              <w:spacing w:after="0"/>
              <w:rPr>
                <w:sz w:val="20"/>
                <w:szCs w:val="20"/>
                <w:color w:val="auto"/>
              </w:rPr>
            </w:pPr>
            <w:r>
              <w:rPr>
                <w:rFonts w:ascii="Arial" w:cs="Arial" w:eastAsia="Arial" w:hAnsi="Arial"/>
                <w:sz w:val="14"/>
                <w:szCs w:val="14"/>
                <w:color w:val="231F20"/>
              </w:rPr>
              <w:t>The Company seeks a non-binding advisory vote to approve the compensation of its named executive</w:t>
            </w:r>
          </w:p>
        </w:tc>
        <w:tc>
          <w:tcPr>
            <w:tcW w:w="1120" w:type="dxa"/>
            <w:vAlign w:val="bottom"/>
          </w:tcPr>
          <w:p>
            <w:pPr>
              <w:ind w:left="100"/>
              <w:spacing w:after="0"/>
              <w:rPr>
                <w:sz w:val="20"/>
                <w:szCs w:val="20"/>
                <w:color w:val="auto"/>
              </w:rPr>
            </w:pPr>
            <w:r>
              <w:rPr>
                <w:rFonts w:ascii="Arial" w:cs="Arial" w:eastAsia="Arial" w:hAnsi="Arial"/>
                <w:sz w:val="14"/>
                <w:szCs w:val="14"/>
                <w:color w:val="231F20"/>
              </w:rPr>
              <w:t>FOR</w:t>
            </w:r>
          </w:p>
        </w:tc>
        <w:tc>
          <w:tcPr>
            <w:tcW w:w="1220" w:type="dxa"/>
            <w:vAlign w:val="bottom"/>
          </w:tcPr>
          <w:p>
            <w:pPr>
              <w:ind w:left="100"/>
              <w:spacing w:after="0"/>
              <w:rPr>
                <w:sz w:val="20"/>
                <w:szCs w:val="20"/>
                <w:color w:val="auto"/>
              </w:rPr>
            </w:pPr>
            <w:r>
              <w:rPr>
                <w:rFonts w:ascii="Arial" w:cs="Arial" w:eastAsia="Arial" w:hAnsi="Arial"/>
                <w:sz w:val="14"/>
                <w:szCs w:val="14"/>
                <w:color w:val="231F20"/>
              </w:rPr>
              <w:t>40</w:t>
            </w:r>
          </w:p>
        </w:tc>
        <w:tc>
          <w:tcPr>
            <w:tcW w:w="0" w:type="dxa"/>
            <w:vAlign w:val="bottom"/>
          </w:tcPr>
          <w:p>
            <w:pPr>
              <w:spacing w:after="0"/>
              <w:rPr>
                <w:sz w:val="1"/>
                <w:szCs w:val="1"/>
                <w:color w:val="auto"/>
              </w:rPr>
            </w:pPr>
          </w:p>
        </w:tc>
      </w:tr>
      <w:tr>
        <w:trPr>
          <w:trHeight w:val="153"/>
        </w:trPr>
        <w:tc>
          <w:tcPr>
            <w:tcW w:w="2160" w:type="dxa"/>
            <w:vAlign w:val="bottom"/>
          </w:tcPr>
          <w:p>
            <w:pPr>
              <w:spacing w:after="0" w:line="153" w:lineRule="exact"/>
              <w:rPr>
                <w:sz w:val="20"/>
                <w:szCs w:val="20"/>
                <w:color w:val="auto"/>
              </w:rPr>
            </w:pPr>
            <w:r>
              <w:rPr>
                <w:rFonts w:ascii="Arial" w:cs="Arial" w:eastAsia="Arial" w:hAnsi="Arial"/>
                <w:sz w:val="14"/>
                <w:szCs w:val="14"/>
                <w:color w:val="4395D4"/>
              </w:rPr>
              <w:t>Advisory Vote to Approve</w:t>
            </w:r>
          </w:p>
        </w:tc>
        <w:tc>
          <w:tcPr>
            <w:tcW w:w="6740" w:type="dxa"/>
            <w:vAlign w:val="bottom"/>
          </w:tcPr>
          <w:p>
            <w:pPr>
              <w:ind w:left="100"/>
              <w:spacing w:after="0" w:line="153" w:lineRule="exact"/>
              <w:rPr>
                <w:sz w:val="20"/>
                <w:szCs w:val="20"/>
                <w:color w:val="auto"/>
              </w:rPr>
            </w:pPr>
            <w:r>
              <w:rPr>
                <w:rFonts w:ascii="Arial" w:cs="Arial" w:eastAsia="Arial" w:hAnsi="Arial"/>
                <w:sz w:val="14"/>
                <w:szCs w:val="14"/>
                <w:color w:val="231F20"/>
              </w:rPr>
              <w:t>officers for 2020 as described in the Compensation Discussion and Analysis (CD&amp;A) and the</w:t>
            </w:r>
          </w:p>
        </w:tc>
        <w:tc>
          <w:tcPr>
            <w:tcW w:w="112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2160" w:type="dxa"/>
            <w:vAlign w:val="bottom"/>
          </w:tcPr>
          <w:p>
            <w:pPr>
              <w:spacing w:after="0" w:line="153" w:lineRule="exact"/>
              <w:rPr>
                <w:sz w:val="20"/>
                <w:szCs w:val="20"/>
                <w:color w:val="auto"/>
              </w:rPr>
            </w:pPr>
            <w:r>
              <w:rPr>
                <w:rFonts w:ascii="Arial" w:cs="Arial" w:eastAsia="Arial" w:hAnsi="Arial"/>
                <w:sz w:val="14"/>
                <w:szCs w:val="14"/>
                <w:color w:val="4395D4"/>
              </w:rPr>
              <w:t>Named Executive Officers’</w:t>
            </w:r>
          </w:p>
        </w:tc>
        <w:tc>
          <w:tcPr>
            <w:tcW w:w="6740" w:type="dxa"/>
            <w:vAlign w:val="bottom"/>
          </w:tcPr>
          <w:p>
            <w:pPr>
              <w:ind w:left="100"/>
              <w:spacing w:after="0" w:line="153" w:lineRule="exact"/>
              <w:rPr>
                <w:sz w:val="20"/>
                <w:szCs w:val="20"/>
                <w:color w:val="auto"/>
              </w:rPr>
            </w:pPr>
            <w:r>
              <w:rPr>
                <w:rFonts w:ascii="Arial" w:cs="Arial" w:eastAsia="Arial" w:hAnsi="Arial"/>
                <w:sz w:val="14"/>
                <w:szCs w:val="14"/>
                <w:color w:val="231F20"/>
              </w:rPr>
              <w:t>compensation tables and narrative discussion. The Board values shareholders’ opinions, and the</w:t>
            </w:r>
          </w:p>
        </w:tc>
        <w:tc>
          <w:tcPr>
            <w:tcW w:w="112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2160" w:type="dxa"/>
            <w:vAlign w:val="bottom"/>
          </w:tcPr>
          <w:p>
            <w:pPr>
              <w:spacing w:after="0" w:line="153" w:lineRule="exact"/>
              <w:rPr>
                <w:sz w:val="20"/>
                <w:szCs w:val="20"/>
                <w:color w:val="auto"/>
              </w:rPr>
            </w:pPr>
            <w:r>
              <w:rPr>
                <w:rFonts w:ascii="Arial" w:cs="Arial" w:eastAsia="Arial" w:hAnsi="Arial"/>
                <w:sz w:val="14"/>
                <w:szCs w:val="14"/>
                <w:color w:val="4395D4"/>
              </w:rPr>
              <w:t>Compensation</w:t>
            </w:r>
          </w:p>
        </w:tc>
        <w:tc>
          <w:tcPr>
            <w:tcW w:w="6740" w:type="dxa"/>
            <w:vAlign w:val="bottom"/>
          </w:tcPr>
          <w:p>
            <w:pPr>
              <w:ind w:left="100"/>
              <w:spacing w:after="0" w:line="153" w:lineRule="exact"/>
              <w:rPr>
                <w:sz w:val="20"/>
                <w:szCs w:val="20"/>
                <w:color w:val="auto"/>
              </w:rPr>
            </w:pPr>
            <w:r>
              <w:rPr>
                <w:rFonts w:ascii="Arial" w:cs="Arial" w:eastAsia="Arial" w:hAnsi="Arial"/>
                <w:sz w:val="14"/>
                <w:szCs w:val="14"/>
                <w:color w:val="231F20"/>
              </w:rPr>
              <w:t>Compensation Committee will take into account the outcome of the advisory vote when considering</w:t>
            </w:r>
          </w:p>
        </w:tc>
        <w:tc>
          <w:tcPr>
            <w:tcW w:w="112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5"/>
        </w:trPr>
        <w:tc>
          <w:tcPr>
            <w:tcW w:w="2160" w:type="dxa"/>
            <w:vAlign w:val="bottom"/>
          </w:tcPr>
          <w:p>
            <w:pPr>
              <w:spacing w:after="0"/>
              <w:rPr>
                <w:sz w:val="16"/>
                <w:szCs w:val="16"/>
                <w:color w:val="auto"/>
              </w:rPr>
            </w:pPr>
          </w:p>
        </w:tc>
        <w:tc>
          <w:tcPr>
            <w:tcW w:w="6740" w:type="dxa"/>
            <w:vAlign w:val="bottom"/>
          </w:tcPr>
          <w:p>
            <w:pPr>
              <w:ind w:left="100"/>
              <w:spacing w:after="0"/>
              <w:rPr>
                <w:sz w:val="20"/>
                <w:szCs w:val="20"/>
                <w:color w:val="auto"/>
              </w:rPr>
            </w:pPr>
            <w:r>
              <w:rPr>
                <w:rFonts w:ascii="Arial" w:cs="Arial" w:eastAsia="Arial" w:hAnsi="Arial"/>
                <w:sz w:val="14"/>
                <w:szCs w:val="14"/>
                <w:color w:val="231F20"/>
              </w:rPr>
              <w:t>future executive compensation decisions.</w:t>
            </w:r>
          </w:p>
        </w:tc>
        <w:tc>
          <w:tcPr>
            <w:tcW w:w="11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6"/>
        </w:trPr>
        <w:tc>
          <w:tcPr>
            <w:tcW w:w="2160" w:type="dxa"/>
            <w:vAlign w:val="bottom"/>
            <w:tcBorders>
              <w:bottom w:val="single" w:sz="8" w:color="231F20"/>
            </w:tcBorders>
          </w:tcPr>
          <w:p>
            <w:pPr>
              <w:spacing w:after="0"/>
              <w:rPr>
                <w:sz w:val="4"/>
                <w:szCs w:val="4"/>
                <w:color w:val="auto"/>
              </w:rPr>
            </w:pPr>
          </w:p>
        </w:tc>
        <w:tc>
          <w:tcPr>
            <w:tcW w:w="6740" w:type="dxa"/>
            <w:vAlign w:val="bottom"/>
            <w:tcBorders>
              <w:bottom w:val="single" w:sz="8" w:color="231F20"/>
            </w:tcBorders>
          </w:tcPr>
          <w:p>
            <w:pPr>
              <w:spacing w:after="0"/>
              <w:rPr>
                <w:sz w:val="4"/>
                <w:szCs w:val="4"/>
                <w:color w:val="auto"/>
              </w:rPr>
            </w:pPr>
          </w:p>
        </w:tc>
        <w:tc>
          <w:tcPr>
            <w:tcW w:w="1120" w:type="dxa"/>
            <w:vAlign w:val="bottom"/>
            <w:tcBorders>
              <w:bottom w:val="single" w:sz="8" w:color="231F20"/>
            </w:tcBorders>
          </w:tcPr>
          <w:p>
            <w:pPr>
              <w:spacing w:after="0"/>
              <w:rPr>
                <w:sz w:val="4"/>
                <w:szCs w:val="4"/>
                <w:color w:val="auto"/>
              </w:rPr>
            </w:pPr>
          </w:p>
        </w:tc>
        <w:tc>
          <w:tcPr>
            <w:tcW w:w="1220" w:type="dxa"/>
            <w:vAlign w:val="bottom"/>
            <w:tcBorders>
              <w:bottom w:val="single" w:sz="8" w:color="231F20"/>
            </w:tcBorders>
          </w:tcPr>
          <w:p>
            <w:pPr>
              <w:spacing w:after="0"/>
              <w:rPr>
                <w:sz w:val="4"/>
                <w:szCs w:val="4"/>
                <w:color w:val="auto"/>
              </w:rPr>
            </w:pPr>
          </w:p>
        </w:tc>
        <w:tc>
          <w:tcPr>
            <w:tcW w:w="0" w:type="dxa"/>
            <w:vAlign w:val="bottom"/>
          </w:tcPr>
          <w:p>
            <w:pPr>
              <w:spacing w:after="0"/>
              <w:rPr>
                <w:sz w:val="1"/>
                <w:szCs w:val="1"/>
                <w:color w:val="auto"/>
              </w:rPr>
            </w:pPr>
          </w:p>
        </w:tc>
      </w:tr>
      <w:tr>
        <w:trPr>
          <w:trHeight w:val="201"/>
        </w:trPr>
        <w:tc>
          <w:tcPr>
            <w:tcW w:w="2160" w:type="dxa"/>
            <w:vAlign w:val="bottom"/>
          </w:tcPr>
          <w:p>
            <w:pPr>
              <w:spacing w:after="0"/>
              <w:rPr>
                <w:sz w:val="20"/>
                <w:szCs w:val="20"/>
                <w:color w:val="auto"/>
              </w:rPr>
            </w:pPr>
            <w:r>
              <w:rPr>
                <w:rFonts w:ascii="Arial" w:cs="Arial" w:eastAsia="Arial" w:hAnsi="Arial"/>
                <w:sz w:val="14"/>
                <w:szCs w:val="14"/>
                <w:b w:val="1"/>
                <w:bCs w:val="1"/>
                <w:color w:val="455986"/>
              </w:rPr>
              <w:t>Proposal 4</w:t>
            </w:r>
          </w:p>
        </w:tc>
        <w:tc>
          <w:tcPr>
            <w:tcW w:w="6740" w:type="dxa"/>
            <w:vAlign w:val="bottom"/>
          </w:tcPr>
          <w:p>
            <w:pPr>
              <w:ind w:left="100"/>
              <w:spacing w:after="0"/>
              <w:rPr>
                <w:sz w:val="20"/>
                <w:szCs w:val="20"/>
                <w:color w:val="auto"/>
              </w:rPr>
            </w:pPr>
            <w:r>
              <w:rPr>
                <w:rFonts w:ascii="Arial" w:cs="Arial" w:eastAsia="Arial" w:hAnsi="Arial"/>
                <w:sz w:val="14"/>
                <w:szCs w:val="14"/>
                <w:color w:val="231F20"/>
              </w:rPr>
              <w:t>The Board believes that its decision to amend the Company’s Amended and Restated Bylaws, as</w:t>
            </w:r>
          </w:p>
        </w:tc>
        <w:tc>
          <w:tcPr>
            <w:tcW w:w="1120" w:type="dxa"/>
            <w:vAlign w:val="bottom"/>
          </w:tcPr>
          <w:p>
            <w:pPr>
              <w:ind w:left="100"/>
              <w:spacing w:after="0"/>
              <w:rPr>
                <w:sz w:val="20"/>
                <w:szCs w:val="20"/>
                <w:color w:val="auto"/>
              </w:rPr>
            </w:pPr>
            <w:r>
              <w:rPr>
                <w:rFonts w:ascii="Arial" w:cs="Arial" w:eastAsia="Arial" w:hAnsi="Arial"/>
                <w:sz w:val="14"/>
                <w:szCs w:val="14"/>
                <w:color w:val="231F20"/>
              </w:rPr>
              <w:t>FOR</w:t>
            </w:r>
          </w:p>
        </w:tc>
        <w:tc>
          <w:tcPr>
            <w:tcW w:w="1220" w:type="dxa"/>
            <w:vAlign w:val="bottom"/>
          </w:tcPr>
          <w:p>
            <w:pPr>
              <w:ind w:left="100"/>
              <w:spacing w:after="0"/>
              <w:rPr>
                <w:sz w:val="20"/>
                <w:szCs w:val="20"/>
                <w:color w:val="auto"/>
              </w:rPr>
            </w:pPr>
            <w:r>
              <w:rPr>
                <w:rFonts w:ascii="Arial" w:cs="Arial" w:eastAsia="Arial" w:hAnsi="Arial"/>
                <w:sz w:val="14"/>
                <w:szCs w:val="14"/>
                <w:color w:val="231F20"/>
              </w:rPr>
              <w:t>85</w:t>
            </w:r>
          </w:p>
        </w:tc>
        <w:tc>
          <w:tcPr>
            <w:tcW w:w="0" w:type="dxa"/>
            <w:vAlign w:val="bottom"/>
          </w:tcPr>
          <w:p>
            <w:pPr>
              <w:spacing w:after="0"/>
              <w:rPr>
                <w:sz w:val="1"/>
                <w:szCs w:val="1"/>
                <w:color w:val="auto"/>
              </w:rPr>
            </w:pPr>
          </w:p>
        </w:tc>
      </w:tr>
      <w:tr>
        <w:trPr>
          <w:trHeight w:val="153"/>
        </w:trPr>
        <w:tc>
          <w:tcPr>
            <w:tcW w:w="2160" w:type="dxa"/>
            <w:vAlign w:val="bottom"/>
          </w:tcPr>
          <w:p>
            <w:pPr>
              <w:spacing w:after="0" w:line="153" w:lineRule="exact"/>
              <w:rPr>
                <w:sz w:val="20"/>
                <w:szCs w:val="20"/>
                <w:color w:val="auto"/>
              </w:rPr>
            </w:pPr>
            <w:r>
              <w:rPr>
                <w:rFonts w:ascii="Arial" w:cs="Arial" w:eastAsia="Arial" w:hAnsi="Arial"/>
                <w:sz w:val="14"/>
                <w:szCs w:val="14"/>
                <w:color w:val="4395D4"/>
              </w:rPr>
              <w:t>Ratification of an Amendment to</w:t>
            </w:r>
          </w:p>
        </w:tc>
        <w:tc>
          <w:tcPr>
            <w:tcW w:w="6740" w:type="dxa"/>
            <w:vAlign w:val="bottom"/>
          </w:tcPr>
          <w:p>
            <w:pPr>
              <w:ind w:left="100"/>
              <w:spacing w:after="0" w:line="153" w:lineRule="exact"/>
              <w:rPr>
                <w:sz w:val="20"/>
                <w:szCs w:val="20"/>
                <w:color w:val="auto"/>
              </w:rPr>
            </w:pPr>
            <w:r>
              <w:rPr>
                <w:rFonts w:ascii="Arial" w:cs="Arial" w:eastAsia="Arial" w:hAnsi="Arial"/>
                <w:sz w:val="14"/>
                <w:szCs w:val="14"/>
                <w:color w:val="231F20"/>
              </w:rPr>
              <w:t>amended, (the Bylaws) to establish a standard for proxy access for shareholders with the power to</w:t>
            </w:r>
          </w:p>
        </w:tc>
        <w:tc>
          <w:tcPr>
            <w:tcW w:w="112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2160" w:type="dxa"/>
            <w:vAlign w:val="bottom"/>
          </w:tcPr>
          <w:p>
            <w:pPr>
              <w:spacing w:after="0" w:line="153" w:lineRule="exact"/>
              <w:rPr>
                <w:sz w:val="20"/>
                <w:szCs w:val="20"/>
                <w:color w:val="auto"/>
              </w:rPr>
            </w:pPr>
            <w:r>
              <w:rPr>
                <w:rFonts w:ascii="Arial" w:cs="Arial" w:eastAsia="Arial" w:hAnsi="Arial"/>
                <w:sz w:val="14"/>
                <w:szCs w:val="14"/>
                <w:color w:val="4395D4"/>
              </w:rPr>
              <w:t>the Bylaws establishing a</w:t>
            </w:r>
          </w:p>
        </w:tc>
        <w:tc>
          <w:tcPr>
            <w:tcW w:w="6740" w:type="dxa"/>
            <w:vAlign w:val="bottom"/>
          </w:tcPr>
          <w:p>
            <w:pPr>
              <w:ind w:left="100"/>
              <w:spacing w:after="0" w:line="153" w:lineRule="exact"/>
              <w:rPr>
                <w:sz w:val="20"/>
                <w:szCs w:val="20"/>
                <w:color w:val="auto"/>
              </w:rPr>
            </w:pPr>
            <w:r>
              <w:rPr>
                <w:rFonts w:ascii="Arial" w:cs="Arial" w:eastAsia="Arial" w:hAnsi="Arial"/>
                <w:sz w:val="14"/>
                <w:szCs w:val="14"/>
                <w:color w:val="231F20"/>
              </w:rPr>
              <w:t>nominate a number of director candidates for inclusion in the Company’s proxy statement aligns the</w:t>
            </w:r>
          </w:p>
        </w:tc>
        <w:tc>
          <w:tcPr>
            <w:tcW w:w="112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2160" w:type="dxa"/>
            <w:vAlign w:val="bottom"/>
          </w:tcPr>
          <w:p>
            <w:pPr>
              <w:spacing w:after="0" w:line="153" w:lineRule="exact"/>
              <w:rPr>
                <w:sz w:val="20"/>
                <w:szCs w:val="20"/>
                <w:color w:val="auto"/>
              </w:rPr>
            </w:pPr>
            <w:r>
              <w:rPr>
                <w:rFonts w:ascii="Arial" w:cs="Arial" w:eastAsia="Arial" w:hAnsi="Arial"/>
                <w:sz w:val="14"/>
                <w:szCs w:val="14"/>
                <w:color w:val="4395D4"/>
              </w:rPr>
              <w:t>standard for inclusion of</w:t>
            </w:r>
          </w:p>
        </w:tc>
        <w:tc>
          <w:tcPr>
            <w:tcW w:w="6740" w:type="dxa"/>
            <w:vAlign w:val="bottom"/>
          </w:tcPr>
          <w:p>
            <w:pPr>
              <w:ind w:left="100"/>
              <w:spacing w:after="0" w:line="153" w:lineRule="exact"/>
              <w:rPr>
                <w:sz w:val="20"/>
                <w:szCs w:val="20"/>
                <w:color w:val="auto"/>
              </w:rPr>
            </w:pPr>
            <w:r>
              <w:rPr>
                <w:rFonts w:ascii="Arial" w:cs="Arial" w:eastAsia="Arial" w:hAnsi="Arial"/>
                <w:sz w:val="14"/>
                <w:szCs w:val="14"/>
                <w:color w:val="231F20"/>
              </w:rPr>
              <w:t>shareholders’ interests and allows for greater accountability of the directors. As a matter of good</w:t>
            </w:r>
          </w:p>
        </w:tc>
        <w:tc>
          <w:tcPr>
            <w:tcW w:w="112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2160" w:type="dxa"/>
            <w:vAlign w:val="bottom"/>
          </w:tcPr>
          <w:p>
            <w:pPr>
              <w:spacing w:after="0" w:line="153" w:lineRule="exact"/>
              <w:rPr>
                <w:sz w:val="20"/>
                <w:szCs w:val="20"/>
                <w:color w:val="auto"/>
              </w:rPr>
            </w:pPr>
            <w:r>
              <w:rPr>
                <w:rFonts w:ascii="Arial" w:cs="Arial" w:eastAsia="Arial" w:hAnsi="Arial"/>
                <w:sz w:val="14"/>
                <w:szCs w:val="14"/>
                <w:color w:val="4395D4"/>
              </w:rPr>
              <w:t>shareholder nominees in the</w:t>
            </w:r>
          </w:p>
        </w:tc>
        <w:tc>
          <w:tcPr>
            <w:tcW w:w="6740" w:type="dxa"/>
            <w:vAlign w:val="bottom"/>
          </w:tcPr>
          <w:p>
            <w:pPr>
              <w:ind w:left="100"/>
              <w:spacing w:after="0" w:line="153" w:lineRule="exact"/>
              <w:rPr>
                <w:sz w:val="20"/>
                <w:szCs w:val="20"/>
                <w:color w:val="auto"/>
              </w:rPr>
            </w:pPr>
            <w:r>
              <w:rPr>
                <w:rFonts w:ascii="Arial" w:cs="Arial" w:eastAsia="Arial" w:hAnsi="Arial"/>
                <w:sz w:val="14"/>
                <w:szCs w:val="14"/>
                <w:color w:val="231F20"/>
              </w:rPr>
              <w:t>corporate governance, shareholders are being asked to ratify this Amendment.</w:t>
            </w:r>
          </w:p>
        </w:tc>
        <w:tc>
          <w:tcPr>
            <w:tcW w:w="112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5"/>
        </w:trPr>
        <w:tc>
          <w:tcPr>
            <w:tcW w:w="2160" w:type="dxa"/>
            <w:vAlign w:val="bottom"/>
          </w:tcPr>
          <w:p>
            <w:pPr>
              <w:spacing w:after="0"/>
              <w:rPr>
                <w:sz w:val="20"/>
                <w:szCs w:val="20"/>
                <w:color w:val="auto"/>
              </w:rPr>
            </w:pPr>
            <w:r>
              <w:rPr>
                <w:rFonts w:ascii="Arial" w:cs="Arial" w:eastAsia="Arial" w:hAnsi="Arial"/>
                <w:sz w:val="14"/>
                <w:szCs w:val="14"/>
                <w:color w:val="4395D4"/>
              </w:rPr>
              <w:t>Company’s proxy statement</w:t>
            </w:r>
          </w:p>
        </w:tc>
        <w:tc>
          <w:tcPr>
            <w:tcW w:w="67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6"/>
        </w:trPr>
        <w:tc>
          <w:tcPr>
            <w:tcW w:w="2160" w:type="dxa"/>
            <w:vAlign w:val="bottom"/>
            <w:tcBorders>
              <w:bottom w:val="single" w:sz="8" w:color="231F20"/>
            </w:tcBorders>
          </w:tcPr>
          <w:p>
            <w:pPr>
              <w:spacing w:after="0"/>
              <w:rPr>
                <w:sz w:val="4"/>
                <w:szCs w:val="4"/>
                <w:color w:val="auto"/>
              </w:rPr>
            </w:pPr>
          </w:p>
        </w:tc>
        <w:tc>
          <w:tcPr>
            <w:tcW w:w="6740" w:type="dxa"/>
            <w:vAlign w:val="bottom"/>
            <w:tcBorders>
              <w:bottom w:val="single" w:sz="8" w:color="231F20"/>
            </w:tcBorders>
          </w:tcPr>
          <w:p>
            <w:pPr>
              <w:spacing w:after="0"/>
              <w:rPr>
                <w:sz w:val="4"/>
                <w:szCs w:val="4"/>
                <w:color w:val="auto"/>
              </w:rPr>
            </w:pPr>
          </w:p>
        </w:tc>
        <w:tc>
          <w:tcPr>
            <w:tcW w:w="1120" w:type="dxa"/>
            <w:vAlign w:val="bottom"/>
            <w:tcBorders>
              <w:bottom w:val="single" w:sz="8" w:color="231F20"/>
            </w:tcBorders>
          </w:tcPr>
          <w:p>
            <w:pPr>
              <w:spacing w:after="0"/>
              <w:rPr>
                <w:sz w:val="4"/>
                <w:szCs w:val="4"/>
                <w:color w:val="auto"/>
              </w:rPr>
            </w:pPr>
          </w:p>
        </w:tc>
        <w:tc>
          <w:tcPr>
            <w:tcW w:w="1220" w:type="dxa"/>
            <w:vAlign w:val="bottom"/>
            <w:tcBorders>
              <w:bottom w:val="single" w:sz="8" w:color="231F20"/>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105410</wp:posOffset>
            </wp:positionV>
            <wp:extent cx="7139940" cy="21799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9940" cy="21799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left="220" w:hanging="218"/>
        <w:spacing w:after="0"/>
        <w:tabs>
          <w:tab w:leader="none" w:pos="220" w:val="left"/>
        </w:tabs>
        <w:numPr>
          <w:ilvl w:val="0"/>
          <w:numId w:val="7"/>
        </w:numPr>
        <w:rPr>
          <w:rFonts w:ascii="Arial" w:cs="Arial" w:eastAsia="Arial" w:hAnsi="Arial"/>
          <w:sz w:val="15"/>
          <w:szCs w:val="15"/>
          <w:color w:val="455986"/>
        </w:rPr>
      </w:pPr>
      <w:r>
        <w:rPr>
          <w:rFonts w:ascii="Arial" w:cs="Arial" w:eastAsia="Arial" w:hAnsi="Arial"/>
          <w:sz w:val="12"/>
          <w:szCs w:val="12"/>
          <w:color w:val="4395D4"/>
        </w:rPr>
        <w:t xml:space="preserve">ESSENTIAL UTILITIES, INC. </w:t>
      </w:r>
      <w:r>
        <w:rPr>
          <w:rFonts w:ascii="Arial" w:cs="Arial" w:eastAsia="Arial" w:hAnsi="Arial"/>
          <w:sz w:val="12"/>
          <w:szCs w:val="12"/>
          <w:color w:val="455986"/>
        </w:rPr>
        <w:t>2021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324485</wp:posOffset>
            </wp:positionV>
            <wp:extent cx="7139940" cy="2413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9940" cy="24130"/>
                    </a:xfrm>
                    <a:prstGeom prst="rect">
                      <a:avLst/>
                    </a:prstGeom>
                    <a:noFill/>
                  </pic:spPr>
                </pic:pic>
              </a:graphicData>
            </a:graphic>
          </wp:anchor>
        </w:drawing>
      </w:r>
    </w:p>
    <w:p>
      <w:pPr>
        <w:sectPr>
          <w:pgSz w:w="11900" w:h="16838" w:orient="portrait"/>
          <w:cols w:equalWidth="0" w:num="1">
            <w:col w:w="11240"/>
          </w:cols>
          <w:pgMar w:left="320" w:top="560" w:right="339" w:bottom="1440" w:gutter="0" w:footer="0" w:header="0"/>
        </w:sectPr>
      </w:pPr>
    </w:p>
    <w:bookmarkStart w:id="7" w:name="page8"/>
    <w:bookmarkEnd w:id="7"/>
    <w:p>
      <w:pPr>
        <w:spacing w:after="0"/>
        <w:rPr>
          <w:sz w:val="20"/>
          <w:szCs w:val="20"/>
          <w:color w:val="auto"/>
        </w:rPr>
      </w:pPr>
      <w:r>
        <w:rPr>
          <w:rFonts w:ascii="Arial" w:cs="Arial" w:eastAsia="Arial" w:hAnsi="Arial"/>
          <w:sz w:val="14"/>
          <w:szCs w:val="14"/>
          <w:b w:val="1"/>
          <w:bCs w:val="1"/>
          <w:color w:val="455986"/>
        </w:rPr>
        <w:t>Proxy Summary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27940</wp:posOffset>
            </wp:positionV>
            <wp:extent cx="713994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9940" cy="8255"/>
                    </a:xfrm>
                    <a:prstGeom prst="rect">
                      <a:avLst/>
                    </a:prstGeom>
                    <a:noFill/>
                  </pic:spPr>
                </pic:pic>
              </a:graphicData>
            </a:graphic>
          </wp:anchor>
        </w:drawing>
      </w:r>
    </w:p>
    <w:p>
      <w:pPr>
        <w:spacing w:after="0" w:line="76" w:lineRule="exact"/>
        <w:rPr>
          <w:sz w:val="20"/>
          <w:szCs w:val="20"/>
          <w:color w:val="auto"/>
        </w:rPr>
      </w:pPr>
    </w:p>
    <w:p>
      <w:pPr>
        <w:spacing w:after="0"/>
        <w:rPr>
          <w:sz w:val="20"/>
          <w:szCs w:val="20"/>
          <w:color w:val="auto"/>
        </w:rPr>
      </w:pPr>
      <w:r>
        <w:rPr>
          <w:rFonts w:ascii="Arial" w:cs="Arial" w:eastAsia="Arial" w:hAnsi="Arial"/>
          <w:sz w:val="14"/>
          <w:szCs w:val="14"/>
          <w:color w:val="231F20"/>
        </w:rPr>
        <w:t>Director Nominees</w:t>
      </w:r>
    </w:p>
    <w:p>
      <w:pPr>
        <w:spacing w:after="0" w:line="163" w:lineRule="exact"/>
        <w:rPr>
          <w:sz w:val="20"/>
          <w:szCs w:val="20"/>
          <w:color w:val="auto"/>
        </w:rPr>
      </w:pPr>
    </w:p>
    <w:p>
      <w:pPr>
        <w:spacing w:after="0"/>
        <w:rPr>
          <w:sz w:val="20"/>
          <w:szCs w:val="20"/>
          <w:color w:val="auto"/>
        </w:rPr>
      </w:pPr>
      <w:r>
        <w:rPr>
          <w:rFonts w:ascii="Arial" w:cs="Arial" w:eastAsia="Arial" w:hAnsi="Arial"/>
          <w:sz w:val="24"/>
          <w:szCs w:val="24"/>
          <w:b w:val="1"/>
          <w:bCs w:val="1"/>
          <w:color w:val="455986"/>
        </w:rPr>
        <w:t>Director Nominees</w:t>
      </w:r>
    </w:p>
    <w:p>
      <w:pPr>
        <w:spacing w:after="0" w:line="208" w:lineRule="exact"/>
        <w:rPr>
          <w:sz w:val="20"/>
          <w:szCs w:val="20"/>
          <w:color w:val="auto"/>
        </w:rPr>
      </w:pPr>
    </w:p>
    <w:p>
      <w:pPr>
        <w:spacing w:after="0"/>
        <w:rPr>
          <w:sz w:val="20"/>
          <w:szCs w:val="20"/>
          <w:color w:val="auto"/>
        </w:rPr>
      </w:pPr>
      <w:r>
        <w:rPr>
          <w:rFonts w:ascii="Arial" w:cs="Arial" w:eastAsia="Arial" w:hAnsi="Arial"/>
          <w:sz w:val="14"/>
          <w:szCs w:val="14"/>
          <w:color w:val="231F20"/>
        </w:rPr>
        <w:t>The following table provides summary information about each of the Company’s eight director nominees. Each director will serve a one-year term if elected.</w:t>
      </w:r>
    </w:p>
    <w:p>
      <w:pPr>
        <w:spacing w:after="0" w:line="143" w:lineRule="exact"/>
        <w:rPr>
          <w:sz w:val="20"/>
          <w:szCs w:val="20"/>
          <w:color w:val="auto"/>
        </w:rPr>
      </w:pPr>
    </w:p>
    <w:p>
      <w:pPr>
        <w:spacing w:after="0"/>
        <w:rPr>
          <w:sz w:val="20"/>
          <w:szCs w:val="20"/>
          <w:color w:val="auto"/>
        </w:rPr>
      </w:pPr>
      <w:r>
        <w:rPr>
          <w:rFonts w:ascii="Arial" w:cs="Arial" w:eastAsia="Arial" w:hAnsi="Arial"/>
          <w:sz w:val="14"/>
          <w:szCs w:val="14"/>
          <w:b w:val="1"/>
          <w:bCs w:val="1"/>
          <w:color w:val="231F20"/>
        </w:rPr>
        <w:t>All directors are independent except for Mr. Franklin.</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19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4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3120" w:type="dxa"/>
            <w:vAlign w:val="bottom"/>
            <w:gridSpan w:val="3"/>
          </w:tcPr>
          <w:p>
            <w:pPr>
              <w:ind w:left="140"/>
              <w:spacing w:after="0"/>
              <w:rPr>
                <w:sz w:val="20"/>
                <w:szCs w:val="20"/>
                <w:color w:val="auto"/>
              </w:rPr>
            </w:pPr>
            <w:r>
              <w:rPr>
                <w:rFonts w:ascii="Arial" w:cs="Arial" w:eastAsia="Arial" w:hAnsi="Arial"/>
                <w:sz w:val="14"/>
                <w:szCs w:val="14"/>
                <w:color w:val="455986"/>
                <w:w w:val="99"/>
              </w:rPr>
              <w:t>Current and Proposed Committee Memberships</w:t>
            </w:r>
          </w:p>
        </w:tc>
        <w:tc>
          <w:tcPr>
            <w:tcW w:w="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8"/>
        </w:trPr>
        <w:tc>
          <w:tcPr>
            <w:tcW w:w="1900" w:type="dxa"/>
            <w:vAlign w:val="bottom"/>
          </w:tcPr>
          <w:p>
            <w:pPr>
              <w:spacing w:after="0"/>
              <w:rPr>
                <w:sz w:val="5"/>
                <w:szCs w:val="5"/>
                <w:color w:val="auto"/>
              </w:rPr>
            </w:pPr>
          </w:p>
        </w:tc>
        <w:tc>
          <w:tcPr>
            <w:tcW w:w="500" w:type="dxa"/>
            <w:vAlign w:val="bottom"/>
          </w:tcPr>
          <w:p>
            <w:pPr>
              <w:spacing w:after="0"/>
              <w:rPr>
                <w:sz w:val="5"/>
                <w:szCs w:val="5"/>
                <w:color w:val="auto"/>
              </w:rPr>
            </w:pPr>
          </w:p>
        </w:tc>
        <w:tc>
          <w:tcPr>
            <w:tcW w:w="760" w:type="dxa"/>
            <w:vAlign w:val="bottom"/>
          </w:tcPr>
          <w:p>
            <w:pPr>
              <w:spacing w:after="0"/>
              <w:rPr>
                <w:sz w:val="5"/>
                <w:szCs w:val="5"/>
                <w:color w:val="auto"/>
              </w:rPr>
            </w:pPr>
          </w:p>
        </w:tc>
        <w:tc>
          <w:tcPr>
            <w:tcW w:w="2420" w:type="dxa"/>
            <w:vAlign w:val="bottom"/>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Borders>
              <w:bottom w:val="single" w:sz="8" w:color="8BB2DE"/>
            </w:tcBorders>
          </w:tcPr>
          <w:p>
            <w:pPr>
              <w:spacing w:after="0"/>
              <w:rPr>
                <w:sz w:val="5"/>
                <w:szCs w:val="5"/>
                <w:color w:val="auto"/>
              </w:rPr>
            </w:pPr>
          </w:p>
        </w:tc>
        <w:tc>
          <w:tcPr>
            <w:tcW w:w="1120" w:type="dxa"/>
            <w:vAlign w:val="bottom"/>
            <w:tcBorders>
              <w:bottom w:val="single" w:sz="8" w:color="8BB2DE"/>
            </w:tcBorders>
          </w:tcPr>
          <w:p>
            <w:pPr>
              <w:spacing w:after="0"/>
              <w:rPr>
                <w:sz w:val="5"/>
                <w:szCs w:val="5"/>
                <w:color w:val="auto"/>
              </w:rPr>
            </w:pPr>
          </w:p>
        </w:tc>
        <w:tc>
          <w:tcPr>
            <w:tcW w:w="720" w:type="dxa"/>
            <w:vAlign w:val="bottom"/>
            <w:tcBorders>
              <w:bottom w:val="single" w:sz="8" w:color="8BB2DE"/>
            </w:tcBorders>
          </w:tcPr>
          <w:p>
            <w:pPr>
              <w:spacing w:after="0"/>
              <w:rPr>
                <w:sz w:val="5"/>
                <w:szCs w:val="5"/>
                <w:color w:val="auto"/>
              </w:rPr>
            </w:pPr>
          </w:p>
        </w:tc>
        <w:tc>
          <w:tcPr>
            <w:tcW w:w="1280" w:type="dxa"/>
            <w:vAlign w:val="bottom"/>
            <w:tcBorders>
              <w:bottom w:val="single" w:sz="8" w:color="8BB2DE"/>
            </w:tcBorders>
          </w:tcPr>
          <w:p>
            <w:pPr>
              <w:spacing w:after="0"/>
              <w:rPr>
                <w:sz w:val="5"/>
                <w:szCs w:val="5"/>
                <w:color w:val="auto"/>
              </w:rPr>
            </w:pPr>
          </w:p>
        </w:tc>
        <w:tc>
          <w:tcPr>
            <w:tcW w:w="840" w:type="dxa"/>
            <w:vAlign w:val="bottom"/>
            <w:tcBorders>
              <w:bottom w:val="single" w:sz="8" w:color="8BB2DE"/>
            </w:tcBorders>
          </w:tcPr>
          <w:p>
            <w:pPr>
              <w:spacing w:after="0"/>
              <w:rPr>
                <w:sz w:val="5"/>
                <w:szCs w:val="5"/>
                <w:color w:val="auto"/>
              </w:rPr>
            </w:pPr>
          </w:p>
        </w:tc>
        <w:tc>
          <w:tcPr>
            <w:tcW w:w="0" w:type="dxa"/>
            <w:vAlign w:val="bottom"/>
          </w:tcPr>
          <w:p>
            <w:pPr>
              <w:spacing w:after="0"/>
              <w:rPr>
                <w:sz w:val="1"/>
                <w:szCs w:val="1"/>
                <w:color w:val="auto"/>
              </w:rPr>
            </w:pPr>
          </w:p>
        </w:tc>
      </w:tr>
      <w:tr>
        <w:trPr>
          <w:trHeight w:val="224"/>
        </w:trPr>
        <w:tc>
          <w:tcPr>
            <w:tcW w:w="19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420" w:type="dxa"/>
            <w:vAlign w:val="bottom"/>
          </w:tcPr>
          <w:p>
            <w:pPr>
              <w:spacing w:after="0"/>
              <w:rPr>
                <w:sz w:val="19"/>
                <w:szCs w:val="19"/>
                <w:color w:val="auto"/>
              </w:rPr>
            </w:pPr>
          </w:p>
        </w:tc>
        <w:tc>
          <w:tcPr>
            <w:tcW w:w="920" w:type="dxa"/>
            <w:vAlign w:val="bottom"/>
          </w:tcPr>
          <w:p>
            <w:pPr>
              <w:jc w:val="center"/>
              <w:spacing w:after="0"/>
              <w:rPr>
                <w:sz w:val="20"/>
                <w:szCs w:val="20"/>
                <w:color w:val="auto"/>
              </w:rPr>
            </w:pPr>
            <w:r>
              <w:rPr>
                <w:rFonts w:ascii="Arial" w:cs="Arial" w:eastAsia="Arial" w:hAnsi="Arial"/>
                <w:sz w:val="14"/>
                <w:szCs w:val="14"/>
                <w:color w:val="455986"/>
                <w:w w:val="98"/>
              </w:rPr>
              <w:t>Other Public</w:t>
            </w:r>
          </w:p>
        </w:tc>
        <w:tc>
          <w:tcPr>
            <w:tcW w:w="7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80" w:type="dxa"/>
            <w:vAlign w:val="bottom"/>
          </w:tcPr>
          <w:p>
            <w:pPr>
              <w:jc w:val="center"/>
              <w:spacing w:after="0"/>
              <w:rPr>
                <w:sz w:val="20"/>
                <w:szCs w:val="20"/>
                <w:color w:val="auto"/>
              </w:rPr>
            </w:pPr>
            <w:r>
              <w:rPr>
                <w:rFonts w:ascii="Arial" w:cs="Arial" w:eastAsia="Arial" w:hAnsi="Arial"/>
                <w:sz w:val="14"/>
                <w:szCs w:val="14"/>
                <w:color w:val="455986"/>
                <w:w w:val="97"/>
              </w:rPr>
              <w:t>Risk Mitigation &amp;</w:t>
            </w: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3"/>
        </w:trPr>
        <w:tc>
          <w:tcPr>
            <w:tcW w:w="19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760" w:type="dxa"/>
            <w:vAlign w:val="bottom"/>
          </w:tcPr>
          <w:p>
            <w:pPr>
              <w:jc w:val="center"/>
              <w:spacing w:after="0" w:line="153" w:lineRule="exact"/>
              <w:rPr>
                <w:sz w:val="20"/>
                <w:szCs w:val="20"/>
                <w:color w:val="auto"/>
              </w:rPr>
            </w:pPr>
            <w:r>
              <w:rPr>
                <w:rFonts w:ascii="Arial" w:cs="Arial" w:eastAsia="Arial" w:hAnsi="Arial"/>
                <w:sz w:val="14"/>
                <w:szCs w:val="14"/>
                <w:color w:val="455986"/>
                <w:w w:val="93"/>
              </w:rPr>
              <w:t>Director</w:t>
            </w:r>
          </w:p>
        </w:tc>
        <w:tc>
          <w:tcPr>
            <w:tcW w:w="2420" w:type="dxa"/>
            <w:vAlign w:val="bottom"/>
          </w:tcPr>
          <w:p>
            <w:pPr>
              <w:spacing w:after="0"/>
              <w:rPr>
                <w:sz w:val="13"/>
                <w:szCs w:val="13"/>
                <w:color w:val="auto"/>
              </w:rPr>
            </w:pPr>
          </w:p>
        </w:tc>
        <w:tc>
          <w:tcPr>
            <w:tcW w:w="920" w:type="dxa"/>
            <w:vAlign w:val="bottom"/>
          </w:tcPr>
          <w:p>
            <w:pPr>
              <w:jc w:val="center"/>
              <w:spacing w:after="0" w:line="153" w:lineRule="exact"/>
              <w:rPr>
                <w:sz w:val="20"/>
                <w:szCs w:val="20"/>
                <w:color w:val="auto"/>
              </w:rPr>
            </w:pPr>
            <w:r>
              <w:rPr>
                <w:rFonts w:ascii="Arial" w:cs="Arial" w:eastAsia="Arial" w:hAnsi="Arial"/>
                <w:sz w:val="14"/>
                <w:szCs w:val="14"/>
                <w:color w:val="455986"/>
              </w:rPr>
              <w:t>Company</w:t>
            </w:r>
          </w:p>
        </w:tc>
        <w:tc>
          <w:tcPr>
            <w:tcW w:w="780" w:type="dxa"/>
            <w:vAlign w:val="bottom"/>
          </w:tcPr>
          <w:p>
            <w:pPr>
              <w:spacing w:after="0"/>
              <w:rPr>
                <w:sz w:val="13"/>
                <w:szCs w:val="13"/>
                <w:color w:val="auto"/>
              </w:rPr>
            </w:pPr>
          </w:p>
        </w:tc>
        <w:tc>
          <w:tcPr>
            <w:tcW w:w="1120" w:type="dxa"/>
            <w:vAlign w:val="bottom"/>
          </w:tcPr>
          <w:p>
            <w:pPr>
              <w:jc w:val="center"/>
              <w:ind w:right="31"/>
              <w:spacing w:after="0" w:line="153" w:lineRule="exact"/>
              <w:rPr>
                <w:sz w:val="20"/>
                <w:szCs w:val="20"/>
                <w:color w:val="auto"/>
              </w:rPr>
            </w:pPr>
            <w:r>
              <w:rPr>
                <w:rFonts w:ascii="Arial" w:cs="Arial" w:eastAsia="Arial" w:hAnsi="Arial"/>
                <w:sz w:val="14"/>
                <w:szCs w:val="14"/>
                <w:color w:val="455986"/>
                <w:w w:val="95"/>
              </w:rPr>
              <w:t>Executive</w:t>
            </w:r>
          </w:p>
        </w:tc>
        <w:tc>
          <w:tcPr>
            <w:tcW w:w="720" w:type="dxa"/>
            <w:vAlign w:val="bottom"/>
          </w:tcPr>
          <w:p>
            <w:pPr>
              <w:spacing w:after="0"/>
              <w:rPr>
                <w:sz w:val="13"/>
                <w:szCs w:val="13"/>
                <w:color w:val="auto"/>
              </w:rPr>
            </w:pPr>
          </w:p>
        </w:tc>
        <w:tc>
          <w:tcPr>
            <w:tcW w:w="1280" w:type="dxa"/>
            <w:vAlign w:val="bottom"/>
          </w:tcPr>
          <w:p>
            <w:pPr>
              <w:jc w:val="center"/>
              <w:spacing w:after="0" w:line="153" w:lineRule="exact"/>
              <w:rPr>
                <w:sz w:val="20"/>
                <w:szCs w:val="20"/>
                <w:color w:val="auto"/>
              </w:rPr>
            </w:pPr>
            <w:r>
              <w:rPr>
                <w:rFonts w:ascii="Arial" w:cs="Arial" w:eastAsia="Arial" w:hAnsi="Arial"/>
                <w:sz w:val="14"/>
                <w:szCs w:val="14"/>
                <w:color w:val="455986"/>
                <w:w w:val="96"/>
              </w:rPr>
              <w:t>Investment</w:t>
            </w:r>
          </w:p>
        </w:tc>
        <w:tc>
          <w:tcPr>
            <w:tcW w:w="840" w:type="dxa"/>
            <w:vAlign w:val="bottom"/>
          </w:tcPr>
          <w:p>
            <w:pPr>
              <w:jc w:val="center"/>
              <w:spacing w:after="0" w:line="153" w:lineRule="exact"/>
              <w:rPr>
                <w:sz w:val="20"/>
                <w:szCs w:val="20"/>
                <w:color w:val="auto"/>
              </w:rPr>
            </w:pPr>
            <w:r>
              <w:rPr>
                <w:rFonts w:ascii="Arial" w:cs="Arial" w:eastAsia="Arial" w:hAnsi="Arial"/>
                <w:sz w:val="14"/>
                <w:szCs w:val="14"/>
                <w:color w:val="455986"/>
                <w:w w:val="99"/>
              </w:rPr>
              <w:t>Corporate</w:t>
            </w:r>
          </w:p>
        </w:tc>
        <w:tc>
          <w:tcPr>
            <w:tcW w:w="0" w:type="dxa"/>
            <w:vAlign w:val="bottom"/>
          </w:tcPr>
          <w:p>
            <w:pPr>
              <w:spacing w:after="0"/>
              <w:rPr>
                <w:sz w:val="1"/>
                <w:szCs w:val="1"/>
                <w:color w:val="auto"/>
              </w:rPr>
            </w:pPr>
          </w:p>
        </w:tc>
      </w:tr>
      <w:tr>
        <w:trPr>
          <w:trHeight w:val="187"/>
        </w:trPr>
        <w:tc>
          <w:tcPr>
            <w:tcW w:w="1900" w:type="dxa"/>
            <w:vAlign w:val="bottom"/>
            <w:tcBorders>
              <w:bottom w:val="single" w:sz="8" w:color="4395D4"/>
            </w:tcBorders>
          </w:tcPr>
          <w:p>
            <w:pPr>
              <w:spacing w:after="0"/>
              <w:rPr>
                <w:sz w:val="20"/>
                <w:szCs w:val="20"/>
                <w:color w:val="auto"/>
              </w:rPr>
            </w:pPr>
            <w:r>
              <w:rPr>
                <w:rFonts w:ascii="Arial" w:cs="Arial" w:eastAsia="Arial" w:hAnsi="Arial"/>
                <w:sz w:val="14"/>
                <w:szCs w:val="14"/>
                <w:color w:val="455986"/>
              </w:rPr>
              <w:t>Director Nominee</w:t>
            </w:r>
          </w:p>
        </w:tc>
        <w:tc>
          <w:tcPr>
            <w:tcW w:w="500" w:type="dxa"/>
            <w:vAlign w:val="bottom"/>
            <w:tcBorders>
              <w:bottom w:val="single" w:sz="8" w:color="4395D4"/>
            </w:tcBorders>
          </w:tcPr>
          <w:p>
            <w:pPr>
              <w:jc w:val="center"/>
              <w:ind w:left="4"/>
              <w:spacing w:after="0"/>
              <w:rPr>
                <w:sz w:val="20"/>
                <w:szCs w:val="20"/>
                <w:color w:val="auto"/>
              </w:rPr>
            </w:pPr>
            <w:r>
              <w:rPr>
                <w:rFonts w:ascii="Arial" w:cs="Arial" w:eastAsia="Arial" w:hAnsi="Arial"/>
                <w:sz w:val="14"/>
                <w:szCs w:val="14"/>
                <w:color w:val="455986"/>
              </w:rPr>
              <w:t>Age</w:t>
            </w:r>
          </w:p>
        </w:tc>
        <w:tc>
          <w:tcPr>
            <w:tcW w:w="760" w:type="dxa"/>
            <w:vAlign w:val="bottom"/>
            <w:tcBorders>
              <w:bottom w:val="single" w:sz="8" w:color="4395D4"/>
            </w:tcBorders>
          </w:tcPr>
          <w:p>
            <w:pPr>
              <w:jc w:val="center"/>
              <w:spacing w:after="0"/>
              <w:rPr>
                <w:sz w:val="20"/>
                <w:szCs w:val="20"/>
                <w:color w:val="auto"/>
              </w:rPr>
            </w:pPr>
            <w:r>
              <w:rPr>
                <w:rFonts w:ascii="Arial" w:cs="Arial" w:eastAsia="Arial" w:hAnsi="Arial"/>
                <w:sz w:val="14"/>
                <w:szCs w:val="14"/>
                <w:color w:val="455986"/>
                <w:w w:val="96"/>
              </w:rPr>
              <w:t>Since</w:t>
            </w:r>
          </w:p>
        </w:tc>
        <w:tc>
          <w:tcPr>
            <w:tcW w:w="2420" w:type="dxa"/>
            <w:vAlign w:val="bottom"/>
            <w:tcBorders>
              <w:bottom w:val="single" w:sz="8" w:color="4395D4"/>
            </w:tcBorders>
          </w:tcPr>
          <w:p>
            <w:pPr>
              <w:ind w:left="40"/>
              <w:spacing w:after="0"/>
              <w:rPr>
                <w:sz w:val="20"/>
                <w:szCs w:val="20"/>
                <w:color w:val="auto"/>
              </w:rPr>
            </w:pPr>
            <w:r>
              <w:rPr>
                <w:rFonts w:ascii="Arial" w:cs="Arial" w:eastAsia="Arial" w:hAnsi="Arial"/>
                <w:sz w:val="14"/>
                <w:szCs w:val="14"/>
                <w:color w:val="455986"/>
              </w:rPr>
              <w:t>Principal Occupation</w:t>
            </w:r>
          </w:p>
        </w:tc>
        <w:tc>
          <w:tcPr>
            <w:tcW w:w="920" w:type="dxa"/>
            <w:vAlign w:val="bottom"/>
            <w:tcBorders>
              <w:bottom w:val="single" w:sz="8" w:color="4395D4"/>
            </w:tcBorders>
          </w:tcPr>
          <w:p>
            <w:pPr>
              <w:jc w:val="center"/>
              <w:spacing w:after="0"/>
              <w:rPr>
                <w:sz w:val="20"/>
                <w:szCs w:val="20"/>
                <w:color w:val="auto"/>
              </w:rPr>
            </w:pPr>
            <w:r>
              <w:rPr>
                <w:rFonts w:ascii="Arial" w:cs="Arial" w:eastAsia="Arial" w:hAnsi="Arial"/>
                <w:sz w:val="14"/>
                <w:szCs w:val="14"/>
                <w:color w:val="455986"/>
                <w:w w:val="99"/>
              </w:rPr>
              <w:t>Boards</w:t>
            </w:r>
          </w:p>
        </w:tc>
        <w:tc>
          <w:tcPr>
            <w:tcW w:w="780" w:type="dxa"/>
            <w:vAlign w:val="bottom"/>
            <w:tcBorders>
              <w:bottom w:val="single" w:sz="8" w:color="4395D4"/>
            </w:tcBorders>
          </w:tcPr>
          <w:p>
            <w:pPr>
              <w:jc w:val="center"/>
              <w:spacing w:after="0"/>
              <w:rPr>
                <w:sz w:val="20"/>
                <w:szCs w:val="20"/>
                <w:color w:val="auto"/>
              </w:rPr>
            </w:pPr>
            <w:r>
              <w:rPr>
                <w:rFonts w:ascii="Arial" w:cs="Arial" w:eastAsia="Arial" w:hAnsi="Arial"/>
                <w:sz w:val="14"/>
                <w:szCs w:val="14"/>
                <w:color w:val="455986"/>
                <w:w w:val="95"/>
              </w:rPr>
              <w:t>Executive</w:t>
            </w:r>
          </w:p>
        </w:tc>
        <w:tc>
          <w:tcPr>
            <w:tcW w:w="1120" w:type="dxa"/>
            <w:vAlign w:val="bottom"/>
            <w:tcBorders>
              <w:bottom w:val="single" w:sz="8" w:color="4395D4"/>
            </w:tcBorders>
          </w:tcPr>
          <w:p>
            <w:pPr>
              <w:jc w:val="center"/>
              <w:ind w:right="11"/>
              <w:spacing w:after="0"/>
              <w:rPr>
                <w:sz w:val="20"/>
                <w:szCs w:val="20"/>
                <w:color w:val="auto"/>
              </w:rPr>
            </w:pPr>
            <w:r>
              <w:rPr>
                <w:rFonts w:ascii="Arial" w:cs="Arial" w:eastAsia="Arial" w:hAnsi="Arial"/>
                <w:sz w:val="14"/>
                <w:szCs w:val="14"/>
                <w:color w:val="455986"/>
                <w:w w:val="97"/>
              </w:rPr>
              <w:t>Compensation</w:t>
            </w:r>
          </w:p>
        </w:tc>
        <w:tc>
          <w:tcPr>
            <w:tcW w:w="720" w:type="dxa"/>
            <w:vAlign w:val="bottom"/>
            <w:tcBorders>
              <w:bottom w:val="single" w:sz="8" w:color="4395D4"/>
            </w:tcBorders>
          </w:tcPr>
          <w:p>
            <w:pPr>
              <w:jc w:val="center"/>
              <w:spacing w:after="0"/>
              <w:rPr>
                <w:sz w:val="20"/>
                <w:szCs w:val="20"/>
                <w:color w:val="auto"/>
              </w:rPr>
            </w:pPr>
            <w:r>
              <w:rPr>
                <w:rFonts w:ascii="Arial" w:cs="Arial" w:eastAsia="Arial" w:hAnsi="Arial"/>
                <w:sz w:val="14"/>
                <w:szCs w:val="14"/>
                <w:color w:val="455986"/>
              </w:rPr>
              <w:t>Audit</w:t>
            </w:r>
          </w:p>
        </w:tc>
        <w:tc>
          <w:tcPr>
            <w:tcW w:w="1280" w:type="dxa"/>
            <w:vAlign w:val="bottom"/>
            <w:tcBorders>
              <w:bottom w:val="single" w:sz="8" w:color="4395D4"/>
            </w:tcBorders>
          </w:tcPr>
          <w:p>
            <w:pPr>
              <w:jc w:val="center"/>
              <w:spacing w:after="0"/>
              <w:rPr>
                <w:sz w:val="20"/>
                <w:szCs w:val="20"/>
                <w:color w:val="auto"/>
              </w:rPr>
            </w:pPr>
            <w:r>
              <w:rPr>
                <w:rFonts w:ascii="Arial" w:cs="Arial" w:eastAsia="Arial" w:hAnsi="Arial"/>
                <w:sz w:val="14"/>
                <w:szCs w:val="14"/>
                <w:color w:val="455986"/>
                <w:w w:val="95"/>
              </w:rPr>
              <w:t>Policy**</w:t>
            </w:r>
          </w:p>
        </w:tc>
        <w:tc>
          <w:tcPr>
            <w:tcW w:w="840" w:type="dxa"/>
            <w:vAlign w:val="bottom"/>
            <w:tcBorders>
              <w:bottom w:val="single" w:sz="8" w:color="4395D4"/>
            </w:tcBorders>
          </w:tcPr>
          <w:p>
            <w:pPr>
              <w:jc w:val="center"/>
              <w:spacing w:after="0"/>
              <w:rPr>
                <w:sz w:val="20"/>
                <w:szCs w:val="20"/>
                <w:color w:val="auto"/>
              </w:rPr>
            </w:pPr>
            <w:r>
              <w:rPr>
                <w:rFonts w:ascii="Arial" w:cs="Arial" w:eastAsia="Arial" w:hAnsi="Arial"/>
                <w:sz w:val="14"/>
                <w:szCs w:val="14"/>
                <w:color w:val="455986"/>
                <w:w w:val="96"/>
              </w:rPr>
              <w:t>Governance</w:t>
            </w:r>
          </w:p>
        </w:tc>
        <w:tc>
          <w:tcPr>
            <w:tcW w:w="0" w:type="dxa"/>
            <w:vAlign w:val="bottom"/>
          </w:tcPr>
          <w:p>
            <w:pPr>
              <w:spacing w:after="0"/>
              <w:rPr>
                <w:sz w:val="1"/>
                <w:szCs w:val="1"/>
                <w:color w:val="auto"/>
              </w:rPr>
            </w:pPr>
          </w:p>
        </w:tc>
      </w:tr>
      <w:tr>
        <w:trPr>
          <w:trHeight w:val="189"/>
        </w:trPr>
        <w:tc>
          <w:tcPr>
            <w:tcW w:w="1900" w:type="dxa"/>
            <w:vAlign w:val="bottom"/>
          </w:tcPr>
          <w:p>
            <w:pPr>
              <w:spacing w:after="0"/>
              <w:rPr>
                <w:sz w:val="20"/>
                <w:szCs w:val="20"/>
                <w:color w:val="auto"/>
              </w:rPr>
            </w:pPr>
            <w:r>
              <w:rPr>
                <w:rFonts w:ascii="Arial" w:cs="Arial" w:eastAsia="Arial" w:hAnsi="Arial"/>
                <w:sz w:val="15"/>
                <w:szCs w:val="15"/>
                <w:b w:val="1"/>
                <w:bCs w:val="1"/>
                <w:color w:val="455986"/>
              </w:rPr>
              <w:t>Elizabeth B. Amato</w:t>
            </w:r>
          </w:p>
        </w:tc>
        <w:tc>
          <w:tcPr>
            <w:tcW w:w="500" w:type="dxa"/>
            <w:vAlign w:val="bottom"/>
          </w:tcPr>
          <w:p>
            <w:pPr>
              <w:jc w:val="center"/>
              <w:ind w:left="4"/>
              <w:spacing w:after="0"/>
              <w:rPr>
                <w:sz w:val="20"/>
                <w:szCs w:val="20"/>
                <w:color w:val="auto"/>
              </w:rPr>
            </w:pPr>
            <w:r>
              <w:rPr>
                <w:rFonts w:ascii="Arial" w:cs="Arial" w:eastAsia="Arial" w:hAnsi="Arial"/>
                <w:sz w:val="15"/>
                <w:szCs w:val="15"/>
                <w:color w:val="231F20"/>
              </w:rPr>
              <w:t>64</w:t>
            </w:r>
          </w:p>
        </w:tc>
        <w:tc>
          <w:tcPr>
            <w:tcW w:w="760" w:type="dxa"/>
            <w:vAlign w:val="bottom"/>
          </w:tcPr>
          <w:p>
            <w:pPr>
              <w:jc w:val="center"/>
              <w:spacing w:after="0"/>
              <w:rPr>
                <w:sz w:val="20"/>
                <w:szCs w:val="20"/>
                <w:color w:val="auto"/>
              </w:rPr>
            </w:pPr>
            <w:r>
              <w:rPr>
                <w:rFonts w:ascii="Arial" w:cs="Arial" w:eastAsia="Arial" w:hAnsi="Arial"/>
                <w:sz w:val="15"/>
                <w:szCs w:val="15"/>
                <w:color w:val="231F20"/>
              </w:rPr>
              <w:t>2018</w:t>
            </w:r>
          </w:p>
        </w:tc>
        <w:tc>
          <w:tcPr>
            <w:tcW w:w="2420" w:type="dxa"/>
            <w:vAlign w:val="bottom"/>
          </w:tcPr>
          <w:p>
            <w:pPr>
              <w:ind w:left="40"/>
              <w:spacing w:after="0"/>
              <w:rPr>
                <w:sz w:val="20"/>
                <w:szCs w:val="20"/>
                <w:color w:val="auto"/>
              </w:rPr>
            </w:pPr>
            <w:r>
              <w:rPr>
                <w:rFonts w:ascii="Arial" w:cs="Arial" w:eastAsia="Arial" w:hAnsi="Arial"/>
                <w:sz w:val="14"/>
                <w:szCs w:val="14"/>
                <w:color w:val="231F20"/>
              </w:rPr>
              <w:t>Former Executive Vice President and</w:t>
            </w:r>
          </w:p>
        </w:tc>
        <w:tc>
          <w:tcPr>
            <w:tcW w:w="920" w:type="dxa"/>
            <w:vAlign w:val="bottom"/>
            <w:vMerge w:val="restart"/>
          </w:tcPr>
          <w:p>
            <w:pPr>
              <w:jc w:val="center"/>
              <w:spacing w:after="0"/>
              <w:rPr>
                <w:sz w:val="20"/>
                <w:szCs w:val="20"/>
                <w:color w:val="auto"/>
              </w:rPr>
            </w:pPr>
            <w:r>
              <w:rPr>
                <w:rFonts w:ascii="Arial" w:cs="Arial" w:eastAsia="Arial" w:hAnsi="Arial"/>
                <w:sz w:val="15"/>
                <w:szCs w:val="15"/>
                <w:color w:val="231F20"/>
                <w:w w:val="95"/>
              </w:rPr>
              <w:t>0</w:t>
            </w:r>
          </w:p>
        </w:tc>
        <w:tc>
          <w:tcPr>
            <w:tcW w:w="780" w:type="dxa"/>
            <w:vAlign w:val="bottom"/>
            <w:vMerge w:val="restart"/>
          </w:tcPr>
          <w:p>
            <w:pPr>
              <w:jc w:val="center"/>
              <w:spacing w:after="0"/>
              <w:rPr>
                <w:sz w:val="20"/>
                <w:szCs w:val="20"/>
                <w:color w:val="auto"/>
              </w:rPr>
            </w:pPr>
            <w:r>
              <w:rPr>
                <w:rFonts w:ascii="Arial" w:cs="Arial" w:eastAsia="Arial" w:hAnsi="Arial"/>
                <w:sz w:val="14"/>
                <w:szCs w:val="14"/>
                <w:color w:val="455986"/>
                <w:w w:val="94"/>
              </w:rPr>
              <w:t>●</w:t>
            </w:r>
          </w:p>
        </w:tc>
        <w:tc>
          <w:tcPr>
            <w:tcW w:w="1120" w:type="dxa"/>
            <w:vAlign w:val="bottom"/>
            <w:vMerge w:val="restart"/>
          </w:tcPr>
          <w:p>
            <w:pPr>
              <w:jc w:val="center"/>
              <w:ind w:right="11"/>
              <w:spacing w:after="0"/>
              <w:rPr>
                <w:sz w:val="20"/>
                <w:szCs w:val="20"/>
                <w:color w:val="auto"/>
              </w:rPr>
            </w:pPr>
            <w:r>
              <w:rPr>
                <w:rFonts w:ascii="Arial" w:cs="Arial" w:eastAsia="Arial" w:hAnsi="Arial"/>
                <w:sz w:val="14"/>
                <w:szCs w:val="14"/>
                <w:color w:val="455986"/>
                <w:w w:val="94"/>
              </w:rPr>
              <w:t>●</w:t>
            </w:r>
          </w:p>
        </w:tc>
        <w:tc>
          <w:tcPr>
            <w:tcW w:w="72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840" w:type="dxa"/>
            <w:vAlign w:val="bottom"/>
            <w:vMerge w:val="restart"/>
          </w:tcPr>
          <w:p>
            <w:pPr>
              <w:jc w:val="center"/>
              <w:spacing w:after="0"/>
              <w:rPr>
                <w:sz w:val="20"/>
                <w:szCs w:val="20"/>
                <w:color w:val="auto"/>
              </w:rPr>
            </w:pPr>
            <w:r>
              <w:rPr>
                <w:rFonts w:ascii="Arial" w:cs="Arial" w:eastAsia="Arial" w:hAnsi="Arial"/>
                <w:sz w:val="14"/>
                <w:szCs w:val="14"/>
                <w:b w:val="1"/>
                <w:bCs w:val="1"/>
                <w:color w:val="4395D4"/>
                <w:w w:val="94"/>
              </w:rPr>
              <w:t>CHAIR</w:t>
            </w:r>
          </w:p>
        </w:tc>
        <w:tc>
          <w:tcPr>
            <w:tcW w:w="0" w:type="dxa"/>
            <w:vAlign w:val="bottom"/>
          </w:tcPr>
          <w:p>
            <w:pPr>
              <w:spacing w:after="0"/>
              <w:rPr>
                <w:sz w:val="1"/>
                <w:szCs w:val="1"/>
                <w:color w:val="auto"/>
              </w:rPr>
            </w:pPr>
          </w:p>
        </w:tc>
      </w:tr>
      <w:tr>
        <w:trPr>
          <w:trHeight w:val="153"/>
        </w:trPr>
        <w:tc>
          <w:tcPr>
            <w:tcW w:w="19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420" w:type="dxa"/>
            <w:vAlign w:val="bottom"/>
          </w:tcPr>
          <w:p>
            <w:pPr>
              <w:ind w:left="40"/>
              <w:spacing w:after="0" w:line="153" w:lineRule="exact"/>
              <w:rPr>
                <w:sz w:val="20"/>
                <w:szCs w:val="20"/>
                <w:color w:val="auto"/>
              </w:rPr>
            </w:pPr>
            <w:r>
              <w:rPr>
                <w:rFonts w:ascii="Arial" w:cs="Arial" w:eastAsia="Arial" w:hAnsi="Arial"/>
                <w:sz w:val="14"/>
                <w:szCs w:val="14"/>
                <w:color w:val="231F20"/>
              </w:rPr>
              <w:t>Chief Human Resources Officer</w:t>
            </w:r>
          </w:p>
        </w:tc>
        <w:tc>
          <w:tcPr>
            <w:tcW w:w="920" w:type="dxa"/>
            <w:vAlign w:val="bottom"/>
            <w:vMerge w:val="continue"/>
          </w:tcPr>
          <w:p>
            <w:pPr>
              <w:spacing w:after="0"/>
              <w:rPr>
                <w:sz w:val="13"/>
                <w:szCs w:val="13"/>
                <w:color w:val="auto"/>
              </w:rPr>
            </w:pPr>
          </w:p>
        </w:tc>
        <w:tc>
          <w:tcPr>
            <w:tcW w:w="780" w:type="dxa"/>
            <w:vAlign w:val="bottom"/>
            <w:vMerge w:val="continue"/>
          </w:tcPr>
          <w:p>
            <w:pPr>
              <w:spacing w:after="0"/>
              <w:rPr>
                <w:sz w:val="13"/>
                <w:szCs w:val="13"/>
                <w:color w:val="auto"/>
              </w:rPr>
            </w:pPr>
          </w:p>
        </w:tc>
        <w:tc>
          <w:tcPr>
            <w:tcW w:w="1120" w:type="dxa"/>
            <w:vAlign w:val="bottom"/>
            <w:vMerge w:val="continue"/>
          </w:tcPr>
          <w:p>
            <w:pPr>
              <w:spacing w:after="0"/>
              <w:rPr>
                <w:sz w:val="13"/>
                <w:szCs w:val="13"/>
                <w:color w:val="auto"/>
              </w:rPr>
            </w:pPr>
          </w:p>
        </w:tc>
        <w:tc>
          <w:tcPr>
            <w:tcW w:w="72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8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83"/>
        </w:trPr>
        <w:tc>
          <w:tcPr>
            <w:tcW w:w="19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420" w:type="dxa"/>
            <w:vAlign w:val="bottom"/>
          </w:tcPr>
          <w:p>
            <w:pPr>
              <w:ind w:left="40"/>
              <w:spacing w:after="0"/>
              <w:rPr>
                <w:sz w:val="20"/>
                <w:szCs w:val="20"/>
                <w:color w:val="auto"/>
              </w:rPr>
            </w:pPr>
            <w:r>
              <w:rPr>
                <w:rFonts w:ascii="Arial" w:cs="Arial" w:eastAsia="Arial" w:hAnsi="Arial"/>
                <w:sz w:val="14"/>
                <w:szCs w:val="14"/>
                <w:color w:val="231F20"/>
              </w:rPr>
              <w:t>United Technologies Corporation</w:t>
            </w: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3"/>
        </w:trPr>
        <w:tc>
          <w:tcPr>
            <w:tcW w:w="1900" w:type="dxa"/>
            <w:vAlign w:val="bottom"/>
            <w:tcBorders>
              <w:bottom w:val="single" w:sz="8" w:color="231F20"/>
            </w:tcBorders>
          </w:tcPr>
          <w:p>
            <w:pPr>
              <w:spacing w:after="0"/>
              <w:rPr>
                <w:sz w:val="2"/>
                <w:szCs w:val="2"/>
                <w:color w:val="auto"/>
              </w:rPr>
            </w:pPr>
          </w:p>
        </w:tc>
        <w:tc>
          <w:tcPr>
            <w:tcW w:w="500" w:type="dxa"/>
            <w:vAlign w:val="bottom"/>
            <w:tcBorders>
              <w:bottom w:val="single" w:sz="8" w:color="231F20"/>
            </w:tcBorders>
          </w:tcPr>
          <w:p>
            <w:pPr>
              <w:spacing w:after="0"/>
              <w:rPr>
                <w:sz w:val="2"/>
                <w:szCs w:val="2"/>
                <w:color w:val="auto"/>
              </w:rPr>
            </w:pPr>
          </w:p>
        </w:tc>
        <w:tc>
          <w:tcPr>
            <w:tcW w:w="760" w:type="dxa"/>
            <w:vAlign w:val="bottom"/>
            <w:tcBorders>
              <w:bottom w:val="single" w:sz="8" w:color="231F20"/>
            </w:tcBorders>
          </w:tcPr>
          <w:p>
            <w:pPr>
              <w:spacing w:after="0"/>
              <w:rPr>
                <w:sz w:val="2"/>
                <w:szCs w:val="2"/>
                <w:color w:val="auto"/>
              </w:rPr>
            </w:pPr>
          </w:p>
        </w:tc>
        <w:tc>
          <w:tcPr>
            <w:tcW w:w="2420" w:type="dxa"/>
            <w:vAlign w:val="bottom"/>
            <w:tcBorders>
              <w:bottom w:val="single" w:sz="8" w:color="231F20"/>
            </w:tcBorders>
          </w:tcPr>
          <w:p>
            <w:pPr>
              <w:spacing w:after="0"/>
              <w:rPr>
                <w:sz w:val="2"/>
                <w:szCs w:val="2"/>
                <w:color w:val="auto"/>
              </w:rPr>
            </w:pPr>
          </w:p>
        </w:tc>
        <w:tc>
          <w:tcPr>
            <w:tcW w:w="920" w:type="dxa"/>
            <w:vAlign w:val="bottom"/>
            <w:tcBorders>
              <w:bottom w:val="single" w:sz="8" w:color="231F20"/>
            </w:tcBorders>
          </w:tcPr>
          <w:p>
            <w:pPr>
              <w:spacing w:after="0"/>
              <w:rPr>
                <w:sz w:val="2"/>
                <w:szCs w:val="2"/>
                <w:color w:val="auto"/>
              </w:rPr>
            </w:pPr>
          </w:p>
        </w:tc>
        <w:tc>
          <w:tcPr>
            <w:tcW w:w="780" w:type="dxa"/>
            <w:vAlign w:val="bottom"/>
            <w:tcBorders>
              <w:bottom w:val="single" w:sz="8" w:color="231F20"/>
            </w:tcBorders>
          </w:tcPr>
          <w:p>
            <w:pPr>
              <w:spacing w:after="0"/>
              <w:rPr>
                <w:sz w:val="2"/>
                <w:szCs w:val="2"/>
                <w:color w:val="auto"/>
              </w:rPr>
            </w:pPr>
          </w:p>
        </w:tc>
        <w:tc>
          <w:tcPr>
            <w:tcW w:w="1120" w:type="dxa"/>
            <w:vAlign w:val="bottom"/>
            <w:tcBorders>
              <w:bottom w:val="single" w:sz="8" w:color="231F20"/>
            </w:tcBorders>
          </w:tcPr>
          <w:p>
            <w:pPr>
              <w:spacing w:after="0"/>
              <w:rPr>
                <w:sz w:val="2"/>
                <w:szCs w:val="2"/>
                <w:color w:val="auto"/>
              </w:rPr>
            </w:pPr>
          </w:p>
        </w:tc>
        <w:tc>
          <w:tcPr>
            <w:tcW w:w="720" w:type="dxa"/>
            <w:vAlign w:val="bottom"/>
            <w:tcBorders>
              <w:bottom w:val="single" w:sz="8" w:color="231F20"/>
            </w:tcBorders>
          </w:tcPr>
          <w:p>
            <w:pPr>
              <w:spacing w:after="0"/>
              <w:rPr>
                <w:sz w:val="2"/>
                <w:szCs w:val="2"/>
                <w:color w:val="auto"/>
              </w:rPr>
            </w:pPr>
          </w:p>
        </w:tc>
        <w:tc>
          <w:tcPr>
            <w:tcW w:w="1280" w:type="dxa"/>
            <w:vAlign w:val="bottom"/>
            <w:tcBorders>
              <w:bottom w:val="single" w:sz="8" w:color="231F20"/>
            </w:tcBorders>
          </w:tcPr>
          <w:p>
            <w:pPr>
              <w:spacing w:after="0"/>
              <w:rPr>
                <w:sz w:val="2"/>
                <w:szCs w:val="2"/>
                <w:color w:val="auto"/>
              </w:rPr>
            </w:pPr>
          </w:p>
        </w:tc>
        <w:tc>
          <w:tcPr>
            <w:tcW w:w="840" w:type="dxa"/>
            <w:vAlign w:val="bottom"/>
            <w:tcBorders>
              <w:bottom w:val="single" w:sz="8" w:color="231F20"/>
            </w:tcBorders>
          </w:tcPr>
          <w:p>
            <w:pPr>
              <w:spacing w:after="0"/>
              <w:rPr>
                <w:sz w:val="2"/>
                <w:szCs w:val="2"/>
                <w:color w:val="auto"/>
              </w:rPr>
            </w:pPr>
          </w:p>
        </w:tc>
        <w:tc>
          <w:tcPr>
            <w:tcW w:w="0" w:type="dxa"/>
            <w:vAlign w:val="bottom"/>
          </w:tcPr>
          <w:p>
            <w:pPr>
              <w:spacing w:after="0"/>
              <w:rPr>
                <w:sz w:val="1"/>
                <w:szCs w:val="1"/>
                <w:color w:val="auto"/>
              </w:rPr>
            </w:pPr>
          </w:p>
        </w:tc>
      </w:tr>
      <w:tr>
        <w:trPr>
          <w:trHeight w:val="185"/>
        </w:trPr>
        <w:tc>
          <w:tcPr>
            <w:tcW w:w="1900" w:type="dxa"/>
            <w:vAlign w:val="bottom"/>
          </w:tcPr>
          <w:p>
            <w:pPr>
              <w:spacing w:after="0"/>
              <w:rPr>
                <w:sz w:val="20"/>
                <w:szCs w:val="20"/>
                <w:color w:val="auto"/>
              </w:rPr>
            </w:pPr>
            <w:r>
              <w:rPr>
                <w:rFonts w:ascii="Arial" w:cs="Arial" w:eastAsia="Arial" w:hAnsi="Arial"/>
                <w:sz w:val="15"/>
                <w:szCs w:val="15"/>
                <w:b w:val="1"/>
                <w:bCs w:val="1"/>
                <w:color w:val="455986"/>
              </w:rPr>
              <w:t>Christopher H. Franklin</w:t>
            </w:r>
          </w:p>
        </w:tc>
        <w:tc>
          <w:tcPr>
            <w:tcW w:w="500" w:type="dxa"/>
            <w:vAlign w:val="bottom"/>
          </w:tcPr>
          <w:p>
            <w:pPr>
              <w:jc w:val="center"/>
              <w:ind w:left="4"/>
              <w:spacing w:after="0"/>
              <w:rPr>
                <w:sz w:val="20"/>
                <w:szCs w:val="20"/>
                <w:color w:val="auto"/>
              </w:rPr>
            </w:pPr>
            <w:r>
              <w:rPr>
                <w:rFonts w:ascii="Arial" w:cs="Arial" w:eastAsia="Arial" w:hAnsi="Arial"/>
                <w:sz w:val="15"/>
                <w:szCs w:val="15"/>
                <w:color w:val="231F20"/>
              </w:rPr>
              <w:t>55</w:t>
            </w:r>
          </w:p>
        </w:tc>
        <w:tc>
          <w:tcPr>
            <w:tcW w:w="760" w:type="dxa"/>
            <w:vAlign w:val="bottom"/>
          </w:tcPr>
          <w:p>
            <w:pPr>
              <w:jc w:val="center"/>
              <w:spacing w:after="0"/>
              <w:rPr>
                <w:sz w:val="20"/>
                <w:szCs w:val="20"/>
                <w:color w:val="auto"/>
              </w:rPr>
            </w:pPr>
            <w:r>
              <w:rPr>
                <w:rFonts w:ascii="Arial" w:cs="Arial" w:eastAsia="Arial" w:hAnsi="Arial"/>
                <w:sz w:val="15"/>
                <w:szCs w:val="15"/>
                <w:color w:val="231F20"/>
              </w:rPr>
              <w:t>2015</w:t>
            </w:r>
          </w:p>
        </w:tc>
        <w:tc>
          <w:tcPr>
            <w:tcW w:w="2420" w:type="dxa"/>
            <w:vAlign w:val="bottom"/>
          </w:tcPr>
          <w:p>
            <w:pPr>
              <w:ind w:left="40"/>
              <w:spacing w:after="0"/>
              <w:rPr>
                <w:sz w:val="20"/>
                <w:szCs w:val="20"/>
                <w:color w:val="auto"/>
              </w:rPr>
            </w:pPr>
            <w:r>
              <w:rPr>
                <w:rFonts w:ascii="Arial" w:cs="Arial" w:eastAsia="Arial" w:hAnsi="Arial"/>
                <w:sz w:val="14"/>
                <w:szCs w:val="14"/>
                <w:color w:val="231F20"/>
              </w:rPr>
              <w:t>Chairman, President and Chief</w:t>
            </w:r>
          </w:p>
        </w:tc>
        <w:tc>
          <w:tcPr>
            <w:tcW w:w="920" w:type="dxa"/>
            <w:vAlign w:val="bottom"/>
            <w:vMerge w:val="restart"/>
          </w:tcPr>
          <w:p>
            <w:pPr>
              <w:jc w:val="center"/>
              <w:spacing w:after="0"/>
              <w:rPr>
                <w:sz w:val="20"/>
                <w:szCs w:val="20"/>
                <w:color w:val="auto"/>
              </w:rPr>
            </w:pPr>
            <w:r>
              <w:rPr>
                <w:rFonts w:ascii="Arial" w:cs="Arial" w:eastAsia="Arial" w:hAnsi="Arial"/>
                <w:sz w:val="15"/>
                <w:szCs w:val="15"/>
                <w:color w:val="231F20"/>
                <w:w w:val="95"/>
              </w:rPr>
              <w:t>0</w:t>
            </w:r>
          </w:p>
        </w:tc>
        <w:tc>
          <w:tcPr>
            <w:tcW w:w="7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5"/>
        </w:trPr>
        <w:tc>
          <w:tcPr>
            <w:tcW w:w="1900" w:type="dxa"/>
            <w:vAlign w:val="bottom"/>
          </w:tcPr>
          <w:p>
            <w:pPr>
              <w:spacing w:after="0"/>
              <w:rPr>
                <w:sz w:val="20"/>
                <w:szCs w:val="20"/>
                <w:color w:val="auto"/>
              </w:rPr>
            </w:pPr>
            <w:r>
              <w:rPr>
                <w:rFonts w:ascii="Arial" w:cs="Arial" w:eastAsia="Arial" w:hAnsi="Arial"/>
                <w:sz w:val="14"/>
                <w:szCs w:val="14"/>
                <w:color w:val="auto"/>
              </w:rPr>
              <w:t>Chairman</w:t>
            </w:r>
          </w:p>
        </w:tc>
        <w:tc>
          <w:tcPr>
            <w:tcW w:w="5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420" w:type="dxa"/>
            <w:vAlign w:val="bottom"/>
          </w:tcPr>
          <w:p>
            <w:pPr>
              <w:ind w:left="40"/>
              <w:spacing w:after="0"/>
              <w:rPr>
                <w:sz w:val="20"/>
                <w:szCs w:val="20"/>
                <w:color w:val="auto"/>
              </w:rPr>
            </w:pPr>
            <w:r>
              <w:rPr>
                <w:rFonts w:ascii="Arial" w:cs="Arial" w:eastAsia="Arial" w:hAnsi="Arial"/>
                <w:sz w:val="14"/>
                <w:szCs w:val="14"/>
                <w:color w:val="231F20"/>
              </w:rPr>
              <w:t>Executive Officer</w:t>
            </w:r>
          </w:p>
        </w:tc>
        <w:tc>
          <w:tcPr>
            <w:tcW w:w="920" w:type="dxa"/>
            <w:vAlign w:val="bottom"/>
            <w:vMerge w:val="continue"/>
          </w:tcPr>
          <w:p>
            <w:pPr>
              <w:spacing w:after="0"/>
              <w:rPr>
                <w:sz w:val="14"/>
                <w:szCs w:val="14"/>
                <w:color w:val="auto"/>
              </w:rPr>
            </w:pPr>
          </w:p>
        </w:tc>
        <w:tc>
          <w:tcPr>
            <w:tcW w:w="780" w:type="dxa"/>
            <w:vAlign w:val="bottom"/>
          </w:tcPr>
          <w:p>
            <w:pPr>
              <w:jc w:val="center"/>
              <w:spacing w:after="0"/>
              <w:rPr>
                <w:sz w:val="20"/>
                <w:szCs w:val="20"/>
                <w:color w:val="auto"/>
              </w:rPr>
            </w:pPr>
            <w:r>
              <w:rPr>
                <w:rFonts w:ascii="Arial" w:cs="Arial" w:eastAsia="Arial" w:hAnsi="Arial"/>
                <w:sz w:val="14"/>
                <w:szCs w:val="14"/>
                <w:color w:val="455986"/>
                <w:w w:val="94"/>
              </w:rPr>
              <w:t>●</w:t>
            </w:r>
          </w:p>
        </w:tc>
        <w:tc>
          <w:tcPr>
            <w:tcW w:w="1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80" w:type="dxa"/>
            <w:vAlign w:val="bottom"/>
          </w:tcPr>
          <w:p>
            <w:pPr>
              <w:jc w:val="center"/>
              <w:spacing w:after="0"/>
              <w:rPr>
                <w:sz w:val="20"/>
                <w:szCs w:val="20"/>
                <w:color w:val="auto"/>
              </w:rPr>
            </w:pPr>
            <w:r>
              <w:rPr>
                <w:rFonts w:ascii="Arial" w:cs="Arial" w:eastAsia="Arial" w:hAnsi="Arial"/>
                <w:sz w:val="14"/>
                <w:szCs w:val="14"/>
                <w:color w:val="455986"/>
                <w:w w:val="94"/>
              </w:rPr>
              <w:t>●</w:t>
            </w: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19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420" w:type="dxa"/>
            <w:vAlign w:val="bottom"/>
          </w:tcPr>
          <w:p>
            <w:pPr>
              <w:ind w:left="40"/>
              <w:spacing w:after="0"/>
              <w:rPr>
                <w:sz w:val="20"/>
                <w:szCs w:val="20"/>
                <w:color w:val="auto"/>
              </w:rPr>
            </w:pPr>
            <w:r>
              <w:rPr>
                <w:rFonts w:ascii="Arial" w:cs="Arial" w:eastAsia="Arial" w:hAnsi="Arial"/>
                <w:sz w:val="14"/>
                <w:szCs w:val="14"/>
                <w:color w:val="231F20"/>
              </w:rPr>
              <w:t>Essential Utilities, Inc.</w:t>
            </w: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1900" w:type="dxa"/>
            <w:vAlign w:val="bottom"/>
            <w:tcBorders>
              <w:bottom w:val="single" w:sz="8" w:color="231F20"/>
            </w:tcBorders>
          </w:tcPr>
          <w:p>
            <w:pPr>
              <w:spacing w:after="0" w:line="20" w:lineRule="exact"/>
              <w:rPr>
                <w:sz w:val="1"/>
                <w:szCs w:val="1"/>
                <w:color w:val="auto"/>
              </w:rPr>
            </w:pPr>
          </w:p>
        </w:tc>
        <w:tc>
          <w:tcPr>
            <w:tcW w:w="500" w:type="dxa"/>
            <w:vAlign w:val="bottom"/>
            <w:tcBorders>
              <w:bottom w:val="single" w:sz="8" w:color="231F20"/>
            </w:tcBorders>
          </w:tcPr>
          <w:p>
            <w:pPr>
              <w:spacing w:after="0" w:line="20" w:lineRule="exact"/>
              <w:rPr>
                <w:sz w:val="1"/>
                <w:szCs w:val="1"/>
                <w:color w:val="auto"/>
              </w:rPr>
            </w:pPr>
          </w:p>
        </w:tc>
        <w:tc>
          <w:tcPr>
            <w:tcW w:w="760" w:type="dxa"/>
            <w:vAlign w:val="bottom"/>
            <w:tcBorders>
              <w:bottom w:val="single" w:sz="8" w:color="231F20"/>
            </w:tcBorders>
          </w:tcPr>
          <w:p>
            <w:pPr>
              <w:spacing w:after="0" w:line="20" w:lineRule="exact"/>
              <w:rPr>
                <w:sz w:val="1"/>
                <w:szCs w:val="1"/>
                <w:color w:val="auto"/>
              </w:rPr>
            </w:pPr>
          </w:p>
        </w:tc>
        <w:tc>
          <w:tcPr>
            <w:tcW w:w="2420" w:type="dxa"/>
            <w:vAlign w:val="bottom"/>
            <w:tcBorders>
              <w:bottom w:val="single" w:sz="8" w:color="231F20"/>
            </w:tcBorders>
          </w:tcPr>
          <w:p>
            <w:pPr>
              <w:spacing w:after="0" w:line="20" w:lineRule="exact"/>
              <w:rPr>
                <w:sz w:val="1"/>
                <w:szCs w:val="1"/>
                <w:color w:val="auto"/>
              </w:rPr>
            </w:pPr>
          </w:p>
        </w:tc>
        <w:tc>
          <w:tcPr>
            <w:tcW w:w="920" w:type="dxa"/>
            <w:vAlign w:val="bottom"/>
            <w:tcBorders>
              <w:bottom w:val="single" w:sz="8" w:color="231F20"/>
            </w:tcBorders>
          </w:tcPr>
          <w:p>
            <w:pPr>
              <w:spacing w:after="0" w:line="20" w:lineRule="exact"/>
              <w:rPr>
                <w:sz w:val="1"/>
                <w:szCs w:val="1"/>
                <w:color w:val="auto"/>
              </w:rPr>
            </w:pPr>
          </w:p>
        </w:tc>
        <w:tc>
          <w:tcPr>
            <w:tcW w:w="780" w:type="dxa"/>
            <w:vAlign w:val="bottom"/>
            <w:tcBorders>
              <w:bottom w:val="single" w:sz="8" w:color="231F20"/>
            </w:tcBorders>
          </w:tcPr>
          <w:p>
            <w:pPr>
              <w:spacing w:after="0" w:line="20" w:lineRule="exact"/>
              <w:rPr>
                <w:sz w:val="1"/>
                <w:szCs w:val="1"/>
                <w:color w:val="auto"/>
              </w:rPr>
            </w:pPr>
          </w:p>
        </w:tc>
        <w:tc>
          <w:tcPr>
            <w:tcW w:w="1120" w:type="dxa"/>
            <w:vAlign w:val="bottom"/>
            <w:tcBorders>
              <w:bottom w:val="single" w:sz="8" w:color="231F20"/>
            </w:tcBorders>
          </w:tcPr>
          <w:p>
            <w:pPr>
              <w:spacing w:after="0" w:line="20" w:lineRule="exact"/>
              <w:rPr>
                <w:sz w:val="1"/>
                <w:szCs w:val="1"/>
                <w:color w:val="auto"/>
              </w:rPr>
            </w:pPr>
          </w:p>
        </w:tc>
        <w:tc>
          <w:tcPr>
            <w:tcW w:w="720" w:type="dxa"/>
            <w:vAlign w:val="bottom"/>
            <w:tcBorders>
              <w:bottom w:val="single" w:sz="8" w:color="231F20"/>
            </w:tcBorders>
          </w:tcPr>
          <w:p>
            <w:pPr>
              <w:spacing w:after="0" w:line="20" w:lineRule="exact"/>
              <w:rPr>
                <w:sz w:val="1"/>
                <w:szCs w:val="1"/>
                <w:color w:val="auto"/>
              </w:rPr>
            </w:pPr>
          </w:p>
        </w:tc>
        <w:tc>
          <w:tcPr>
            <w:tcW w:w="1280" w:type="dxa"/>
            <w:vAlign w:val="bottom"/>
            <w:tcBorders>
              <w:bottom w:val="single" w:sz="8" w:color="231F20"/>
            </w:tcBorders>
          </w:tcPr>
          <w:p>
            <w:pPr>
              <w:spacing w:after="0" w:line="20" w:lineRule="exact"/>
              <w:rPr>
                <w:sz w:val="1"/>
                <w:szCs w:val="1"/>
                <w:color w:val="auto"/>
              </w:rPr>
            </w:pPr>
          </w:p>
        </w:tc>
        <w:tc>
          <w:tcPr>
            <w:tcW w:w="840" w:type="dxa"/>
            <w:vAlign w:val="bottom"/>
            <w:tcBorders>
              <w:bottom w:val="single" w:sz="8" w:color="231F20"/>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5"/>
        </w:trPr>
        <w:tc>
          <w:tcPr>
            <w:tcW w:w="1900" w:type="dxa"/>
            <w:vAlign w:val="bottom"/>
          </w:tcPr>
          <w:p>
            <w:pPr>
              <w:spacing w:after="0"/>
              <w:rPr>
                <w:sz w:val="20"/>
                <w:szCs w:val="20"/>
                <w:color w:val="auto"/>
              </w:rPr>
            </w:pPr>
            <w:r>
              <w:rPr>
                <w:rFonts w:ascii="Arial" w:cs="Arial" w:eastAsia="Arial" w:hAnsi="Arial"/>
                <w:sz w:val="15"/>
                <w:szCs w:val="15"/>
                <w:b w:val="1"/>
                <w:bCs w:val="1"/>
                <w:color w:val="455986"/>
              </w:rPr>
              <w:t>Daniel J. Hilferty</w:t>
            </w:r>
          </w:p>
        </w:tc>
        <w:tc>
          <w:tcPr>
            <w:tcW w:w="500" w:type="dxa"/>
            <w:vAlign w:val="bottom"/>
          </w:tcPr>
          <w:p>
            <w:pPr>
              <w:jc w:val="center"/>
              <w:ind w:left="4"/>
              <w:spacing w:after="0"/>
              <w:rPr>
                <w:sz w:val="20"/>
                <w:szCs w:val="20"/>
                <w:color w:val="auto"/>
              </w:rPr>
            </w:pPr>
            <w:r>
              <w:rPr>
                <w:rFonts w:ascii="Arial" w:cs="Arial" w:eastAsia="Arial" w:hAnsi="Arial"/>
                <w:sz w:val="15"/>
                <w:szCs w:val="15"/>
                <w:color w:val="231F20"/>
              </w:rPr>
              <w:t>64</w:t>
            </w:r>
          </w:p>
        </w:tc>
        <w:tc>
          <w:tcPr>
            <w:tcW w:w="760" w:type="dxa"/>
            <w:vAlign w:val="bottom"/>
          </w:tcPr>
          <w:p>
            <w:pPr>
              <w:jc w:val="center"/>
              <w:spacing w:after="0"/>
              <w:rPr>
                <w:sz w:val="20"/>
                <w:szCs w:val="20"/>
                <w:color w:val="auto"/>
              </w:rPr>
            </w:pPr>
            <w:r>
              <w:rPr>
                <w:rFonts w:ascii="Arial" w:cs="Arial" w:eastAsia="Arial" w:hAnsi="Arial"/>
                <w:sz w:val="15"/>
                <w:szCs w:val="15"/>
                <w:color w:val="231F20"/>
              </w:rPr>
              <w:t>2017</w:t>
            </w:r>
          </w:p>
        </w:tc>
        <w:tc>
          <w:tcPr>
            <w:tcW w:w="2420" w:type="dxa"/>
            <w:vAlign w:val="bottom"/>
          </w:tcPr>
          <w:p>
            <w:pPr>
              <w:ind w:left="40"/>
              <w:spacing w:after="0"/>
              <w:rPr>
                <w:sz w:val="20"/>
                <w:szCs w:val="20"/>
                <w:color w:val="auto"/>
              </w:rPr>
            </w:pPr>
            <w:r>
              <w:rPr>
                <w:rFonts w:ascii="Arial" w:cs="Arial" w:eastAsia="Arial" w:hAnsi="Arial"/>
                <w:sz w:val="14"/>
                <w:szCs w:val="14"/>
                <w:color w:val="231F20"/>
                <w:w w:val="99"/>
              </w:rPr>
              <w:t>Former President and Chief Executive</w:t>
            </w:r>
          </w:p>
        </w:tc>
        <w:tc>
          <w:tcPr>
            <w:tcW w:w="920" w:type="dxa"/>
            <w:vAlign w:val="bottom"/>
            <w:vMerge w:val="restart"/>
          </w:tcPr>
          <w:p>
            <w:pPr>
              <w:jc w:val="center"/>
              <w:spacing w:after="0"/>
              <w:rPr>
                <w:sz w:val="20"/>
                <w:szCs w:val="20"/>
                <w:color w:val="auto"/>
              </w:rPr>
            </w:pPr>
            <w:r>
              <w:rPr>
                <w:rFonts w:ascii="Arial" w:cs="Arial" w:eastAsia="Arial" w:hAnsi="Arial"/>
                <w:sz w:val="15"/>
                <w:szCs w:val="15"/>
                <w:color w:val="231F20"/>
                <w:w w:val="95"/>
              </w:rPr>
              <w:t>0</w:t>
            </w:r>
          </w:p>
        </w:tc>
        <w:tc>
          <w:tcPr>
            <w:tcW w:w="780" w:type="dxa"/>
            <w:vAlign w:val="bottom"/>
            <w:vMerge w:val="restart"/>
          </w:tcPr>
          <w:p>
            <w:pPr>
              <w:jc w:val="center"/>
              <w:spacing w:after="0"/>
              <w:rPr>
                <w:sz w:val="20"/>
                <w:szCs w:val="20"/>
                <w:color w:val="auto"/>
              </w:rPr>
            </w:pPr>
            <w:r>
              <w:rPr>
                <w:rFonts w:ascii="Arial" w:cs="Arial" w:eastAsia="Arial" w:hAnsi="Arial"/>
                <w:sz w:val="14"/>
                <w:szCs w:val="14"/>
                <w:color w:val="455986"/>
                <w:w w:val="94"/>
              </w:rPr>
              <w:t>●</w:t>
            </w:r>
          </w:p>
        </w:tc>
        <w:tc>
          <w:tcPr>
            <w:tcW w:w="1120" w:type="dxa"/>
            <w:vAlign w:val="bottom"/>
            <w:vMerge w:val="restart"/>
          </w:tcPr>
          <w:p>
            <w:pPr>
              <w:jc w:val="center"/>
              <w:spacing w:after="0"/>
              <w:rPr>
                <w:sz w:val="20"/>
                <w:szCs w:val="20"/>
                <w:color w:val="auto"/>
              </w:rPr>
            </w:pPr>
            <w:r>
              <w:rPr>
                <w:rFonts w:ascii="Arial" w:cs="Arial" w:eastAsia="Arial" w:hAnsi="Arial"/>
                <w:sz w:val="14"/>
                <w:szCs w:val="14"/>
                <w:b w:val="1"/>
                <w:bCs w:val="1"/>
                <w:color w:val="4395D4"/>
                <w:w w:val="94"/>
              </w:rPr>
              <w:t>CHAIR</w:t>
            </w:r>
          </w:p>
        </w:tc>
        <w:tc>
          <w:tcPr>
            <w:tcW w:w="72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840" w:type="dxa"/>
            <w:vAlign w:val="bottom"/>
            <w:vMerge w:val="restart"/>
          </w:tcPr>
          <w:p>
            <w:pPr>
              <w:jc w:val="center"/>
              <w:spacing w:after="0"/>
              <w:rPr>
                <w:sz w:val="20"/>
                <w:szCs w:val="20"/>
                <w:color w:val="auto"/>
              </w:rPr>
            </w:pPr>
            <w:r>
              <w:rPr>
                <w:rFonts w:ascii="Arial" w:cs="Arial" w:eastAsia="Arial" w:hAnsi="Arial"/>
                <w:sz w:val="14"/>
                <w:szCs w:val="14"/>
                <w:color w:val="455986"/>
                <w:w w:val="94"/>
              </w:rPr>
              <w:t>●</w:t>
            </w:r>
          </w:p>
        </w:tc>
        <w:tc>
          <w:tcPr>
            <w:tcW w:w="0" w:type="dxa"/>
            <w:vAlign w:val="bottom"/>
          </w:tcPr>
          <w:p>
            <w:pPr>
              <w:spacing w:after="0"/>
              <w:rPr>
                <w:sz w:val="1"/>
                <w:szCs w:val="1"/>
                <w:color w:val="auto"/>
              </w:rPr>
            </w:pPr>
          </w:p>
        </w:tc>
      </w:tr>
      <w:tr>
        <w:trPr>
          <w:trHeight w:val="125"/>
        </w:trPr>
        <w:tc>
          <w:tcPr>
            <w:tcW w:w="1900" w:type="dxa"/>
            <w:vAlign w:val="bottom"/>
            <w:vMerge w:val="restart"/>
          </w:tcPr>
          <w:p>
            <w:pPr>
              <w:spacing w:after="0"/>
              <w:rPr>
                <w:sz w:val="20"/>
                <w:szCs w:val="20"/>
                <w:color w:val="auto"/>
              </w:rPr>
            </w:pPr>
            <w:r>
              <w:rPr>
                <w:rFonts w:ascii="Arial" w:cs="Arial" w:eastAsia="Arial" w:hAnsi="Arial"/>
                <w:sz w:val="14"/>
                <w:szCs w:val="14"/>
                <w:color w:val="231F20"/>
              </w:rPr>
              <w:t>Lead Independent Director</w:t>
            </w:r>
          </w:p>
        </w:tc>
        <w:tc>
          <w:tcPr>
            <w:tcW w:w="5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420" w:type="dxa"/>
            <w:vAlign w:val="bottom"/>
            <w:vMerge w:val="restart"/>
          </w:tcPr>
          <w:p>
            <w:pPr>
              <w:ind w:left="40"/>
              <w:spacing w:after="0"/>
              <w:rPr>
                <w:sz w:val="20"/>
                <w:szCs w:val="20"/>
                <w:color w:val="auto"/>
              </w:rPr>
            </w:pPr>
            <w:r>
              <w:rPr>
                <w:rFonts w:ascii="Arial" w:cs="Arial" w:eastAsia="Arial" w:hAnsi="Arial"/>
                <w:sz w:val="14"/>
                <w:szCs w:val="14"/>
                <w:color w:val="231F20"/>
              </w:rPr>
              <w:t>Officer Independence Health Group</w:t>
            </w:r>
          </w:p>
        </w:tc>
        <w:tc>
          <w:tcPr>
            <w:tcW w:w="920" w:type="dxa"/>
            <w:vAlign w:val="bottom"/>
            <w:vMerge w:val="continue"/>
          </w:tcPr>
          <w:p>
            <w:pPr>
              <w:spacing w:after="0"/>
              <w:rPr>
                <w:sz w:val="10"/>
                <w:szCs w:val="10"/>
                <w:color w:val="auto"/>
              </w:rPr>
            </w:pPr>
          </w:p>
        </w:tc>
        <w:tc>
          <w:tcPr>
            <w:tcW w:w="780" w:type="dxa"/>
            <w:vAlign w:val="bottom"/>
            <w:vMerge w:val="continue"/>
          </w:tcPr>
          <w:p>
            <w:pPr>
              <w:spacing w:after="0"/>
              <w:rPr>
                <w:sz w:val="10"/>
                <w:szCs w:val="10"/>
                <w:color w:val="auto"/>
              </w:rPr>
            </w:pPr>
          </w:p>
        </w:tc>
        <w:tc>
          <w:tcPr>
            <w:tcW w:w="1120" w:type="dxa"/>
            <w:vAlign w:val="bottom"/>
            <w:vMerge w:val="continue"/>
          </w:tcPr>
          <w:p>
            <w:pPr>
              <w:spacing w:after="0"/>
              <w:rPr>
                <w:sz w:val="10"/>
                <w:szCs w:val="10"/>
                <w:color w:val="auto"/>
              </w:rPr>
            </w:pPr>
          </w:p>
        </w:tc>
        <w:tc>
          <w:tcPr>
            <w:tcW w:w="72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8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83"/>
        </w:trPr>
        <w:tc>
          <w:tcPr>
            <w:tcW w:w="1900" w:type="dxa"/>
            <w:vAlign w:val="bottom"/>
            <w:vMerge w:val="continue"/>
          </w:tcPr>
          <w:p>
            <w:pPr>
              <w:spacing w:after="0"/>
              <w:rPr>
                <w:sz w:val="7"/>
                <w:szCs w:val="7"/>
                <w:color w:val="auto"/>
              </w:rPr>
            </w:pPr>
          </w:p>
        </w:tc>
        <w:tc>
          <w:tcPr>
            <w:tcW w:w="500" w:type="dxa"/>
            <w:vAlign w:val="bottom"/>
          </w:tcPr>
          <w:p>
            <w:pPr>
              <w:spacing w:after="0"/>
              <w:rPr>
                <w:sz w:val="7"/>
                <w:szCs w:val="7"/>
                <w:color w:val="auto"/>
              </w:rPr>
            </w:pPr>
          </w:p>
        </w:tc>
        <w:tc>
          <w:tcPr>
            <w:tcW w:w="760" w:type="dxa"/>
            <w:vAlign w:val="bottom"/>
          </w:tcPr>
          <w:p>
            <w:pPr>
              <w:spacing w:after="0"/>
              <w:rPr>
                <w:sz w:val="7"/>
                <w:szCs w:val="7"/>
                <w:color w:val="auto"/>
              </w:rPr>
            </w:pPr>
          </w:p>
        </w:tc>
        <w:tc>
          <w:tcPr>
            <w:tcW w:w="2420" w:type="dxa"/>
            <w:vAlign w:val="bottom"/>
            <w:vMerge w:val="continue"/>
          </w:tcPr>
          <w:p>
            <w:pPr>
              <w:spacing w:after="0"/>
              <w:rPr>
                <w:sz w:val="7"/>
                <w:szCs w:val="7"/>
                <w:color w:val="auto"/>
              </w:rPr>
            </w:pPr>
          </w:p>
        </w:tc>
        <w:tc>
          <w:tcPr>
            <w:tcW w:w="920" w:type="dxa"/>
            <w:vAlign w:val="bottom"/>
          </w:tcPr>
          <w:p>
            <w:pPr>
              <w:spacing w:after="0"/>
              <w:rPr>
                <w:sz w:val="7"/>
                <w:szCs w:val="7"/>
                <w:color w:val="auto"/>
              </w:rPr>
            </w:pPr>
          </w:p>
        </w:tc>
        <w:tc>
          <w:tcPr>
            <w:tcW w:w="780" w:type="dxa"/>
            <w:vAlign w:val="bottom"/>
          </w:tcPr>
          <w:p>
            <w:pPr>
              <w:spacing w:after="0"/>
              <w:rPr>
                <w:sz w:val="7"/>
                <w:szCs w:val="7"/>
                <w:color w:val="auto"/>
              </w:rPr>
            </w:pPr>
          </w:p>
        </w:tc>
        <w:tc>
          <w:tcPr>
            <w:tcW w:w="1120" w:type="dxa"/>
            <w:vAlign w:val="bottom"/>
          </w:tcPr>
          <w:p>
            <w:pPr>
              <w:spacing w:after="0"/>
              <w:rPr>
                <w:sz w:val="7"/>
                <w:szCs w:val="7"/>
                <w:color w:val="auto"/>
              </w:rPr>
            </w:pPr>
          </w:p>
        </w:tc>
        <w:tc>
          <w:tcPr>
            <w:tcW w:w="720" w:type="dxa"/>
            <w:vAlign w:val="bottom"/>
          </w:tcPr>
          <w:p>
            <w:pPr>
              <w:spacing w:after="0"/>
              <w:rPr>
                <w:sz w:val="7"/>
                <w:szCs w:val="7"/>
                <w:color w:val="auto"/>
              </w:rPr>
            </w:pPr>
          </w:p>
        </w:tc>
        <w:tc>
          <w:tcPr>
            <w:tcW w:w="1280" w:type="dxa"/>
            <w:vAlign w:val="bottom"/>
          </w:tcPr>
          <w:p>
            <w:pPr>
              <w:spacing w:after="0"/>
              <w:rPr>
                <w:sz w:val="7"/>
                <w:szCs w:val="7"/>
                <w:color w:val="auto"/>
              </w:rPr>
            </w:pPr>
          </w:p>
        </w:tc>
        <w:tc>
          <w:tcPr>
            <w:tcW w:w="8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33"/>
        </w:trPr>
        <w:tc>
          <w:tcPr>
            <w:tcW w:w="1900" w:type="dxa"/>
            <w:vAlign w:val="bottom"/>
            <w:tcBorders>
              <w:bottom w:val="single" w:sz="8" w:color="231F20"/>
            </w:tcBorders>
          </w:tcPr>
          <w:p>
            <w:pPr>
              <w:spacing w:after="0"/>
              <w:rPr>
                <w:sz w:val="2"/>
                <w:szCs w:val="2"/>
                <w:color w:val="auto"/>
              </w:rPr>
            </w:pPr>
          </w:p>
        </w:tc>
        <w:tc>
          <w:tcPr>
            <w:tcW w:w="500" w:type="dxa"/>
            <w:vAlign w:val="bottom"/>
            <w:tcBorders>
              <w:bottom w:val="single" w:sz="8" w:color="231F20"/>
            </w:tcBorders>
          </w:tcPr>
          <w:p>
            <w:pPr>
              <w:spacing w:after="0"/>
              <w:rPr>
                <w:sz w:val="2"/>
                <w:szCs w:val="2"/>
                <w:color w:val="auto"/>
              </w:rPr>
            </w:pPr>
          </w:p>
        </w:tc>
        <w:tc>
          <w:tcPr>
            <w:tcW w:w="760" w:type="dxa"/>
            <w:vAlign w:val="bottom"/>
            <w:tcBorders>
              <w:bottom w:val="single" w:sz="8" w:color="231F20"/>
            </w:tcBorders>
          </w:tcPr>
          <w:p>
            <w:pPr>
              <w:spacing w:after="0"/>
              <w:rPr>
                <w:sz w:val="2"/>
                <w:szCs w:val="2"/>
                <w:color w:val="auto"/>
              </w:rPr>
            </w:pPr>
          </w:p>
        </w:tc>
        <w:tc>
          <w:tcPr>
            <w:tcW w:w="2420" w:type="dxa"/>
            <w:vAlign w:val="bottom"/>
            <w:tcBorders>
              <w:bottom w:val="single" w:sz="8" w:color="231F20"/>
            </w:tcBorders>
          </w:tcPr>
          <w:p>
            <w:pPr>
              <w:spacing w:after="0"/>
              <w:rPr>
                <w:sz w:val="2"/>
                <w:szCs w:val="2"/>
                <w:color w:val="auto"/>
              </w:rPr>
            </w:pPr>
          </w:p>
        </w:tc>
        <w:tc>
          <w:tcPr>
            <w:tcW w:w="920" w:type="dxa"/>
            <w:vAlign w:val="bottom"/>
            <w:tcBorders>
              <w:bottom w:val="single" w:sz="8" w:color="231F20"/>
            </w:tcBorders>
          </w:tcPr>
          <w:p>
            <w:pPr>
              <w:spacing w:after="0"/>
              <w:rPr>
                <w:sz w:val="2"/>
                <w:szCs w:val="2"/>
                <w:color w:val="auto"/>
              </w:rPr>
            </w:pPr>
          </w:p>
        </w:tc>
        <w:tc>
          <w:tcPr>
            <w:tcW w:w="780" w:type="dxa"/>
            <w:vAlign w:val="bottom"/>
            <w:tcBorders>
              <w:bottom w:val="single" w:sz="8" w:color="231F20"/>
            </w:tcBorders>
          </w:tcPr>
          <w:p>
            <w:pPr>
              <w:spacing w:after="0"/>
              <w:rPr>
                <w:sz w:val="2"/>
                <w:szCs w:val="2"/>
                <w:color w:val="auto"/>
              </w:rPr>
            </w:pPr>
          </w:p>
        </w:tc>
        <w:tc>
          <w:tcPr>
            <w:tcW w:w="1120" w:type="dxa"/>
            <w:vAlign w:val="bottom"/>
            <w:tcBorders>
              <w:bottom w:val="single" w:sz="8" w:color="231F20"/>
            </w:tcBorders>
          </w:tcPr>
          <w:p>
            <w:pPr>
              <w:spacing w:after="0"/>
              <w:rPr>
                <w:sz w:val="2"/>
                <w:szCs w:val="2"/>
                <w:color w:val="auto"/>
              </w:rPr>
            </w:pPr>
          </w:p>
        </w:tc>
        <w:tc>
          <w:tcPr>
            <w:tcW w:w="720" w:type="dxa"/>
            <w:vAlign w:val="bottom"/>
            <w:tcBorders>
              <w:bottom w:val="single" w:sz="8" w:color="231F20"/>
            </w:tcBorders>
          </w:tcPr>
          <w:p>
            <w:pPr>
              <w:spacing w:after="0"/>
              <w:rPr>
                <w:sz w:val="2"/>
                <w:szCs w:val="2"/>
                <w:color w:val="auto"/>
              </w:rPr>
            </w:pPr>
          </w:p>
        </w:tc>
        <w:tc>
          <w:tcPr>
            <w:tcW w:w="1280" w:type="dxa"/>
            <w:vAlign w:val="bottom"/>
            <w:tcBorders>
              <w:bottom w:val="single" w:sz="8" w:color="231F20"/>
            </w:tcBorders>
          </w:tcPr>
          <w:p>
            <w:pPr>
              <w:spacing w:after="0"/>
              <w:rPr>
                <w:sz w:val="2"/>
                <w:szCs w:val="2"/>
                <w:color w:val="auto"/>
              </w:rPr>
            </w:pPr>
          </w:p>
        </w:tc>
        <w:tc>
          <w:tcPr>
            <w:tcW w:w="840" w:type="dxa"/>
            <w:vAlign w:val="bottom"/>
            <w:tcBorders>
              <w:bottom w:val="single" w:sz="8" w:color="231F20"/>
            </w:tcBorders>
          </w:tcPr>
          <w:p>
            <w:pPr>
              <w:spacing w:after="0"/>
              <w:rPr>
                <w:sz w:val="2"/>
                <w:szCs w:val="2"/>
                <w:color w:val="auto"/>
              </w:rPr>
            </w:pPr>
          </w:p>
        </w:tc>
        <w:tc>
          <w:tcPr>
            <w:tcW w:w="0" w:type="dxa"/>
            <w:vAlign w:val="bottom"/>
          </w:tcPr>
          <w:p>
            <w:pPr>
              <w:spacing w:after="0"/>
              <w:rPr>
                <w:sz w:val="1"/>
                <w:szCs w:val="1"/>
                <w:color w:val="auto"/>
              </w:rPr>
            </w:pPr>
          </w:p>
        </w:tc>
      </w:tr>
      <w:tr>
        <w:trPr>
          <w:trHeight w:val="185"/>
        </w:trPr>
        <w:tc>
          <w:tcPr>
            <w:tcW w:w="1900" w:type="dxa"/>
            <w:vAlign w:val="bottom"/>
          </w:tcPr>
          <w:p>
            <w:pPr>
              <w:spacing w:after="0"/>
              <w:rPr>
                <w:sz w:val="20"/>
                <w:szCs w:val="20"/>
                <w:color w:val="auto"/>
              </w:rPr>
            </w:pPr>
            <w:r>
              <w:rPr>
                <w:rFonts w:ascii="Arial" w:cs="Arial" w:eastAsia="Arial" w:hAnsi="Arial"/>
                <w:sz w:val="15"/>
                <w:szCs w:val="15"/>
                <w:b w:val="1"/>
                <w:bCs w:val="1"/>
                <w:color w:val="455986"/>
              </w:rPr>
              <w:t>Francis O. Idehen</w:t>
            </w:r>
          </w:p>
        </w:tc>
        <w:tc>
          <w:tcPr>
            <w:tcW w:w="500" w:type="dxa"/>
            <w:vAlign w:val="bottom"/>
          </w:tcPr>
          <w:p>
            <w:pPr>
              <w:jc w:val="center"/>
              <w:ind w:left="4"/>
              <w:spacing w:after="0"/>
              <w:rPr>
                <w:sz w:val="20"/>
                <w:szCs w:val="20"/>
                <w:color w:val="auto"/>
              </w:rPr>
            </w:pPr>
            <w:r>
              <w:rPr>
                <w:rFonts w:ascii="Arial" w:cs="Arial" w:eastAsia="Arial" w:hAnsi="Arial"/>
                <w:sz w:val="15"/>
                <w:szCs w:val="15"/>
                <w:color w:val="231F20"/>
              </w:rPr>
              <w:t>43</w:t>
            </w:r>
          </w:p>
        </w:tc>
        <w:tc>
          <w:tcPr>
            <w:tcW w:w="760" w:type="dxa"/>
            <w:vAlign w:val="bottom"/>
          </w:tcPr>
          <w:p>
            <w:pPr>
              <w:jc w:val="center"/>
              <w:spacing w:after="0"/>
              <w:rPr>
                <w:sz w:val="20"/>
                <w:szCs w:val="20"/>
                <w:color w:val="auto"/>
              </w:rPr>
            </w:pPr>
            <w:r>
              <w:rPr>
                <w:rFonts w:ascii="Arial" w:cs="Arial" w:eastAsia="Arial" w:hAnsi="Arial"/>
                <w:sz w:val="15"/>
                <w:szCs w:val="15"/>
                <w:color w:val="231F20"/>
              </w:rPr>
              <w:t>2019</w:t>
            </w:r>
          </w:p>
        </w:tc>
        <w:tc>
          <w:tcPr>
            <w:tcW w:w="2420" w:type="dxa"/>
            <w:vAlign w:val="bottom"/>
          </w:tcPr>
          <w:p>
            <w:pPr>
              <w:ind w:left="40"/>
              <w:spacing w:after="0"/>
              <w:rPr>
                <w:sz w:val="20"/>
                <w:szCs w:val="20"/>
                <w:color w:val="auto"/>
              </w:rPr>
            </w:pPr>
            <w:r>
              <w:rPr>
                <w:rFonts w:ascii="Arial" w:cs="Arial" w:eastAsia="Arial" w:hAnsi="Arial"/>
                <w:sz w:val="14"/>
                <w:szCs w:val="14"/>
                <w:color w:val="231F20"/>
              </w:rPr>
              <w:t>Chief Operating Officer GCM</w:t>
            </w:r>
          </w:p>
        </w:tc>
        <w:tc>
          <w:tcPr>
            <w:tcW w:w="920" w:type="dxa"/>
            <w:vAlign w:val="bottom"/>
            <w:vMerge w:val="restart"/>
          </w:tcPr>
          <w:p>
            <w:pPr>
              <w:jc w:val="center"/>
              <w:spacing w:after="0"/>
              <w:rPr>
                <w:sz w:val="20"/>
                <w:szCs w:val="20"/>
                <w:color w:val="auto"/>
              </w:rPr>
            </w:pPr>
            <w:r>
              <w:rPr>
                <w:rFonts w:ascii="Arial" w:cs="Arial" w:eastAsia="Arial" w:hAnsi="Arial"/>
                <w:sz w:val="15"/>
                <w:szCs w:val="15"/>
                <w:color w:val="231F20"/>
                <w:w w:val="95"/>
              </w:rPr>
              <w:t>0</w:t>
            </w:r>
          </w:p>
        </w:tc>
        <w:tc>
          <w:tcPr>
            <w:tcW w:w="7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720" w:type="dxa"/>
            <w:vAlign w:val="bottom"/>
            <w:vMerge w:val="restart"/>
          </w:tcPr>
          <w:p>
            <w:pPr>
              <w:jc w:val="center"/>
              <w:spacing w:after="0"/>
              <w:rPr>
                <w:sz w:val="20"/>
                <w:szCs w:val="20"/>
                <w:color w:val="auto"/>
              </w:rPr>
            </w:pPr>
            <w:r>
              <w:rPr>
                <w:rFonts w:ascii="Arial" w:cs="Arial" w:eastAsia="Arial" w:hAnsi="Arial"/>
                <w:sz w:val="14"/>
                <w:szCs w:val="14"/>
                <w:color w:val="455986"/>
                <w:w w:val="94"/>
              </w:rPr>
              <w:t>●</w:t>
            </w:r>
          </w:p>
        </w:tc>
        <w:tc>
          <w:tcPr>
            <w:tcW w:w="1280" w:type="dxa"/>
            <w:vAlign w:val="bottom"/>
          </w:tcPr>
          <w:p>
            <w:pPr>
              <w:spacing w:after="0"/>
              <w:rPr>
                <w:sz w:val="16"/>
                <w:szCs w:val="16"/>
                <w:color w:val="auto"/>
              </w:rPr>
            </w:pPr>
          </w:p>
        </w:tc>
        <w:tc>
          <w:tcPr>
            <w:tcW w:w="840" w:type="dxa"/>
            <w:vAlign w:val="bottom"/>
            <w:vMerge w:val="restart"/>
          </w:tcPr>
          <w:p>
            <w:pPr>
              <w:jc w:val="center"/>
              <w:spacing w:after="0"/>
              <w:rPr>
                <w:sz w:val="20"/>
                <w:szCs w:val="20"/>
                <w:color w:val="auto"/>
              </w:rPr>
            </w:pPr>
            <w:r>
              <w:rPr>
                <w:rFonts w:ascii="Arial" w:cs="Arial" w:eastAsia="Arial" w:hAnsi="Arial"/>
                <w:sz w:val="14"/>
                <w:szCs w:val="14"/>
                <w:color w:val="455986"/>
                <w:w w:val="94"/>
              </w:rPr>
              <w:t>●</w:t>
            </w:r>
          </w:p>
        </w:tc>
        <w:tc>
          <w:tcPr>
            <w:tcW w:w="0" w:type="dxa"/>
            <w:vAlign w:val="bottom"/>
          </w:tcPr>
          <w:p>
            <w:pPr>
              <w:spacing w:after="0"/>
              <w:rPr>
                <w:sz w:val="1"/>
                <w:szCs w:val="1"/>
                <w:color w:val="auto"/>
              </w:rPr>
            </w:pPr>
          </w:p>
        </w:tc>
      </w:tr>
      <w:tr>
        <w:trPr>
          <w:trHeight w:val="111"/>
        </w:trPr>
        <w:tc>
          <w:tcPr>
            <w:tcW w:w="1900" w:type="dxa"/>
            <w:vAlign w:val="bottom"/>
          </w:tcPr>
          <w:p>
            <w:pPr>
              <w:spacing w:after="0"/>
              <w:rPr>
                <w:sz w:val="9"/>
                <w:szCs w:val="9"/>
                <w:color w:val="auto"/>
              </w:rPr>
            </w:pPr>
          </w:p>
        </w:tc>
        <w:tc>
          <w:tcPr>
            <w:tcW w:w="500" w:type="dxa"/>
            <w:vAlign w:val="bottom"/>
          </w:tcPr>
          <w:p>
            <w:pPr>
              <w:spacing w:after="0"/>
              <w:rPr>
                <w:sz w:val="9"/>
                <w:szCs w:val="9"/>
                <w:color w:val="auto"/>
              </w:rPr>
            </w:pPr>
          </w:p>
        </w:tc>
        <w:tc>
          <w:tcPr>
            <w:tcW w:w="760" w:type="dxa"/>
            <w:vAlign w:val="bottom"/>
          </w:tcPr>
          <w:p>
            <w:pPr>
              <w:spacing w:after="0"/>
              <w:rPr>
                <w:sz w:val="9"/>
                <w:szCs w:val="9"/>
                <w:color w:val="auto"/>
              </w:rPr>
            </w:pPr>
          </w:p>
        </w:tc>
        <w:tc>
          <w:tcPr>
            <w:tcW w:w="2420" w:type="dxa"/>
            <w:vAlign w:val="bottom"/>
            <w:vMerge w:val="restart"/>
          </w:tcPr>
          <w:p>
            <w:pPr>
              <w:ind w:left="40"/>
              <w:spacing w:after="0"/>
              <w:rPr>
                <w:sz w:val="20"/>
                <w:szCs w:val="20"/>
                <w:color w:val="auto"/>
              </w:rPr>
            </w:pPr>
            <w:r>
              <w:rPr>
                <w:rFonts w:ascii="Arial" w:cs="Arial" w:eastAsia="Arial" w:hAnsi="Arial"/>
                <w:sz w:val="14"/>
                <w:szCs w:val="14"/>
                <w:color w:val="231F20"/>
              </w:rPr>
              <w:t>Grosvenor</w:t>
            </w:r>
          </w:p>
        </w:tc>
        <w:tc>
          <w:tcPr>
            <w:tcW w:w="920" w:type="dxa"/>
            <w:vAlign w:val="bottom"/>
            <w:vMerge w:val="continue"/>
          </w:tcPr>
          <w:p>
            <w:pPr>
              <w:spacing w:after="0"/>
              <w:rPr>
                <w:sz w:val="9"/>
                <w:szCs w:val="9"/>
                <w:color w:val="auto"/>
              </w:rPr>
            </w:pPr>
          </w:p>
        </w:tc>
        <w:tc>
          <w:tcPr>
            <w:tcW w:w="780" w:type="dxa"/>
            <w:vAlign w:val="bottom"/>
          </w:tcPr>
          <w:p>
            <w:pPr>
              <w:spacing w:after="0"/>
              <w:rPr>
                <w:sz w:val="9"/>
                <w:szCs w:val="9"/>
                <w:color w:val="auto"/>
              </w:rPr>
            </w:pPr>
          </w:p>
        </w:tc>
        <w:tc>
          <w:tcPr>
            <w:tcW w:w="1120" w:type="dxa"/>
            <w:vAlign w:val="bottom"/>
          </w:tcPr>
          <w:p>
            <w:pPr>
              <w:spacing w:after="0"/>
              <w:rPr>
                <w:sz w:val="9"/>
                <w:szCs w:val="9"/>
                <w:color w:val="auto"/>
              </w:rPr>
            </w:pPr>
          </w:p>
        </w:tc>
        <w:tc>
          <w:tcPr>
            <w:tcW w:w="720" w:type="dxa"/>
            <w:vAlign w:val="bottom"/>
            <w:vMerge w:val="continue"/>
          </w:tcPr>
          <w:p>
            <w:pPr>
              <w:spacing w:after="0"/>
              <w:rPr>
                <w:sz w:val="9"/>
                <w:szCs w:val="9"/>
                <w:color w:val="auto"/>
              </w:rPr>
            </w:pPr>
          </w:p>
        </w:tc>
        <w:tc>
          <w:tcPr>
            <w:tcW w:w="1280" w:type="dxa"/>
            <w:vAlign w:val="bottom"/>
          </w:tcPr>
          <w:p>
            <w:pPr>
              <w:spacing w:after="0"/>
              <w:rPr>
                <w:sz w:val="9"/>
                <w:szCs w:val="9"/>
                <w:color w:val="auto"/>
              </w:rPr>
            </w:pPr>
          </w:p>
        </w:tc>
        <w:tc>
          <w:tcPr>
            <w:tcW w:w="8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1900" w:type="dxa"/>
            <w:vAlign w:val="bottom"/>
          </w:tcPr>
          <w:p>
            <w:pPr>
              <w:spacing w:after="0"/>
              <w:rPr>
                <w:sz w:val="6"/>
                <w:szCs w:val="6"/>
                <w:color w:val="auto"/>
              </w:rPr>
            </w:pPr>
          </w:p>
        </w:tc>
        <w:tc>
          <w:tcPr>
            <w:tcW w:w="500" w:type="dxa"/>
            <w:vAlign w:val="bottom"/>
          </w:tcPr>
          <w:p>
            <w:pPr>
              <w:spacing w:after="0"/>
              <w:rPr>
                <w:sz w:val="6"/>
                <w:szCs w:val="6"/>
                <w:color w:val="auto"/>
              </w:rPr>
            </w:pPr>
          </w:p>
        </w:tc>
        <w:tc>
          <w:tcPr>
            <w:tcW w:w="760" w:type="dxa"/>
            <w:vAlign w:val="bottom"/>
          </w:tcPr>
          <w:p>
            <w:pPr>
              <w:spacing w:after="0"/>
              <w:rPr>
                <w:sz w:val="6"/>
                <w:szCs w:val="6"/>
                <w:color w:val="auto"/>
              </w:rPr>
            </w:pPr>
          </w:p>
        </w:tc>
        <w:tc>
          <w:tcPr>
            <w:tcW w:w="2420" w:type="dxa"/>
            <w:vAlign w:val="bottom"/>
            <w:vMerge w:val="continue"/>
          </w:tcPr>
          <w:p>
            <w:pPr>
              <w:spacing w:after="0"/>
              <w:rPr>
                <w:sz w:val="6"/>
                <w:szCs w:val="6"/>
                <w:color w:val="auto"/>
              </w:rPr>
            </w:pPr>
          </w:p>
        </w:tc>
        <w:tc>
          <w:tcPr>
            <w:tcW w:w="920" w:type="dxa"/>
            <w:vAlign w:val="bottom"/>
          </w:tcPr>
          <w:p>
            <w:pPr>
              <w:spacing w:after="0"/>
              <w:rPr>
                <w:sz w:val="6"/>
                <w:szCs w:val="6"/>
                <w:color w:val="auto"/>
              </w:rPr>
            </w:pPr>
          </w:p>
        </w:tc>
        <w:tc>
          <w:tcPr>
            <w:tcW w:w="780" w:type="dxa"/>
            <w:vAlign w:val="bottom"/>
          </w:tcPr>
          <w:p>
            <w:pPr>
              <w:spacing w:after="0"/>
              <w:rPr>
                <w:sz w:val="6"/>
                <w:szCs w:val="6"/>
                <w:color w:val="auto"/>
              </w:rPr>
            </w:pPr>
          </w:p>
        </w:tc>
        <w:tc>
          <w:tcPr>
            <w:tcW w:w="1120" w:type="dxa"/>
            <w:vAlign w:val="bottom"/>
          </w:tcPr>
          <w:p>
            <w:pPr>
              <w:spacing w:after="0"/>
              <w:rPr>
                <w:sz w:val="6"/>
                <w:szCs w:val="6"/>
                <w:color w:val="auto"/>
              </w:rPr>
            </w:pPr>
          </w:p>
        </w:tc>
        <w:tc>
          <w:tcPr>
            <w:tcW w:w="720" w:type="dxa"/>
            <w:vAlign w:val="bottom"/>
          </w:tcPr>
          <w:p>
            <w:pPr>
              <w:spacing w:after="0"/>
              <w:rPr>
                <w:sz w:val="6"/>
                <w:szCs w:val="6"/>
                <w:color w:val="auto"/>
              </w:rPr>
            </w:pPr>
          </w:p>
        </w:tc>
        <w:tc>
          <w:tcPr>
            <w:tcW w:w="1280" w:type="dxa"/>
            <w:vAlign w:val="bottom"/>
          </w:tcPr>
          <w:p>
            <w:pPr>
              <w:spacing w:after="0"/>
              <w:rPr>
                <w:sz w:val="6"/>
                <w:szCs w:val="6"/>
                <w:color w:val="auto"/>
              </w:rPr>
            </w:pPr>
          </w:p>
        </w:tc>
        <w:tc>
          <w:tcPr>
            <w:tcW w:w="8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3"/>
        </w:trPr>
        <w:tc>
          <w:tcPr>
            <w:tcW w:w="1900" w:type="dxa"/>
            <w:vAlign w:val="bottom"/>
            <w:tcBorders>
              <w:bottom w:val="single" w:sz="8" w:color="231F20"/>
            </w:tcBorders>
          </w:tcPr>
          <w:p>
            <w:pPr>
              <w:spacing w:after="0"/>
              <w:rPr>
                <w:sz w:val="2"/>
                <w:szCs w:val="2"/>
                <w:color w:val="auto"/>
              </w:rPr>
            </w:pPr>
          </w:p>
        </w:tc>
        <w:tc>
          <w:tcPr>
            <w:tcW w:w="500" w:type="dxa"/>
            <w:vAlign w:val="bottom"/>
            <w:tcBorders>
              <w:bottom w:val="single" w:sz="8" w:color="231F20"/>
            </w:tcBorders>
          </w:tcPr>
          <w:p>
            <w:pPr>
              <w:spacing w:after="0"/>
              <w:rPr>
                <w:sz w:val="2"/>
                <w:szCs w:val="2"/>
                <w:color w:val="auto"/>
              </w:rPr>
            </w:pPr>
          </w:p>
        </w:tc>
        <w:tc>
          <w:tcPr>
            <w:tcW w:w="760" w:type="dxa"/>
            <w:vAlign w:val="bottom"/>
            <w:tcBorders>
              <w:bottom w:val="single" w:sz="8" w:color="231F20"/>
            </w:tcBorders>
          </w:tcPr>
          <w:p>
            <w:pPr>
              <w:spacing w:after="0"/>
              <w:rPr>
                <w:sz w:val="2"/>
                <w:szCs w:val="2"/>
                <w:color w:val="auto"/>
              </w:rPr>
            </w:pPr>
          </w:p>
        </w:tc>
        <w:tc>
          <w:tcPr>
            <w:tcW w:w="2420" w:type="dxa"/>
            <w:vAlign w:val="bottom"/>
            <w:tcBorders>
              <w:bottom w:val="single" w:sz="8" w:color="231F20"/>
            </w:tcBorders>
          </w:tcPr>
          <w:p>
            <w:pPr>
              <w:spacing w:after="0"/>
              <w:rPr>
                <w:sz w:val="2"/>
                <w:szCs w:val="2"/>
                <w:color w:val="auto"/>
              </w:rPr>
            </w:pPr>
          </w:p>
        </w:tc>
        <w:tc>
          <w:tcPr>
            <w:tcW w:w="920" w:type="dxa"/>
            <w:vAlign w:val="bottom"/>
            <w:tcBorders>
              <w:bottom w:val="single" w:sz="8" w:color="231F20"/>
            </w:tcBorders>
          </w:tcPr>
          <w:p>
            <w:pPr>
              <w:spacing w:after="0"/>
              <w:rPr>
                <w:sz w:val="2"/>
                <w:szCs w:val="2"/>
                <w:color w:val="auto"/>
              </w:rPr>
            </w:pPr>
          </w:p>
        </w:tc>
        <w:tc>
          <w:tcPr>
            <w:tcW w:w="780" w:type="dxa"/>
            <w:vAlign w:val="bottom"/>
            <w:tcBorders>
              <w:bottom w:val="single" w:sz="8" w:color="231F20"/>
            </w:tcBorders>
          </w:tcPr>
          <w:p>
            <w:pPr>
              <w:spacing w:after="0"/>
              <w:rPr>
                <w:sz w:val="2"/>
                <w:szCs w:val="2"/>
                <w:color w:val="auto"/>
              </w:rPr>
            </w:pPr>
          </w:p>
        </w:tc>
        <w:tc>
          <w:tcPr>
            <w:tcW w:w="1120" w:type="dxa"/>
            <w:vAlign w:val="bottom"/>
            <w:tcBorders>
              <w:bottom w:val="single" w:sz="8" w:color="231F20"/>
            </w:tcBorders>
          </w:tcPr>
          <w:p>
            <w:pPr>
              <w:spacing w:after="0"/>
              <w:rPr>
                <w:sz w:val="2"/>
                <w:szCs w:val="2"/>
                <w:color w:val="auto"/>
              </w:rPr>
            </w:pPr>
          </w:p>
        </w:tc>
        <w:tc>
          <w:tcPr>
            <w:tcW w:w="720" w:type="dxa"/>
            <w:vAlign w:val="bottom"/>
            <w:tcBorders>
              <w:bottom w:val="single" w:sz="8" w:color="231F20"/>
            </w:tcBorders>
          </w:tcPr>
          <w:p>
            <w:pPr>
              <w:spacing w:after="0"/>
              <w:rPr>
                <w:sz w:val="2"/>
                <w:szCs w:val="2"/>
                <w:color w:val="auto"/>
              </w:rPr>
            </w:pPr>
          </w:p>
        </w:tc>
        <w:tc>
          <w:tcPr>
            <w:tcW w:w="1280" w:type="dxa"/>
            <w:vAlign w:val="bottom"/>
            <w:tcBorders>
              <w:bottom w:val="single" w:sz="8" w:color="231F20"/>
            </w:tcBorders>
          </w:tcPr>
          <w:p>
            <w:pPr>
              <w:spacing w:after="0"/>
              <w:rPr>
                <w:sz w:val="2"/>
                <w:szCs w:val="2"/>
                <w:color w:val="auto"/>
              </w:rPr>
            </w:pPr>
          </w:p>
        </w:tc>
        <w:tc>
          <w:tcPr>
            <w:tcW w:w="840" w:type="dxa"/>
            <w:vAlign w:val="bottom"/>
            <w:tcBorders>
              <w:bottom w:val="single" w:sz="8" w:color="231F20"/>
            </w:tcBorders>
          </w:tcPr>
          <w:p>
            <w:pPr>
              <w:spacing w:after="0"/>
              <w:rPr>
                <w:sz w:val="2"/>
                <w:szCs w:val="2"/>
                <w:color w:val="auto"/>
              </w:rPr>
            </w:pPr>
          </w:p>
        </w:tc>
        <w:tc>
          <w:tcPr>
            <w:tcW w:w="0" w:type="dxa"/>
            <w:vAlign w:val="bottom"/>
          </w:tcPr>
          <w:p>
            <w:pPr>
              <w:spacing w:after="0"/>
              <w:rPr>
                <w:sz w:val="1"/>
                <w:szCs w:val="1"/>
                <w:color w:val="auto"/>
              </w:rPr>
            </w:pPr>
          </w:p>
        </w:tc>
      </w:tr>
      <w:tr>
        <w:trPr>
          <w:trHeight w:val="185"/>
        </w:trPr>
        <w:tc>
          <w:tcPr>
            <w:tcW w:w="1900" w:type="dxa"/>
            <w:vAlign w:val="bottom"/>
          </w:tcPr>
          <w:p>
            <w:pPr>
              <w:spacing w:after="0"/>
              <w:rPr>
                <w:sz w:val="20"/>
                <w:szCs w:val="20"/>
                <w:color w:val="auto"/>
              </w:rPr>
            </w:pPr>
            <w:r>
              <w:rPr>
                <w:rFonts w:ascii="Arial" w:cs="Arial" w:eastAsia="Arial" w:hAnsi="Arial"/>
                <w:sz w:val="15"/>
                <w:szCs w:val="15"/>
                <w:b w:val="1"/>
                <w:bCs w:val="1"/>
                <w:color w:val="455986"/>
              </w:rPr>
              <w:t>Edwina Kelly</w:t>
            </w:r>
          </w:p>
        </w:tc>
        <w:tc>
          <w:tcPr>
            <w:tcW w:w="500" w:type="dxa"/>
            <w:vAlign w:val="bottom"/>
          </w:tcPr>
          <w:p>
            <w:pPr>
              <w:jc w:val="center"/>
              <w:ind w:left="4"/>
              <w:spacing w:after="0"/>
              <w:rPr>
                <w:sz w:val="20"/>
                <w:szCs w:val="20"/>
                <w:color w:val="auto"/>
              </w:rPr>
            </w:pPr>
            <w:r>
              <w:rPr>
                <w:rFonts w:ascii="Arial" w:cs="Arial" w:eastAsia="Arial" w:hAnsi="Arial"/>
                <w:sz w:val="15"/>
                <w:szCs w:val="15"/>
                <w:color w:val="231F20"/>
              </w:rPr>
              <w:t>34</w:t>
            </w:r>
          </w:p>
        </w:tc>
        <w:tc>
          <w:tcPr>
            <w:tcW w:w="760" w:type="dxa"/>
            <w:vAlign w:val="bottom"/>
          </w:tcPr>
          <w:p>
            <w:pPr>
              <w:jc w:val="center"/>
              <w:spacing w:after="0"/>
              <w:rPr>
                <w:sz w:val="20"/>
                <w:szCs w:val="20"/>
                <w:color w:val="auto"/>
              </w:rPr>
            </w:pPr>
            <w:r>
              <w:rPr>
                <w:rFonts w:ascii="Arial" w:cs="Arial" w:eastAsia="Arial" w:hAnsi="Arial"/>
                <w:sz w:val="15"/>
                <w:szCs w:val="15"/>
                <w:color w:val="231F20"/>
              </w:rPr>
              <w:t>Nominee</w:t>
            </w:r>
          </w:p>
        </w:tc>
        <w:tc>
          <w:tcPr>
            <w:tcW w:w="2420" w:type="dxa"/>
            <w:vAlign w:val="bottom"/>
          </w:tcPr>
          <w:p>
            <w:pPr>
              <w:ind w:left="40"/>
              <w:spacing w:after="0"/>
              <w:rPr>
                <w:sz w:val="20"/>
                <w:szCs w:val="20"/>
                <w:color w:val="auto"/>
              </w:rPr>
            </w:pPr>
            <w:r>
              <w:rPr>
                <w:rFonts w:ascii="Arial" w:cs="Arial" w:eastAsia="Arial" w:hAnsi="Arial"/>
                <w:sz w:val="14"/>
                <w:szCs w:val="14"/>
                <w:color w:val="231F20"/>
                <w:w w:val="99"/>
              </w:rPr>
              <w:t>Senior Principal Canada Pension Plan</w:t>
            </w:r>
          </w:p>
        </w:tc>
        <w:tc>
          <w:tcPr>
            <w:tcW w:w="920" w:type="dxa"/>
            <w:vAlign w:val="bottom"/>
            <w:vMerge w:val="restart"/>
          </w:tcPr>
          <w:p>
            <w:pPr>
              <w:jc w:val="center"/>
              <w:spacing w:after="0"/>
              <w:rPr>
                <w:sz w:val="20"/>
                <w:szCs w:val="20"/>
                <w:color w:val="auto"/>
              </w:rPr>
            </w:pPr>
            <w:r>
              <w:rPr>
                <w:rFonts w:ascii="Arial" w:cs="Arial" w:eastAsia="Arial" w:hAnsi="Arial"/>
                <w:sz w:val="15"/>
                <w:szCs w:val="15"/>
                <w:color w:val="455986"/>
                <w:w w:val="95"/>
              </w:rPr>
              <w:t>0</w:t>
            </w:r>
          </w:p>
        </w:tc>
        <w:tc>
          <w:tcPr>
            <w:tcW w:w="7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720" w:type="dxa"/>
            <w:vAlign w:val="bottom"/>
            <w:vMerge w:val="restart"/>
          </w:tcPr>
          <w:p>
            <w:pPr>
              <w:jc w:val="center"/>
              <w:spacing w:after="0"/>
              <w:rPr>
                <w:sz w:val="20"/>
                <w:szCs w:val="20"/>
                <w:color w:val="auto"/>
              </w:rPr>
            </w:pPr>
            <w:r>
              <w:rPr>
                <w:rFonts w:ascii="Arial" w:cs="Arial" w:eastAsia="Arial" w:hAnsi="Arial"/>
                <w:sz w:val="14"/>
                <w:szCs w:val="14"/>
                <w:color w:val="455986"/>
              </w:rPr>
              <w:t>●*</w:t>
            </w:r>
          </w:p>
        </w:tc>
        <w:tc>
          <w:tcPr>
            <w:tcW w:w="1280" w:type="dxa"/>
            <w:vAlign w:val="bottom"/>
            <w:vMerge w:val="restart"/>
          </w:tcPr>
          <w:p>
            <w:pPr>
              <w:jc w:val="center"/>
              <w:spacing w:after="0"/>
              <w:rPr>
                <w:sz w:val="20"/>
                <w:szCs w:val="20"/>
                <w:color w:val="auto"/>
              </w:rPr>
            </w:pPr>
            <w:r>
              <w:rPr>
                <w:rFonts w:ascii="Arial" w:cs="Arial" w:eastAsia="Arial" w:hAnsi="Arial"/>
                <w:sz w:val="14"/>
                <w:szCs w:val="14"/>
                <w:color w:val="455986"/>
              </w:rPr>
              <w:t>●*</w:t>
            </w: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11"/>
        </w:trPr>
        <w:tc>
          <w:tcPr>
            <w:tcW w:w="1900" w:type="dxa"/>
            <w:vAlign w:val="bottom"/>
          </w:tcPr>
          <w:p>
            <w:pPr>
              <w:spacing w:after="0"/>
              <w:rPr>
                <w:sz w:val="9"/>
                <w:szCs w:val="9"/>
                <w:color w:val="auto"/>
              </w:rPr>
            </w:pPr>
          </w:p>
        </w:tc>
        <w:tc>
          <w:tcPr>
            <w:tcW w:w="500" w:type="dxa"/>
            <w:vAlign w:val="bottom"/>
          </w:tcPr>
          <w:p>
            <w:pPr>
              <w:spacing w:after="0"/>
              <w:rPr>
                <w:sz w:val="9"/>
                <w:szCs w:val="9"/>
                <w:color w:val="auto"/>
              </w:rPr>
            </w:pPr>
          </w:p>
        </w:tc>
        <w:tc>
          <w:tcPr>
            <w:tcW w:w="760" w:type="dxa"/>
            <w:vAlign w:val="bottom"/>
          </w:tcPr>
          <w:p>
            <w:pPr>
              <w:spacing w:after="0"/>
              <w:rPr>
                <w:sz w:val="9"/>
                <w:szCs w:val="9"/>
                <w:color w:val="auto"/>
              </w:rPr>
            </w:pPr>
          </w:p>
        </w:tc>
        <w:tc>
          <w:tcPr>
            <w:tcW w:w="2420" w:type="dxa"/>
            <w:vAlign w:val="bottom"/>
            <w:vMerge w:val="restart"/>
          </w:tcPr>
          <w:p>
            <w:pPr>
              <w:ind w:left="40"/>
              <w:spacing w:after="0"/>
              <w:rPr>
                <w:sz w:val="20"/>
                <w:szCs w:val="20"/>
                <w:color w:val="auto"/>
              </w:rPr>
            </w:pPr>
            <w:r>
              <w:rPr>
                <w:rFonts w:ascii="Arial" w:cs="Arial" w:eastAsia="Arial" w:hAnsi="Arial"/>
                <w:sz w:val="14"/>
                <w:szCs w:val="14"/>
                <w:color w:val="231F20"/>
              </w:rPr>
              <w:t>Investment Board</w:t>
            </w:r>
          </w:p>
        </w:tc>
        <w:tc>
          <w:tcPr>
            <w:tcW w:w="920" w:type="dxa"/>
            <w:vAlign w:val="bottom"/>
            <w:vMerge w:val="continue"/>
          </w:tcPr>
          <w:p>
            <w:pPr>
              <w:spacing w:after="0"/>
              <w:rPr>
                <w:sz w:val="9"/>
                <w:szCs w:val="9"/>
                <w:color w:val="auto"/>
              </w:rPr>
            </w:pPr>
          </w:p>
        </w:tc>
        <w:tc>
          <w:tcPr>
            <w:tcW w:w="780" w:type="dxa"/>
            <w:vAlign w:val="bottom"/>
          </w:tcPr>
          <w:p>
            <w:pPr>
              <w:spacing w:after="0"/>
              <w:rPr>
                <w:sz w:val="9"/>
                <w:szCs w:val="9"/>
                <w:color w:val="auto"/>
              </w:rPr>
            </w:pPr>
          </w:p>
        </w:tc>
        <w:tc>
          <w:tcPr>
            <w:tcW w:w="1120" w:type="dxa"/>
            <w:vAlign w:val="bottom"/>
          </w:tcPr>
          <w:p>
            <w:pPr>
              <w:spacing w:after="0"/>
              <w:rPr>
                <w:sz w:val="9"/>
                <w:szCs w:val="9"/>
                <w:color w:val="auto"/>
              </w:rPr>
            </w:pPr>
          </w:p>
        </w:tc>
        <w:tc>
          <w:tcPr>
            <w:tcW w:w="720" w:type="dxa"/>
            <w:vAlign w:val="bottom"/>
            <w:vMerge w:val="continue"/>
          </w:tcPr>
          <w:p>
            <w:pPr>
              <w:spacing w:after="0"/>
              <w:rPr>
                <w:sz w:val="9"/>
                <w:szCs w:val="9"/>
                <w:color w:val="auto"/>
              </w:rPr>
            </w:pPr>
          </w:p>
        </w:tc>
        <w:tc>
          <w:tcPr>
            <w:tcW w:w="1280" w:type="dxa"/>
            <w:vAlign w:val="bottom"/>
            <w:vMerge w:val="continue"/>
          </w:tcPr>
          <w:p>
            <w:pPr>
              <w:spacing w:after="0"/>
              <w:rPr>
                <w:sz w:val="9"/>
                <w:szCs w:val="9"/>
                <w:color w:val="auto"/>
              </w:rPr>
            </w:pPr>
          </w:p>
        </w:tc>
        <w:tc>
          <w:tcPr>
            <w:tcW w:w="8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1900" w:type="dxa"/>
            <w:vAlign w:val="bottom"/>
          </w:tcPr>
          <w:p>
            <w:pPr>
              <w:spacing w:after="0"/>
              <w:rPr>
                <w:sz w:val="6"/>
                <w:szCs w:val="6"/>
                <w:color w:val="auto"/>
              </w:rPr>
            </w:pPr>
          </w:p>
        </w:tc>
        <w:tc>
          <w:tcPr>
            <w:tcW w:w="500" w:type="dxa"/>
            <w:vAlign w:val="bottom"/>
          </w:tcPr>
          <w:p>
            <w:pPr>
              <w:spacing w:after="0"/>
              <w:rPr>
                <w:sz w:val="6"/>
                <w:szCs w:val="6"/>
                <w:color w:val="auto"/>
              </w:rPr>
            </w:pPr>
          </w:p>
        </w:tc>
        <w:tc>
          <w:tcPr>
            <w:tcW w:w="760" w:type="dxa"/>
            <w:vAlign w:val="bottom"/>
          </w:tcPr>
          <w:p>
            <w:pPr>
              <w:spacing w:after="0"/>
              <w:rPr>
                <w:sz w:val="6"/>
                <w:szCs w:val="6"/>
                <w:color w:val="auto"/>
              </w:rPr>
            </w:pPr>
          </w:p>
        </w:tc>
        <w:tc>
          <w:tcPr>
            <w:tcW w:w="2420" w:type="dxa"/>
            <w:vAlign w:val="bottom"/>
            <w:vMerge w:val="continue"/>
          </w:tcPr>
          <w:p>
            <w:pPr>
              <w:spacing w:after="0"/>
              <w:rPr>
                <w:sz w:val="6"/>
                <w:szCs w:val="6"/>
                <w:color w:val="auto"/>
              </w:rPr>
            </w:pPr>
          </w:p>
        </w:tc>
        <w:tc>
          <w:tcPr>
            <w:tcW w:w="920" w:type="dxa"/>
            <w:vAlign w:val="bottom"/>
          </w:tcPr>
          <w:p>
            <w:pPr>
              <w:spacing w:after="0"/>
              <w:rPr>
                <w:sz w:val="6"/>
                <w:szCs w:val="6"/>
                <w:color w:val="auto"/>
              </w:rPr>
            </w:pPr>
          </w:p>
        </w:tc>
        <w:tc>
          <w:tcPr>
            <w:tcW w:w="780" w:type="dxa"/>
            <w:vAlign w:val="bottom"/>
          </w:tcPr>
          <w:p>
            <w:pPr>
              <w:spacing w:after="0"/>
              <w:rPr>
                <w:sz w:val="6"/>
                <w:szCs w:val="6"/>
                <w:color w:val="auto"/>
              </w:rPr>
            </w:pPr>
          </w:p>
        </w:tc>
        <w:tc>
          <w:tcPr>
            <w:tcW w:w="1120" w:type="dxa"/>
            <w:vAlign w:val="bottom"/>
          </w:tcPr>
          <w:p>
            <w:pPr>
              <w:spacing w:after="0"/>
              <w:rPr>
                <w:sz w:val="6"/>
                <w:szCs w:val="6"/>
                <w:color w:val="auto"/>
              </w:rPr>
            </w:pPr>
          </w:p>
        </w:tc>
        <w:tc>
          <w:tcPr>
            <w:tcW w:w="720" w:type="dxa"/>
            <w:vAlign w:val="bottom"/>
          </w:tcPr>
          <w:p>
            <w:pPr>
              <w:spacing w:after="0"/>
              <w:rPr>
                <w:sz w:val="6"/>
                <w:szCs w:val="6"/>
                <w:color w:val="auto"/>
              </w:rPr>
            </w:pPr>
          </w:p>
        </w:tc>
        <w:tc>
          <w:tcPr>
            <w:tcW w:w="1280" w:type="dxa"/>
            <w:vAlign w:val="bottom"/>
          </w:tcPr>
          <w:p>
            <w:pPr>
              <w:spacing w:after="0"/>
              <w:rPr>
                <w:sz w:val="6"/>
                <w:szCs w:val="6"/>
                <w:color w:val="auto"/>
              </w:rPr>
            </w:pPr>
          </w:p>
        </w:tc>
        <w:tc>
          <w:tcPr>
            <w:tcW w:w="8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3"/>
        </w:trPr>
        <w:tc>
          <w:tcPr>
            <w:tcW w:w="1900" w:type="dxa"/>
            <w:vAlign w:val="bottom"/>
            <w:tcBorders>
              <w:bottom w:val="single" w:sz="8" w:color="231F20"/>
            </w:tcBorders>
          </w:tcPr>
          <w:p>
            <w:pPr>
              <w:spacing w:after="0"/>
              <w:rPr>
                <w:sz w:val="2"/>
                <w:szCs w:val="2"/>
                <w:color w:val="auto"/>
              </w:rPr>
            </w:pPr>
          </w:p>
        </w:tc>
        <w:tc>
          <w:tcPr>
            <w:tcW w:w="500" w:type="dxa"/>
            <w:vAlign w:val="bottom"/>
            <w:tcBorders>
              <w:bottom w:val="single" w:sz="8" w:color="231F20"/>
            </w:tcBorders>
          </w:tcPr>
          <w:p>
            <w:pPr>
              <w:spacing w:after="0"/>
              <w:rPr>
                <w:sz w:val="2"/>
                <w:szCs w:val="2"/>
                <w:color w:val="auto"/>
              </w:rPr>
            </w:pPr>
          </w:p>
        </w:tc>
        <w:tc>
          <w:tcPr>
            <w:tcW w:w="760" w:type="dxa"/>
            <w:vAlign w:val="bottom"/>
            <w:tcBorders>
              <w:bottom w:val="single" w:sz="8" w:color="231F20"/>
            </w:tcBorders>
          </w:tcPr>
          <w:p>
            <w:pPr>
              <w:spacing w:after="0"/>
              <w:rPr>
                <w:sz w:val="2"/>
                <w:szCs w:val="2"/>
                <w:color w:val="auto"/>
              </w:rPr>
            </w:pPr>
          </w:p>
        </w:tc>
        <w:tc>
          <w:tcPr>
            <w:tcW w:w="2420" w:type="dxa"/>
            <w:vAlign w:val="bottom"/>
            <w:tcBorders>
              <w:bottom w:val="single" w:sz="8" w:color="231F20"/>
            </w:tcBorders>
          </w:tcPr>
          <w:p>
            <w:pPr>
              <w:spacing w:after="0"/>
              <w:rPr>
                <w:sz w:val="2"/>
                <w:szCs w:val="2"/>
                <w:color w:val="auto"/>
              </w:rPr>
            </w:pPr>
          </w:p>
        </w:tc>
        <w:tc>
          <w:tcPr>
            <w:tcW w:w="920" w:type="dxa"/>
            <w:vAlign w:val="bottom"/>
            <w:tcBorders>
              <w:bottom w:val="single" w:sz="8" w:color="231F20"/>
            </w:tcBorders>
          </w:tcPr>
          <w:p>
            <w:pPr>
              <w:spacing w:after="0"/>
              <w:rPr>
                <w:sz w:val="2"/>
                <w:szCs w:val="2"/>
                <w:color w:val="auto"/>
              </w:rPr>
            </w:pPr>
          </w:p>
        </w:tc>
        <w:tc>
          <w:tcPr>
            <w:tcW w:w="780" w:type="dxa"/>
            <w:vAlign w:val="bottom"/>
            <w:tcBorders>
              <w:bottom w:val="single" w:sz="8" w:color="231F20"/>
            </w:tcBorders>
          </w:tcPr>
          <w:p>
            <w:pPr>
              <w:spacing w:after="0"/>
              <w:rPr>
                <w:sz w:val="2"/>
                <w:szCs w:val="2"/>
                <w:color w:val="auto"/>
              </w:rPr>
            </w:pPr>
          </w:p>
        </w:tc>
        <w:tc>
          <w:tcPr>
            <w:tcW w:w="1120" w:type="dxa"/>
            <w:vAlign w:val="bottom"/>
            <w:tcBorders>
              <w:bottom w:val="single" w:sz="8" w:color="231F20"/>
            </w:tcBorders>
          </w:tcPr>
          <w:p>
            <w:pPr>
              <w:spacing w:after="0"/>
              <w:rPr>
                <w:sz w:val="2"/>
                <w:szCs w:val="2"/>
                <w:color w:val="auto"/>
              </w:rPr>
            </w:pPr>
          </w:p>
        </w:tc>
        <w:tc>
          <w:tcPr>
            <w:tcW w:w="720" w:type="dxa"/>
            <w:vAlign w:val="bottom"/>
            <w:tcBorders>
              <w:bottom w:val="single" w:sz="8" w:color="231F20"/>
            </w:tcBorders>
          </w:tcPr>
          <w:p>
            <w:pPr>
              <w:spacing w:after="0"/>
              <w:rPr>
                <w:sz w:val="2"/>
                <w:szCs w:val="2"/>
                <w:color w:val="auto"/>
              </w:rPr>
            </w:pPr>
          </w:p>
        </w:tc>
        <w:tc>
          <w:tcPr>
            <w:tcW w:w="1280" w:type="dxa"/>
            <w:vAlign w:val="bottom"/>
            <w:tcBorders>
              <w:bottom w:val="single" w:sz="8" w:color="231F20"/>
            </w:tcBorders>
          </w:tcPr>
          <w:p>
            <w:pPr>
              <w:spacing w:after="0"/>
              <w:rPr>
                <w:sz w:val="2"/>
                <w:szCs w:val="2"/>
                <w:color w:val="auto"/>
              </w:rPr>
            </w:pPr>
          </w:p>
        </w:tc>
        <w:tc>
          <w:tcPr>
            <w:tcW w:w="840" w:type="dxa"/>
            <w:vAlign w:val="bottom"/>
            <w:tcBorders>
              <w:bottom w:val="single" w:sz="8" w:color="231F20"/>
            </w:tcBorders>
          </w:tcPr>
          <w:p>
            <w:pPr>
              <w:spacing w:after="0"/>
              <w:rPr>
                <w:sz w:val="2"/>
                <w:szCs w:val="2"/>
                <w:color w:val="auto"/>
              </w:rPr>
            </w:pPr>
          </w:p>
        </w:tc>
        <w:tc>
          <w:tcPr>
            <w:tcW w:w="0" w:type="dxa"/>
            <w:vAlign w:val="bottom"/>
          </w:tcPr>
          <w:p>
            <w:pPr>
              <w:spacing w:after="0"/>
              <w:rPr>
                <w:sz w:val="1"/>
                <w:szCs w:val="1"/>
                <w:color w:val="auto"/>
              </w:rPr>
            </w:pPr>
          </w:p>
        </w:tc>
      </w:tr>
      <w:tr>
        <w:trPr>
          <w:trHeight w:val="254"/>
        </w:trPr>
        <w:tc>
          <w:tcPr>
            <w:tcW w:w="1900" w:type="dxa"/>
            <w:vAlign w:val="bottom"/>
          </w:tcPr>
          <w:p>
            <w:pPr>
              <w:spacing w:after="0"/>
              <w:rPr>
                <w:sz w:val="20"/>
                <w:szCs w:val="20"/>
                <w:color w:val="auto"/>
              </w:rPr>
            </w:pPr>
            <w:r>
              <w:rPr>
                <w:rFonts w:ascii="Arial" w:cs="Arial" w:eastAsia="Arial" w:hAnsi="Arial"/>
                <w:sz w:val="15"/>
                <w:szCs w:val="15"/>
                <w:b w:val="1"/>
                <w:bCs w:val="1"/>
                <w:color w:val="455986"/>
              </w:rPr>
              <w:t>Ellen T. Ruff</w:t>
            </w:r>
          </w:p>
        </w:tc>
        <w:tc>
          <w:tcPr>
            <w:tcW w:w="500" w:type="dxa"/>
            <w:vAlign w:val="bottom"/>
          </w:tcPr>
          <w:p>
            <w:pPr>
              <w:jc w:val="center"/>
              <w:ind w:left="4"/>
              <w:spacing w:after="0"/>
              <w:rPr>
                <w:sz w:val="20"/>
                <w:szCs w:val="20"/>
                <w:color w:val="auto"/>
              </w:rPr>
            </w:pPr>
            <w:r>
              <w:rPr>
                <w:rFonts w:ascii="Arial" w:cs="Arial" w:eastAsia="Arial" w:hAnsi="Arial"/>
                <w:sz w:val="15"/>
                <w:szCs w:val="15"/>
                <w:color w:val="231F20"/>
              </w:rPr>
              <w:t>72</w:t>
            </w:r>
          </w:p>
        </w:tc>
        <w:tc>
          <w:tcPr>
            <w:tcW w:w="760" w:type="dxa"/>
            <w:vAlign w:val="bottom"/>
          </w:tcPr>
          <w:p>
            <w:pPr>
              <w:jc w:val="center"/>
              <w:spacing w:after="0"/>
              <w:rPr>
                <w:sz w:val="20"/>
                <w:szCs w:val="20"/>
                <w:color w:val="auto"/>
              </w:rPr>
            </w:pPr>
            <w:r>
              <w:rPr>
                <w:rFonts w:ascii="Arial" w:cs="Arial" w:eastAsia="Arial" w:hAnsi="Arial"/>
                <w:sz w:val="15"/>
                <w:szCs w:val="15"/>
                <w:color w:val="231F20"/>
              </w:rPr>
              <w:t>2006</w:t>
            </w:r>
          </w:p>
        </w:tc>
        <w:tc>
          <w:tcPr>
            <w:tcW w:w="2420" w:type="dxa"/>
            <w:vAlign w:val="bottom"/>
          </w:tcPr>
          <w:p>
            <w:pPr>
              <w:ind w:left="40"/>
              <w:spacing w:after="0"/>
              <w:rPr>
                <w:sz w:val="20"/>
                <w:szCs w:val="20"/>
                <w:color w:val="auto"/>
              </w:rPr>
            </w:pPr>
            <w:r>
              <w:rPr>
                <w:rFonts w:ascii="Arial" w:cs="Arial" w:eastAsia="Arial" w:hAnsi="Arial"/>
                <w:sz w:val="14"/>
                <w:szCs w:val="14"/>
                <w:color w:val="231F20"/>
              </w:rPr>
              <w:t>Former President Duke Energy</w:t>
            </w:r>
          </w:p>
        </w:tc>
        <w:tc>
          <w:tcPr>
            <w:tcW w:w="920" w:type="dxa"/>
            <w:vAlign w:val="bottom"/>
          </w:tcPr>
          <w:p>
            <w:pPr>
              <w:jc w:val="center"/>
              <w:spacing w:after="0"/>
              <w:rPr>
                <w:sz w:val="20"/>
                <w:szCs w:val="20"/>
                <w:color w:val="auto"/>
              </w:rPr>
            </w:pPr>
            <w:r>
              <w:rPr>
                <w:rFonts w:ascii="Arial" w:cs="Arial" w:eastAsia="Arial" w:hAnsi="Arial"/>
                <w:sz w:val="15"/>
                <w:szCs w:val="15"/>
                <w:color w:val="231F20"/>
                <w:w w:val="95"/>
              </w:rPr>
              <w:t>0</w:t>
            </w:r>
          </w:p>
        </w:tc>
        <w:tc>
          <w:tcPr>
            <w:tcW w:w="780" w:type="dxa"/>
            <w:vAlign w:val="bottom"/>
          </w:tcPr>
          <w:p>
            <w:pPr>
              <w:spacing w:after="0"/>
              <w:rPr>
                <w:sz w:val="22"/>
                <w:szCs w:val="22"/>
                <w:color w:val="auto"/>
              </w:rPr>
            </w:pPr>
          </w:p>
        </w:tc>
        <w:tc>
          <w:tcPr>
            <w:tcW w:w="1120" w:type="dxa"/>
            <w:vAlign w:val="bottom"/>
          </w:tcPr>
          <w:p>
            <w:pPr>
              <w:jc w:val="center"/>
              <w:ind w:right="11"/>
              <w:spacing w:after="0"/>
              <w:rPr>
                <w:sz w:val="20"/>
                <w:szCs w:val="20"/>
                <w:color w:val="auto"/>
              </w:rPr>
            </w:pPr>
            <w:r>
              <w:rPr>
                <w:rFonts w:ascii="Arial" w:cs="Arial" w:eastAsia="Arial" w:hAnsi="Arial"/>
                <w:sz w:val="14"/>
                <w:szCs w:val="14"/>
                <w:color w:val="231F20"/>
                <w:w w:val="94"/>
              </w:rPr>
              <w:t>●</w:t>
            </w:r>
          </w:p>
        </w:tc>
        <w:tc>
          <w:tcPr>
            <w:tcW w:w="72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840" w:type="dxa"/>
            <w:vAlign w:val="bottom"/>
          </w:tcPr>
          <w:p>
            <w:pPr>
              <w:jc w:val="center"/>
              <w:spacing w:after="0"/>
              <w:rPr>
                <w:sz w:val="20"/>
                <w:szCs w:val="20"/>
                <w:color w:val="auto"/>
              </w:rPr>
            </w:pPr>
            <w:r>
              <w:rPr>
                <w:rFonts w:ascii="Arial" w:cs="Arial" w:eastAsia="Arial" w:hAnsi="Arial"/>
                <w:sz w:val="14"/>
                <w:szCs w:val="14"/>
                <w:color w:val="455986"/>
                <w:w w:val="94"/>
              </w:rPr>
              <w:t>●</w:t>
            </w:r>
          </w:p>
        </w:tc>
        <w:tc>
          <w:tcPr>
            <w:tcW w:w="0" w:type="dxa"/>
            <w:vAlign w:val="bottom"/>
          </w:tcPr>
          <w:p>
            <w:pPr>
              <w:spacing w:after="0"/>
              <w:rPr>
                <w:sz w:val="1"/>
                <w:szCs w:val="1"/>
                <w:color w:val="auto"/>
              </w:rPr>
            </w:pPr>
          </w:p>
        </w:tc>
      </w:tr>
      <w:tr>
        <w:trPr>
          <w:trHeight w:val="71"/>
        </w:trPr>
        <w:tc>
          <w:tcPr>
            <w:tcW w:w="1900" w:type="dxa"/>
            <w:vAlign w:val="bottom"/>
            <w:tcBorders>
              <w:bottom w:val="single" w:sz="8" w:color="231F20"/>
            </w:tcBorders>
          </w:tcPr>
          <w:p>
            <w:pPr>
              <w:spacing w:after="0"/>
              <w:rPr>
                <w:sz w:val="6"/>
                <w:szCs w:val="6"/>
                <w:color w:val="auto"/>
              </w:rPr>
            </w:pPr>
          </w:p>
        </w:tc>
        <w:tc>
          <w:tcPr>
            <w:tcW w:w="500" w:type="dxa"/>
            <w:vAlign w:val="bottom"/>
            <w:tcBorders>
              <w:bottom w:val="single" w:sz="8" w:color="231F20"/>
            </w:tcBorders>
          </w:tcPr>
          <w:p>
            <w:pPr>
              <w:spacing w:after="0"/>
              <w:rPr>
                <w:sz w:val="6"/>
                <w:szCs w:val="6"/>
                <w:color w:val="auto"/>
              </w:rPr>
            </w:pPr>
          </w:p>
        </w:tc>
        <w:tc>
          <w:tcPr>
            <w:tcW w:w="760" w:type="dxa"/>
            <w:vAlign w:val="bottom"/>
            <w:tcBorders>
              <w:bottom w:val="single" w:sz="8" w:color="231F20"/>
            </w:tcBorders>
          </w:tcPr>
          <w:p>
            <w:pPr>
              <w:spacing w:after="0"/>
              <w:rPr>
                <w:sz w:val="6"/>
                <w:szCs w:val="6"/>
                <w:color w:val="auto"/>
              </w:rPr>
            </w:pPr>
          </w:p>
        </w:tc>
        <w:tc>
          <w:tcPr>
            <w:tcW w:w="2420" w:type="dxa"/>
            <w:vAlign w:val="bottom"/>
            <w:tcBorders>
              <w:bottom w:val="single" w:sz="8" w:color="231F20"/>
            </w:tcBorders>
          </w:tcPr>
          <w:p>
            <w:pPr>
              <w:spacing w:after="0"/>
              <w:rPr>
                <w:sz w:val="6"/>
                <w:szCs w:val="6"/>
                <w:color w:val="auto"/>
              </w:rPr>
            </w:pPr>
          </w:p>
        </w:tc>
        <w:tc>
          <w:tcPr>
            <w:tcW w:w="920" w:type="dxa"/>
            <w:vAlign w:val="bottom"/>
            <w:tcBorders>
              <w:bottom w:val="single" w:sz="8" w:color="231F20"/>
            </w:tcBorders>
          </w:tcPr>
          <w:p>
            <w:pPr>
              <w:spacing w:after="0"/>
              <w:rPr>
                <w:sz w:val="6"/>
                <w:szCs w:val="6"/>
                <w:color w:val="auto"/>
              </w:rPr>
            </w:pPr>
          </w:p>
        </w:tc>
        <w:tc>
          <w:tcPr>
            <w:tcW w:w="780" w:type="dxa"/>
            <w:vAlign w:val="bottom"/>
            <w:tcBorders>
              <w:bottom w:val="single" w:sz="8" w:color="231F20"/>
            </w:tcBorders>
          </w:tcPr>
          <w:p>
            <w:pPr>
              <w:spacing w:after="0"/>
              <w:rPr>
                <w:sz w:val="6"/>
                <w:szCs w:val="6"/>
                <w:color w:val="auto"/>
              </w:rPr>
            </w:pPr>
          </w:p>
        </w:tc>
        <w:tc>
          <w:tcPr>
            <w:tcW w:w="1120" w:type="dxa"/>
            <w:vAlign w:val="bottom"/>
            <w:tcBorders>
              <w:bottom w:val="single" w:sz="8" w:color="231F20"/>
            </w:tcBorders>
          </w:tcPr>
          <w:p>
            <w:pPr>
              <w:spacing w:after="0"/>
              <w:rPr>
                <w:sz w:val="6"/>
                <w:szCs w:val="6"/>
                <w:color w:val="auto"/>
              </w:rPr>
            </w:pPr>
          </w:p>
        </w:tc>
        <w:tc>
          <w:tcPr>
            <w:tcW w:w="720" w:type="dxa"/>
            <w:vAlign w:val="bottom"/>
            <w:tcBorders>
              <w:bottom w:val="single" w:sz="8" w:color="231F20"/>
            </w:tcBorders>
          </w:tcPr>
          <w:p>
            <w:pPr>
              <w:spacing w:after="0"/>
              <w:rPr>
                <w:sz w:val="6"/>
                <w:szCs w:val="6"/>
                <w:color w:val="auto"/>
              </w:rPr>
            </w:pPr>
          </w:p>
        </w:tc>
        <w:tc>
          <w:tcPr>
            <w:tcW w:w="1280" w:type="dxa"/>
            <w:vAlign w:val="bottom"/>
            <w:tcBorders>
              <w:bottom w:val="single" w:sz="8" w:color="231F20"/>
            </w:tcBorders>
          </w:tcPr>
          <w:p>
            <w:pPr>
              <w:spacing w:after="0"/>
              <w:rPr>
                <w:sz w:val="6"/>
                <w:szCs w:val="6"/>
                <w:color w:val="auto"/>
              </w:rPr>
            </w:pPr>
          </w:p>
        </w:tc>
        <w:tc>
          <w:tcPr>
            <w:tcW w:w="840" w:type="dxa"/>
            <w:vAlign w:val="bottom"/>
            <w:tcBorders>
              <w:bottom w:val="single" w:sz="8" w:color="231F20"/>
            </w:tcBorders>
          </w:tcPr>
          <w:p>
            <w:pPr>
              <w:spacing w:after="0"/>
              <w:rPr>
                <w:sz w:val="6"/>
                <w:szCs w:val="6"/>
                <w:color w:val="auto"/>
              </w:rPr>
            </w:pPr>
          </w:p>
        </w:tc>
        <w:tc>
          <w:tcPr>
            <w:tcW w:w="0" w:type="dxa"/>
            <w:vAlign w:val="bottom"/>
          </w:tcPr>
          <w:p>
            <w:pPr>
              <w:spacing w:after="0"/>
              <w:rPr>
                <w:sz w:val="1"/>
                <w:szCs w:val="1"/>
                <w:color w:val="auto"/>
              </w:rPr>
            </w:pPr>
          </w:p>
        </w:tc>
      </w:tr>
      <w:tr>
        <w:trPr>
          <w:trHeight w:val="260"/>
        </w:trPr>
        <w:tc>
          <w:tcPr>
            <w:tcW w:w="1900" w:type="dxa"/>
            <w:vAlign w:val="bottom"/>
          </w:tcPr>
          <w:p>
            <w:pPr>
              <w:spacing w:after="0"/>
              <w:rPr>
                <w:sz w:val="20"/>
                <w:szCs w:val="20"/>
                <w:color w:val="auto"/>
              </w:rPr>
            </w:pPr>
            <w:r>
              <w:rPr>
                <w:rFonts w:ascii="Arial" w:cs="Arial" w:eastAsia="Arial" w:hAnsi="Arial"/>
                <w:sz w:val="15"/>
                <w:szCs w:val="15"/>
                <w:b w:val="1"/>
                <w:bCs w:val="1"/>
                <w:color w:val="455986"/>
              </w:rPr>
              <w:t>Lee C. Stewart</w:t>
            </w:r>
          </w:p>
        </w:tc>
        <w:tc>
          <w:tcPr>
            <w:tcW w:w="500" w:type="dxa"/>
            <w:vAlign w:val="bottom"/>
          </w:tcPr>
          <w:p>
            <w:pPr>
              <w:jc w:val="center"/>
              <w:ind w:left="4"/>
              <w:spacing w:after="0"/>
              <w:rPr>
                <w:sz w:val="20"/>
                <w:szCs w:val="20"/>
                <w:color w:val="auto"/>
              </w:rPr>
            </w:pPr>
            <w:r>
              <w:rPr>
                <w:rFonts w:ascii="Arial" w:cs="Arial" w:eastAsia="Arial" w:hAnsi="Arial"/>
                <w:sz w:val="15"/>
                <w:szCs w:val="15"/>
                <w:color w:val="231F20"/>
              </w:rPr>
              <w:t>72</w:t>
            </w:r>
          </w:p>
        </w:tc>
        <w:tc>
          <w:tcPr>
            <w:tcW w:w="760" w:type="dxa"/>
            <w:vAlign w:val="bottom"/>
          </w:tcPr>
          <w:p>
            <w:pPr>
              <w:jc w:val="center"/>
              <w:spacing w:after="0"/>
              <w:rPr>
                <w:sz w:val="20"/>
                <w:szCs w:val="20"/>
                <w:color w:val="auto"/>
              </w:rPr>
            </w:pPr>
            <w:r>
              <w:rPr>
                <w:rFonts w:ascii="Arial" w:cs="Arial" w:eastAsia="Arial" w:hAnsi="Arial"/>
                <w:sz w:val="15"/>
                <w:szCs w:val="15"/>
                <w:color w:val="231F20"/>
              </w:rPr>
              <w:t>2018</w:t>
            </w:r>
          </w:p>
        </w:tc>
        <w:tc>
          <w:tcPr>
            <w:tcW w:w="2420" w:type="dxa"/>
            <w:vAlign w:val="bottom"/>
          </w:tcPr>
          <w:p>
            <w:pPr>
              <w:ind w:left="40"/>
              <w:spacing w:after="0"/>
              <w:rPr>
                <w:sz w:val="20"/>
                <w:szCs w:val="20"/>
                <w:color w:val="auto"/>
              </w:rPr>
            </w:pPr>
            <w:r>
              <w:rPr>
                <w:rFonts w:ascii="Arial" w:cs="Arial" w:eastAsia="Arial" w:hAnsi="Arial"/>
                <w:sz w:val="14"/>
                <w:szCs w:val="14"/>
                <w:color w:val="231F20"/>
              </w:rPr>
              <w:t>Private Financial Consultant</w:t>
            </w:r>
          </w:p>
        </w:tc>
        <w:tc>
          <w:tcPr>
            <w:tcW w:w="920" w:type="dxa"/>
            <w:vAlign w:val="bottom"/>
          </w:tcPr>
          <w:p>
            <w:pPr>
              <w:jc w:val="center"/>
              <w:spacing w:after="0"/>
              <w:rPr>
                <w:sz w:val="20"/>
                <w:szCs w:val="20"/>
                <w:color w:val="auto"/>
              </w:rPr>
            </w:pPr>
            <w:r>
              <w:rPr>
                <w:rFonts w:ascii="Arial" w:cs="Arial" w:eastAsia="Arial" w:hAnsi="Arial"/>
                <w:sz w:val="15"/>
                <w:szCs w:val="15"/>
                <w:color w:val="231F20"/>
                <w:w w:val="95"/>
              </w:rPr>
              <w:t>1</w:t>
            </w:r>
          </w:p>
        </w:tc>
        <w:tc>
          <w:tcPr>
            <w:tcW w:w="780" w:type="dxa"/>
            <w:vAlign w:val="bottom"/>
          </w:tcPr>
          <w:p>
            <w:pPr>
              <w:jc w:val="center"/>
              <w:spacing w:after="0"/>
              <w:rPr>
                <w:sz w:val="20"/>
                <w:szCs w:val="20"/>
                <w:color w:val="auto"/>
              </w:rPr>
            </w:pPr>
            <w:r>
              <w:rPr>
                <w:rFonts w:ascii="Arial" w:cs="Arial" w:eastAsia="Arial" w:hAnsi="Arial"/>
                <w:sz w:val="14"/>
                <w:szCs w:val="14"/>
                <w:color w:val="455986"/>
                <w:w w:val="94"/>
              </w:rPr>
              <w:t>●</w:t>
            </w:r>
          </w:p>
        </w:tc>
        <w:tc>
          <w:tcPr>
            <w:tcW w:w="1120" w:type="dxa"/>
            <w:vAlign w:val="bottom"/>
          </w:tcPr>
          <w:p>
            <w:pPr>
              <w:jc w:val="center"/>
              <w:ind w:right="11"/>
              <w:spacing w:after="0"/>
              <w:rPr>
                <w:sz w:val="20"/>
                <w:szCs w:val="20"/>
                <w:color w:val="auto"/>
              </w:rPr>
            </w:pPr>
            <w:r>
              <w:rPr>
                <w:rFonts w:ascii="Arial" w:cs="Arial" w:eastAsia="Arial" w:hAnsi="Arial"/>
                <w:sz w:val="14"/>
                <w:szCs w:val="14"/>
                <w:color w:val="455986"/>
                <w:w w:val="94"/>
              </w:rPr>
              <w:t>●</w:t>
            </w:r>
          </w:p>
        </w:tc>
        <w:tc>
          <w:tcPr>
            <w:tcW w:w="720" w:type="dxa"/>
            <w:vAlign w:val="bottom"/>
          </w:tcPr>
          <w:p>
            <w:pPr>
              <w:jc w:val="center"/>
              <w:spacing w:after="0"/>
              <w:rPr>
                <w:sz w:val="20"/>
                <w:szCs w:val="20"/>
                <w:color w:val="auto"/>
              </w:rPr>
            </w:pPr>
            <w:r>
              <w:rPr>
                <w:rFonts w:ascii="Arial" w:cs="Arial" w:eastAsia="Arial" w:hAnsi="Arial"/>
                <w:sz w:val="14"/>
                <w:szCs w:val="14"/>
                <w:b w:val="1"/>
                <w:bCs w:val="1"/>
                <w:color w:val="4395D4"/>
                <w:w w:val="99"/>
              </w:rPr>
              <w:t>CHAIR</w:t>
            </w:r>
          </w:p>
        </w:tc>
        <w:tc>
          <w:tcPr>
            <w:tcW w:w="128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5"/>
        </w:trPr>
        <w:tc>
          <w:tcPr>
            <w:tcW w:w="1900" w:type="dxa"/>
            <w:vAlign w:val="bottom"/>
            <w:tcBorders>
              <w:bottom w:val="single" w:sz="8" w:color="231F20"/>
            </w:tcBorders>
          </w:tcPr>
          <w:p>
            <w:pPr>
              <w:spacing w:after="0"/>
              <w:rPr>
                <w:sz w:val="5"/>
                <w:szCs w:val="5"/>
                <w:color w:val="auto"/>
              </w:rPr>
            </w:pPr>
          </w:p>
        </w:tc>
        <w:tc>
          <w:tcPr>
            <w:tcW w:w="500" w:type="dxa"/>
            <w:vAlign w:val="bottom"/>
            <w:tcBorders>
              <w:bottom w:val="single" w:sz="8" w:color="231F20"/>
            </w:tcBorders>
          </w:tcPr>
          <w:p>
            <w:pPr>
              <w:spacing w:after="0"/>
              <w:rPr>
                <w:sz w:val="5"/>
                <w:szCs w:val="5"/>
                <w:color w:val="auto"/>
              </w:rPr>
            </w:pPr>
          </w:p>
        </w:tc>
        <w:tc>
          <w:tcPr>
            <w:tcW w:w="760" w:type="dxa"/>
            <w:vAlign w:val="bottom"/>
            <w:tcBorders>
              <w:bottom w:val="single" w:sz="8" w:color="231F20"/>
            </w:tcBorders>
          </w:tcPr>
          <w:p>
            <w:pPr>
              <w:spacing w:after="0"/>
              <w:rPr>
                <w:sz w:val="5"/>
                <w:szCs w:val="5"/>
                <w:color w:val="auto"/>
              </w:rPr>
            </w:pPr>
          </w:p>
        </w:tc>
        <w:tc>
          <w:tcPr>
            <w:tcW w:w="2420" w:type="dxa"/>
            <w:vAlign w:val="bottom"/>
            <w:tcBorders>
              <w:bottom w:val="single" w:sz="8" w:color="231F20"/>
            </w:tcBorders>
          </w:tcPr>
          <w:p>
            <w:pPr>
              <w:spacing w:after="0"/>
              <w:rPr>
                <w:sz w:val="5"/>
                <w:szCs w:val="5"/>
                <w:color w:val="auto"/>
              </w:rPr>
            </w:pPr>
          </w:p>
        </w:tc>
        <w:tc>
          <w:tcPr>
            <w:tcW w:w="920" w:type="dxa"/>
            <w:vAlign w:val="bottom"/>
            <w:tcBorders>
              <w:bottom w:val="single" w:sz="8" w:color="231F20"/>
            </w:tcBorders>
          </w:tcPr>
          <w:p>
            <w:pPr>
              <w:spacing w:after="0"/>
              <w:rPr>
                <w:sz w:val="5"/>
                <w:szCs w:val="5"/>
                <w:color w:val="auto"/>
              </w:rPr>
            </w:pPr>
          </w:p>
        </w:tc>
        <w:tc>
          <w:tcPr>
            <w:tcW w:w="780" w:type="dxa"/>
            <w:vAlign w:val="bottom"/>
            <w:tcBorders>
              <w:bottom w:val="single" w:sz="8" w:color="231F20"/>
            </w:tcBorders>
          </w:tcPr>
          <w:p>
            <w:pPr>
              <w:spacing w:after="0"/>
              <w:rPr>
                <w:sz w:val="5"/>
                <w:szCs w:val="5"/>
                <w:color w:val="auto"/>
              </w:rPr>
            </w:pPr>
          </w:p>
        </w:tc>
        <w:tc>
          <w:tcPr>
            <w:tcW w:w="1120" w:type="dxa"/>
            <w:vAlign w:val="bottom"/>
            <w:tcBorders>
              <w:bottom w:val="single" w:sz="8" w:color="231F20"/>
            </w:tcBorders>
          </w:tcPr>
          <w:p>
            <w:pPr>
              <w:spacing w:after="0"/>
              <w:rPr>
                <w:sz w:val="5"/>
                <w:szCs w:val="5"/>
                <w:color w:val="auto"/>
              </w:rPr>
            </w:pPr>
          </w:p>
        </w:tc>
        <w:tc>
          <w:tcPr>
            <w:tcW w:w="720" w:type="dxa"/>
            <w:vAlign w:val="bottom"/>
            <w:tcBorders>
              <w:bottom w:val="single" w:sz="8" w:color="231F20"/>
            </w:tcBorders>
          </w:tcPr>
          <w:p>
            <w:pPr>
              <w:spacing w:after="0"/>
              <w:rPr>
                <w:sz w:val="5"/>
                <w:szCs w:val="5"/>
                <w:color w:val="auto"/>
              </w:rPr>
            </w:pPr>
          </w:p>
        </w:tc>
        <w:tc>
          <w:tcPr>
            <w:tcW w:w="1280" w:type="dxa"/>
            <w:vAlign w:val="bottom"/>
            <w:tcBorders>
              <w:bottom w:val="single" w:sz="8" w:color="231F20"/>
            </w:tcBorders>
          </w:tcPr>
          <w:p>
            <w:pPr>
              <w:spacing w:after="0"/>
              <w:rPr>
                <w:sz w:val="5"/>
                <w:szCs w:val="5"/>
                <w:color w:val="auto"/>
              </w:rPr>
            </w:pPr>
          </w:p>
        </w:tc>
        <w:tc>
          <w:tcPr>
            <w:tcW w:w="840" w:type="dxa"/>
            <w:vAlign w:val="bottom"/>
            <w:tcBorders>
              <w:bottom w:val="single" w:sz="8" w:color="231F20"/>
            </w:tcBorders>
          </w:tcPr>
          <w:p>
            <w:pPr>
              <w:spacing w:after="0"/>
              <w:rPr>
                <w:sz w:val="5"/>
                <w:szCs w:val="5"/>
                <w:color w:val="auto"/>
              </w:rPr>
            </w:pPr>
          </w:p>
        </w:tc>
        <w:tc>
          <w:tcPr>
            <w:tcW w:w="0" w:type="dxa"/>
            <w:vAlign w:val="bottom"/>
          </w:tcPr>
          <w:p>
            <w:pPr>
              <w:spacing w:after="0"/>
              <w:rPr>
                <w:sz w:val="1"/>
                <w:szCs w:val="1"/>
                <w:color w:val="auto"/>
              </w:rPr>
            </w:pPr>
          </w:p>
        </w:tc>
      </w:tr>
      <w:tr>
        <w:trPr>
          <w:trHeight w:val="240"/>
        </w:trPr>
        <w:tc>
          <w:tcPr>
            <w:tcW w:w="1900" w:type="dxa"/>
            <w:vAlign w:val="bottom"/>
          </w:tcPr>
          <w:p>
            <w:pPr>
              <w:spacing w:after="0"/>
              <w:rPr>
                <w:sz w:val="20"/>
                <w:szCs w:val="20"/>
                <w:color w:val="auto"/>
              </w:rPr>
            </w:pPr>
            <w:r>
              <w:rPr>
                <w:rFonts w:ascii="Arial" w:cs="Arial" w:eastAsia="Arial" w:hAnsi="Arial"/>
                <w:sz w:val="15"/>
                <w:szCs w:val="15"/>
                <w:b w:val="1"/>
                <w:bCs w:val="1"/>
                <w:color w:val="455986"/>
              </w:rPr>
              <w:t>Christopher C. Womack</w:t>
            </w:r>
          </w:p>
        </w:tc>
        <w:tc>
          <w:tcPr>
            <w:tcW w:w="500" w:type="dxa"/>
            <w:vAlign w:val="bottom"/>
          </w:tcPr>
          <w:p>
            <w:pPr>
              <w:jc w:val="center"/>
              <w:ind w:left="4"/>
              <w:spacing w:after="0"/>
              <w:rPr>
                <w:sz w:val="20"/>
                <w:szCs w:val="20"/>
                <w:color w:val="auto"/>
              </w:rPr>
            </w:pPr>
            <w:r>
              <w:rPr>
                <w:rFonts w:ascii="Arial" w:cs="Arial" w:eastAsia="Arial" w:hAnsi="Arial"/>
                <w:sz w:val="15"/>
                <w:szCs w:val="15"/>
                <w:color w:val="231F20"/>
              </w:rPr>
              <w:t>63</w:t>
            </w:r>
          </w:p>
        </w:tc>
        <w:tc>
          <w:tcPr>
            <w:tcW w:w="760" w:type="dxa"/>
            <w:vAlign w:val="bottom"/>
          </w:tcPr>
          <w:p>
            <w:pPr>
              <w:jc w:val="center"/>
              <w:spacing w:after="0"/>
              <w:rPr>
                <w:sz w:val="20"/>
                <w:szCs w:val="20"/>
                <w:color w:val="auto"/>
              </w:rPr>
            </w:pPr>
            <w:r>
              <w:rPr>
                <w:rFonts w:ascii="Arial" w:cs="Arial" w:eastAsia="Arial" w:hAnsi="Arial"/>
                <w:sz w:val="15"/>
                <w:szCs w:val="15"/>
                <w:color w:val="231F20"/>
              </w:rPr>
              <w:t>2019</w:t>
            </w:r>
          </w:p>
        </w:tc>
        <w:tc>
          <w:tcPr>
            <w:tcW w:w="2420" w:type="dxa"/>
            <w:vAlign w:val="bottom"/>
          </w:tcPr>
          <w:p>
            <w:pPr>
              <w:ind w:left="40"/>
              <w:spacing w:after="0"/>
              <w:rPr>
                <w:sz w:val="20"/>
                <w:szCs w:val="20"/>
                <w:color w:val="auto"/>
              </w:rPr>
            </w:pPr>
            <w:r>
              <w:rPr>
                <w:rFonts w:ascii="Arial" w:cs="Arial" w:eastAsia="Arial" w:hAnsi="Arial"/>
                <w:sz w:val="14"/>
                <w:szCs w:val="14"/>
                <w:color w:val="231F20"/>
              </w:rPr>
              <w:t>President, Georgia Power</w:t>
            </w:r>
          </w:p>
        </w:tc>
        <w:tc>
          <w:tcPr>
            <w:tcW w:w="920" w:type="dxa"/>
            <w:vAlign w:val="bottom"/>
          </w:tcPr>
          <w:p>
            <w:pPr>
              <w:jc w:val="center"/>
              <w:spacing w:after="0"/>
              <w:rPr>
                <w:sz w:val="20"/>
                <w:szCs w:val="20"/>
                <w:color w:val="auto"/>
              </w:rPr>
            </w:pPr>
            <w:r>
              <w:rPr>
                <w:rFonts w:ascii="Arial" w:cs="Arial" w:eastAsia="Arial" w:hAnsi="Arial"/>
                <w:sz w:val="15"/>
                <w:szCs w:val="15"/>
                <w:color w:val="231F20"/>
                <w:w w:val="95"/>
              </w:rPr>
              <w:t>0</w:t>
            </w:r>
          </w:p>
        </w:tc>
        <w:tc>
          <w:tcPr>
            <w:tcW w:w="7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280" w:type="dxa"/>
            <w:vAlign w:val="bottom"/>
          </w:tcPr>
          <w:p>
            <w:pPr>
              <w:jc w:val="center"/>
              <w:spacing w:after="0"/>
              <w:rPr>
                <w:sz w:val="20"/>
                <w:szCs w:val="20"/>
                <w:color w:val="auto"/>
              </w:rPr>
            </w:pPr>
            <w:r>
              <w:rPr>
                <w:rFonts w:ascii="Arial" w:cs="Arial" w:eastAsia="Arial" w:hAnsi="Arial"/>
                <w:sz w:val="14"/>
                <w:szCs w:val="14"/>
                <w:color w:val="455986"/>
                <w:w w:val="94"/>
              </w:rPr>
              <w:t>●</w:t>
            </w:r>
          </w:p>
        </w:tc>
        <w:tc>
          <w:tcPr>
            <w:tcW w:w="840" w:type="dxa"/>
            <w:vAlign w:val="bottom"/>
          </w:tcPr>
          <w:p>
            <w:pPr>
              <w:jc w:val="center"/>
              <w:spacing w:after="0"/>
              <w:rPr>
                <w:sz w:val="20"/>
                <w:szCs w:val="20"/>
                <w:color w:val="auto"/>
              </w:rPr>
            </w:pPr>
            <w:r>
              <w:rPr>
                <w:rFonts w:ascii="Arial" w:cs="Arial" w:eastAsia="Arial" w:hAnsi="Arial"/>
                <w:sz w:val="14"/>
                <w:szCs w:val="14"/>
                <w:color w:val="455986"/>
                <w:w w:val="94"/>
              </w:rPr>
              <w:t>●</w:t>
            </w:r>
          </w:p>
        </w:tc>
        <w:tc>
          <w:tcPr>
            <w:tcW w:w="0" w:type="dxa"/>
            <w:vAlign w:val="bottom"/>
          </w:tcPr>
          <w:p>
            <w:pPr>
              <w:spacing w:after="0"/>
              <w:rPr>
                <w:sz w:val="1"/>
                <w:szCs w:val="1"/>
                <w:color w:val="auto"/>
              </w:rPr>
            </w:pPr>
          </w:p>
        </w:tc>
      </w:tr>
      <w:tr>
        <w:trPr>
          <w:trHeight w:val="33"/>
        </w:trPr>
        <w:tc>
          <w:tcPr>
            <w:tcW w:w="2400" w:type="dxa"/>
            <w:vAlign w:val="bottom"/>
            <w:tcBorders>
              <w:bottom w:val="single" w:sz="8" w:color="455986"/>
            </w:tcBorders>
            <w:gridSpan w:val="2"/>
          </w:tcPr>
          <w:p>
            <w:pPr>
              <w:spacing w:after="0"/>
              <w:rPr>
                <w:sz w:val="2"/>
                <w:szCs w:val="2"/>
                <w:color w:val="auto"/>
              </w:rPr>
            </w:pPr>
          </w:p>
        </w:tc>
        <w:tc>
          <w:tcPr>
            <w:tcW w:w="760" w:type="dxa"/>
            <w:vAlign w:val="bottom"/>
            <w:tcBorders>
              <w:bottom w:val="single" w:sz="8" w:color="455986"/>
            </w:tcBorders>
          </w:tcPr>
          <w:p>
            <w:pPr>
              <w:spacing w:after="0"/>
              <w:rPr>
                <w:sz w:val="2"/>
                <w:szCs w:val="2"/>
                <w:color w:val="auto"/>
              </w:rPr>
            </w:pPr>
          </w:p>
        </w:tc>
        <w:tc>
          <w:tcPr>
            <w:tcW w:w="2420" w:type="dxa"/>
            <w:vAlign w:val="bottom"/>
            <w:tcBorders>
              <w:bottom w:val="single" w:sz="8" w:color="455986"/>
            </w:tcBorders>
          </w:tcPr>
          <w:p>
            <w:pPr>
              <w:spacing w:after="0"/>
              <w:rPr>
                <w:sz w:val="2"/>
                <w:szCs w:val="2"/>
                <w:color w:val="auto"/>
              </w:rPr>
            </w:pPr>
          </w:p>
        </w:tc>
        <w:tc>
          <w:tcPr>
            <w:tcW w:w="920" w:type="dxa"/>
            <w:vAlign w:val="bottom"/>
            <w:tcBorders>
              <w:bottom w:val="single" w:sz="8" w:color="455986"/>
            </w:tcBorders>
          </w:tcPr>
          <w:p>
            <w:pPr>
              <w:spacing w:after="0"/>
              <w:rPr>
                <w:sz w:val="2"/>
                <w:szCs w:val="2"/>
                <w:color w:val="auto"/>
              </w:rPr>
            </w:pPr>
          </w:p>
        </w:tc>
        <w:tc>
          <w:tcPr>
            <w:tcW w:w="780" w:type="dxa"/>
            <w:vAlign w:val="bottom"/>
            <w:tcBorders>
              <w:bottom w:val="single" w:sz="8" w:color="455986"/>
            </w:tcBorders>
          </w:tcPr>
          <w:p>
            <w:pPr>
              <w:spacing w:after="0"/>
              <w:rPr>
                <w:sz w:val="2"/>
                <w:szCs w:val="2"/>
                <w:color w:val="auto"/>
              </w:rPr>
            </w:pPr>
          </w:p>
        </w:tc>
        <w:tc>
          <w:tcPr>
            <w:tcW w:w="1120" w:type="dxa"/>
            <w:vAlign w:val="bottom"/>
            <w:tcBorders>
              <w:bottom w:val="single" w:sz="8" w:color="455986"/>
            </w:tcBorders>
          </w:tcPr>
          <w:p>
            <w:pPr>
              <w:spacing w:after="0"/>
              <w:rPr>
                <w:sz w:val="2"/>
                <w:szCs w:val="2"/>
                <w:color w:val="auto"/>
              </w:rPr>
            </w:pPr>
          </w:p>
        </w:tc>
        <w:tc>
          <w:tcPr>
            <w:tcW w:w="720" w:type="dxa"/>
            <w:vAlign w:val="bottom"/>
            <w:tcBorders>
              <w:bottom w:val="single" w:sz="8" w:color="455986"/>
            </w:tcBorders>
          </w:tcPr>
          <w:p>
            <w:pPr>
              <w:spacing w:after="0"/>
              <w:rPr>
                <w:sz w:val="2"/>
                <w:szCs w:val="2"/>
                <w:color w:val="auto"/>
              </w:rPr>
            </w:pPr>
          </w:p>
        </w:tc>
        <w:tc>
          <w:tcPr>
            <w:tcW w:w="1280" w:type="dxa"/>
            <w:vAlign w:val="bottom"/>
            <w:tcBorders>
              <w:bottom w:val="single" w:sz="8" w:color="455986"/>
            </w:tcBorders>
          </w:tcPr>
          <w:p>
            <w:pPr>
              <w:spacing w:after="0"/>
              <w:rPr>
                <w:sz w:val="2"/>
                <w:szCs w:val="2"/>
                <w:color w:val="auto"/>
              </w:rPr>
            </w:pPr>
          </w:p>
        </w:tc>
        <w:tc>
          <w:tcPr>
            <w:tcW w:w="840" w:type="dxa"/>
            <w:vAlign w:val="bottom"/>
            <w:tcBorders>
              <w:bottom w:val="single" w:sz="8" w:color="455986"/>
            </w:tcBorders>
          </w:tcPr>
          <w:p>
            <w:pPr>
              <w:spacing w:after="0"/>
              <w:rPr>
                <w:sz w:val="2"/>
                <w:szCs w:val="2"/>
                <w:color w:val="auto"/>
              </w:rPr>
            </w:pPr>
          </w:p>
        </w:tc>
        <w:tc>
          <w:tcPr>
            <w:tcW w:w="0" w:type="dxa"/>
            <w:vAlign w:val="bottom"/>
          </w:tcPr>
          <w:p>
            <w:pPr>
              <w:spacing w:after="0"/>
              <w:rPr>
                <w:sz w:val="1"/>
                <w:szCs w:val="1"/>
                <w:color w:val="auto"/>
              </w:rPr>
            </w:pPr>
          </w:p>
        </w:tc>
      </w:tr>
      <w:tr>
        <w:trPr>
          <w:trHeight w:val="258"/>
        </w:trPr>
        <w:tc>
          <w:tcPr>
            <w:tcW w:w="2400" w:type="dxa"/>
            <w:vAlign w:val="bottom"/>
            <w:gridSpan w:val="2"/>
          </w:tcPr>
          <w:p>
            <w:pPr>
              <w:spacing w:after="0"/>
              <w:rPr>
                <w:sz w:val="20"/>
                <w:szCs w:val="20"/>
                <w:color w:val="auto"/>
              </w:rPr>
            </w:pPr>
            <w:r>
              <w:rPr>
                <w:rFonts w:ascii="Arial" w:cs="Arial" w:eastAsia="Arial" w:hAnsi="Arial"/>
                <w:sz w:val="15"/>
                <w:szCs w:val="15"/>
                <w:color w:val="231F20"/>
              </w:rPr>
              <w:t>Committee Meetings held in 2020</w:t>
            </w:r>
          </w:p>
        </w:tc>
        <w:tc>
          <w:tcPr>
            <w:tcW w:w="760" w:type="dxa"/>
            <w:vAlign w:val="bottom"/>
          </w:tcPr>
          <w:p>
            <w:pPr>
              <w:spacing w:after="0"/>
              <w:rPr>
                <w:sz w:val="22"/>
                <w:szCs w:val="22"/>
                <w:color w:val="auto"/>
              </w:rPr>
            </w:pPr>
          </w:p>
        </w:tc>
        <w:tc>
          <w:tcPr>
            <w:tcW w:w="24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780" w:type="dxa"/>
            <w:vAlign w:val="bottom"/>
          </w:tcPr>
          <w:p>
            <w:pPr>
              <w:jc w:val="center"/>
              <w:spacing w:after="0"/>
              <w:rPr>
                <w:sz w:val="20"/>
                <w:szCs w:val="20"/>
                <w:color w:val="auto"/>
              </w:rPr>
            </w:pPr>
            <w:r>
              <w:rPr>
                <w:rFonts w:ascii="Arial" w:cs="Arial" w:eastAsia="Arial" w:hAnsi="Arial"/>
                <w:sz w:val="15"/>
                <w:szCs w:val="15"/>
                <w:color w:val="231F20"/>
              </w:rPr>
              <w:t>0</w:t>
            </w:r>
          </w:p>
        </w:tc>
        <w:tc>
          <w:tcPr>
            <w:tcW w:w="1120" w:type="dxa"/>
            <w:vAlign w:val="bottom"/>
          </w:tcPr>
          <w:p>
            <w:pPr>
              <w:jc w:val="center"/>
              <w:ind w:right="11"/>
              <w:spacing w:after="0"/>
              <w:rPr>
                <w:sz w:val="20"/>
                <w:szCs w:val="20"/>
                <w:color w:val="auto"/>
              </w:rPr>
            </w:pPr>
            <w:r>
              <w:rPr>
                <w:rFonts w:ascii="Arial" w:cs="Arial" w:eastAsia="Arial" w:hAnsi="Arial"/>
                <w:sz w:val="15"/>
                <w:szCs w:val="15"/>
                <w:color w:val="231F20"/>
                <w:w w:val="95"/>
              </w:rPr>
              <w:t>6</w:t>
            </w:r>
          </w:p>
        </w:tc>
        <w:tc>
          <w:tcPr>
            <w:tcW w:w="720" w:type="dxa"/>
            <w:vAlign w:val="bottom"/>
          </w:tcPr>
          <w:p>
            <w:pPr>
              <w:jc w:val="center"/>
              <w:spacing w:after="0"/>
              <w:rPr>
                <w:sz w:val="20"/>
                <w:szCs w:val="20"/>
                <w:color w:val="auto"/>
              </w:rPr>
            </w:pPr>
            <w:r>
              <w:rPr>
                <w:rFonts w:ascii="Arial" w:cs="Arial" w:eastAsia="Arial" w:hAnsi="Arial"/>
                <w:sz w:val="15"/>
                <w:szCs w:val="15"/>
                <w:color w:val="231F20"/>
                <w:w w:val="95"/>
              </w:rPr>
              <w:t>8</w:t>
            </w:r>
          </w:p>
        </w:tc>
        <w:tc>
          <w:tcPr>
            <w:tcW w:w="1280" w:type="dxa"/>
            <w:vAlign w:val="bottom"/>
          </w:tcPr>
          <w:p>
            <w:pPr>
              <w:jc w:val="center"/>
              <w:spacing w:after="0"/>
              <w:rPr>
                <w:sz w:val="20"/>
                <w:szCs w:val="20"/>
                <w:color w:val="auto"/>
              </w:rPr>
            </w:pPr>
            <w:r>
              <w:rPr>
                <w:rFonts w:ascii="Arial" w:cs="Arial" w:eastAsia="Arial" w:hAnsi="Arial"/>
                <w:sz w:val="15"/>
                <w:szCs w:val="15"/>
                <w:color w:val="231F20"/>
              </w:rPr>
              <w:t>5</w:t>
            </w:r>
          </w:p>
        </w:tc>
        <w:tc>
          <w:tcPr>
            <w:tcW w:w="840" w:type="dxa"/>
            <w:vAlign w:val="bottom"/>
          </w:tcPr>
          <w:p>
            <w:pPr>
              <w:jc w:val="center"/>
              <w:spacing w:after="0"/>
              <w:rPr>
                <w:sz w:val="20"/>
                <w:szCs w:val="20"/>
                <w:color w:val="auto"/>
              </w:rPr>
            </w:pPr>
            <w:r>
              <w:rPr>
                <w:rFonts w:ascii="Arial" w:cs="Arial" w:eastAsia="Arial" w:hAnsi="Arial"/>
                <w:sz w:val="15"/>
                <w:szCs w:val="15"/>
                <w:color w:val="231F20"/>
              </w:rPr>
              <w:t>5</w:t>
            </w:r>
          </w:p>
        </w:tc>
        <w:tc>
          <w:tcPr>
            <w:tcW w:w="0" w:type="dxa"/>
            <w:vAlign w:val="bottom"/>
          </w:tcPr>
          <w:p>
            <w:pPr>
              <w:spacing w:after="0"/>
              <w:rPr>
                <w:sz w:val="1"/>
                <w:szCs w:val="1"/>
                <w:color w:val="auto"/>
              </w:rPr>
            </w:pPr>
          </w:p>
        </w:tc>
      </w:tr>
      <w:tr>
        <w:trPr>
          <w:trHeight w:val="67"/>
        </w:trPr>
        <w:tc>
          <w:tcPr>
            <w:tcW w:w="1900" w:type="dxa"/>
            <w:vAlign w:val="bottom"/>
            <w:tcBorders>
              <w:bottom w:val="single" w:sz="8" w:color="455986"/>
            </w:tcBorders>
          </w:tcPr>
          <w:p>
            <w:pPr>
              <w:spacing w:after="0"/>
              <w:rPr>
                <w:sz w:val="5"/>
                <w:szCs w:val="5"/>
                <w:color w:val="auto"/>
              </w:rPr>
            </w:pPr>
          </w:p>
        </w:tc>
        <w:tc>
          <w:tcPr>
            <w:tcW w:w="500" w:type="dxa"/>
            <w:vAlign w:val="bottom"/>
            <w:tcBorders>
              <w:bottom w:val="single" w:sz="8" w:color="455986"/>
            </w:tcBorders>
          </w:tcPr>
          <w:p>
            <w:pPr>
              <w:spacing w:after="0"/>
              <w:rPr>
                <w:sz w:val="5"/>
                <w:szCs w:val="5"/>
                <w:color w:val="auto"/>
              </w:rPr>
            </w:pPr>
          </w:p>
        </w:tc>
        <w:tc>
          <w:tcPr>
            <w:tcW w:w="760" w:type="dxa"/>
            <w:vAlign w:val="bottom"/>
            <w:tcBorders>
              <w:bottom w:val="single" w:sz="8" w:color="455986"/>
            </w:tcBorders>
          </w:tcPr>
          <w:p>
            <w:pPr>
              <w:spacing w:after="0"/>
              <w:rPr>
                <w:sz w:val="5"/>
                <w:szCs w:val="5"/>
                <w:color w:val="auto"/>
              </w:rPr>
            </w:pPr>
          </w:p>
        </w:tc>
        <w:tc>
          <w:tcPr>
            <w:tcW w:w="2420" w:type="dxa"/>
            <w:vAlign w:val="bottom"/>
            <w:tcBorders>
              <w:bottom w:val="single" w:sz="8" w:color="455986"/>
            </w:tcBorders>
          </w:tcPr>
          <w:p>
            <w:pPr>
              <w:spacing w:after="0"/>
              <w:rPr>
                <w:sz w:val="5"/>
                <w:szCs w:val="5"/>
                <w:color w:val="auto"/>
              </w:rPr>
            </w:pPr>
          </w:p>
        </w:tc>
        <w:tc>
          <w:tcPr>
            <w:tcW w:w="920" w:type="dxa"/>
            <w:vAlign w:val="bottom"/>
            <w:tcBorders>
              <w:bottom w:val="single" w:sz="8" w:color="455986"/>
            </w:tcBorders>
          </w:tcPr>
          <w:p>
            <w:pPr>
              <w:spacing w:after="0"/>
              <w:rPr>
                <w:sz w:val="5"/>
                <w:szCs w:val="5"/>
                <w:color w:val="auto"/>
              </w:rPr>
            </w:pPr>
          </w:p>
        </w:tc>
        <w:tc>
          <w:tcPr>
            <w:tcW w:w="780" w:type="dxa"/>
            <w:vAlign w:val="bottom"/>
            <w:tcBorders>
              <w:bottom w:val="single" w:sz="8" w:color="455986"/>
            </w:tcBorders>
          </w:tcPr>
          <w:p>
            <w:pPr>
              <w:spacing w:after="0"/>
              <w:rPr>
                <w:sz w:val="5"/>
                <w:szCs w:val="5"/>
                <w:color w:val="auto"/>
              </w:rPr>
            </w:pPr>
          </w:p>
        </w:tc>
        <w:tc>
          <w:tcPr>
            <w:tcW w:w="1120" w:type="dxa"/>
            <w:vAlign w:val="bottom"/>
            <w:tcBorders>
              <w:bottom w:val="single" w:sz="8" w:color="455986"/>
            </w:tcBorders>
          </w:tcPr>
          <w:p>
            <w:pPr>
              <w:spacing w:after="0"/>
              <w:rPr>
                <w:sz w:val="5"/>
                <w:szCs w:val="5"/>
                <w:color w:val="auto"/>
              </w:rPr>
            </w:pPr>
          </w:p>
        </w:tc>
        <w:tc>
          <w:tcPr>
            <w:tcW w:w="720" w:type="dxa"/>
            <w:vAlign w:val="bottom"/>
            <w:tcBorders>
              <w:bottom w:val="single" w:sz="8" w:color="455986"/>
            </w:tcBorders>
          </w:tcPr>
          <w:p>
            <w:pPr>
              <w:spacing w:after="0"/>
              <w:rPr>
                <w:sz w:val="5"/>
                <w:szCs w:val="5"/>
                <w:color w:val="auto"/>
              </w:rPr>
            </w:pPr>
          </w:p>
        </w:tc>
        <w:tc>
          <w:tcPr>
            <w:tcW w:w="1280" w:type="dxa"/>
            <w:vAlign w:val="bottom"/>
            <w:tcBorders>
              <w:bottom w:val="single" w:sz="8" w:color="455986"/>
            </w:tcBorders>
          </w:tcPr>
          <w:p>
            <w:pPr>
              <w:spacing w:after="0"/>
              <w:rPr>
                <w:sz w:val="5"/>
                <w:szCs w:val="5"/>
                <w:color w:val="auto"/>
              </w:rPr>
            </w:pPr>
          </w:p>
        </w:tc>
        <w:tc>
          <w:tcPr>
            <w:tcW w:w="840" w:type="dxa"/>
            <w:vAlign w:val="bottom"/>
            <w:tcBorders>
              <w:bottom w:val="single" w:sz="8" w:color="455986"/>
            </w:tcBorders>
          </w:tcPr>
          <w:p>
            <w:pPr>
              <w:spacing w:after="0"/>
              <w:rPr>
                <w:sz w:val="5"/>
                <w:szCs w:val="5"/>
                <w:color w:val="auto"/>
              </w:rPr>
            </w:pPr>
          </w:p>
        </w:tc>
        <w:tc>
          <w:tcPr>
            <w:tcW w:w="0" w:type="dxa"/>
            <w:vAlign w:val="bottom"/>
          </w:tcPr>
          <w:p>
            <w:pPr>
              <w:spacing w:after="0"/>
              <w:rPr>
                <w:sz w:val="1"/>
                <w:szCs w:val="1"/>
                <w:color w:val="auto"/>
              </w:rPr>
            </w:pPr>
          </w:p>
        </w:tc>
      </w:tr>
    </w:tbl>
    <w:p>
      <w:pPr>
        <w:spacing w:after="0" w:line="213" w:lineRule="exact"/>
        <w:rPr>
          <w:sz w:val="20"/>
          <w:szCs w:val="20"/>
          <w:color w:val="auto"/>
        </w:rPr>
      </w:pPr>
    </w:p>
    <w:p>
      <w:pPr>
        <w:ind w:left="200" w:hanging="198"/>
        <w:spacing w:after="0"/>
        <w:tabs>
          <w:tab w:leader="none" w:pos="200" w:val="left"/>
        </w:tabs>
        <w:numPr>
          <w:ilvl w:val="0"/>
          <w:numId w:val="8"/>
        </w:numPr>
        <w:rPr>
          <w:rFonts w:ascii="Arial" w:cs="Arial" w:eastAsia="Arial" w:hAnsi="Arial"/>
          <w:sz w:val="13"/>
          <w:szCs w:val="13"/>
          <w:color w:val="231F20"/>
        </w:rPr>
      </w:pPr>
      <w:r>
        <w:rPr>
          <w:rFonts w:ascii="Arial" w:cs="Arial" w:eastAsia="Arial" w:hAnsi="Arial"/>
          <w:sz w:val="13"/>
          <w:szCs w:val="13"/>
          <w:color w:val="231F20"/>
        </w:rPr>
        <w:t>If Ms. Kelly is elected as a Director, it is anticipated that she will be a member of the Company’s Audit and Risk Mitigation &amp; Investment Policy Committees.</w:t>
      </w:r>
    </w:p>
    <w:p>
      <w:pPr>
        <w:spacing w:after="0" w:line="67" w:lineRule="exact"/>
        <w:rPr>
          <w:sz w:val="20"/>
          <w:szCs w:val="20"/>
          <w:color w:val="auto"/>
        </w:rPr>
      </w:pPr>
    </w:p>
    <w:p>
      <w:pPr>
        <w:spacing w:after="0"/>
        <w:tabs>
          <w:tab w:leader="none" w:pos="180" w:val="left"/>
        </w:tabs>
        <w:rPr>
          <w:sz w:val="20"/>
          <w:szCs w:val="20"/>
          <w:color w:val="auto"/>
        </w:rPr>
      </w:pPr>
      <w:r>
        <w:rPr>
          <w:rFonts w:ascii="Arial" w:cs="Arial" w:eastAsia="Arial" w:hAnsi="Arial"/>
          <w:sz w:val="13"/>
          <w:szCs w:val="13"/>
          <w:color w:val="auto"/>
        </w:rPr>
        <w:t>**</w:t>
      </w:r>
      <w:r>
        <w:rPr>
          <w:sz w:val="20"/>
          <w:szCs w:val="20"/>
          <w:color w:val="auto"/>
        </w:rPr>
        <w:tab/>
      </w:r>
      <w:r>
        <w:rPr>
          <w:rFonts w:ascii="Arial" w:cs="Arial" w:eastAsia="Arial" w:hAnsi="Arial"/>
          <w:sz w:val="12"/>
          <w:szCs w:val="12"/>
          <w:color w:val="auto"/>
        </w:rPr>
        <w:t>The present Chair of the Risk Mitigation &amp; Investment Policy Committee, Nicholas DeBenedictis is retiring. The new Chair will be appointed following the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61595</wp:posOffset>
            </wp:positionV>
            <wp:extent cx="7139940" cy="280416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9940" cy="28041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right"/>
        <w:spacing w:after="0"/>
        <w:tabs>
          <w:tab w:leader="none" w:pos="60" w:val="left"/>
        </w:tabs>
        <w:rPr>
          <w:sz w:val="20"/>
          <w:szCs w:val="20"/>
          <w:color w:val="auto"/>
        </w:rPr>
      </w:pPr>
      <w:r>
        <w:rPr>
          <w:rFonts w:ascii="Arial" w:cs="Arial" w:eastAsia="Arial" w:hAnsi="Arial"/>
          <w:sz w:val="12"/>
          <w:szCs w:val="12"/>
          <w:color w:val="4395D4"/>
        </w:rPr>
        <w:t xml:space="preserve">ESSENTIAL UTILITIES, INC. </w:t>
      </w:r>
      <w:r>
        <w:rPr>
          <w:rFonts w:ascii="Arial" w:cs="Arial" w:eastAsia="Arial" w:hAnsi="Arial"/>
          <w:sz w:val="12"/>
          <w:szCs w:val="12"/>
          <w:color w:val="455986"/>
        </w:rPr>
        <w:t>2021 PROXY STATEMENT</w:t>
      </w:r>
      <w:r>
        <w:rPr>
          <w:sz w:val="20"/>
          <w:szCs w:val="20"/>
          <w:color w:val="auto"/>
        </w:rPr>
        <w:tab/>
      </w:r>
      <w:r>
        <w:rPr>
          <w:rFonts w:ascii="Arial" w:cs="Arial" w:eastAsia="Arial" w:hAnsi="Arial"/>
          <w:sz w:val="14"/>
          <w:szCs w:val="14"/>
          <w:color w:val="455986"/>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346710</wp:posOffset>
            </wp:positionV>
            <wp:extent cx="7139940" cy="2413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9940" cy="24130"/>
                    </a:xfrm>
                    <a:prstGeom prst="rect">
                      <a:avLst/>
                    </a:prstGeom>
                    <a:noFill/>
                  </pic:spPr>
                </pic:pic>
              </a:graphicData>
            </a:graphic>
          </wp:anchor>
        </w:drawing>
      </w:r>
    </w:p>
    <w:p>
      <w:pPr>
        <w:sectPr>
          <w:pgSz w:w="11900" w:h="16838" w:orient="portrait"/>
          <w:cols w:equalWidth="0" w:num="1">
            <w:col w:w="11240"/>
          </w:cols>
          <w:pgMar w:left="320" w:top="636" w:right="339" w:bottom="1440" w:gutter="0" w:footer="0" w:header="0"/>
        </w:sectPr>
      </w:pPr>
    </w:p>
    <w:bookmarkStart w:id="8" w:name="page9"/>
    <w:bookmarkEnd w:id="8"/>
    <w:p>
      <w:pPr>
        <w:spacing w:after="0"/>
        <w:rPr>
          <w:sz w:val="20"/>
          <w:szCs w:val="20"/>
          <w:color w:val="auto"/>
        </w:rPr>
      </w:pPr>
      <w:r>
        <w:rPr>
          <w:rFonts w:ascii="Arial" w:cs="Arial" w:eastAsia="Arial" w:hAnsi="Arial"/>
          <w:sz w:val="14"/>
          <w:szCs w:val="14"/>
          <w:b w:val="1"/>
          <w:bCs w:val="1"/>
          <w:color w:val="455986"/>
        </w:rPr>
        <w:t>Proxy Summary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27940</wp:posOffset>
            </wp:positionV>
            <wp:extent cx="713994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9940" cy="8255"/>
                    </a:xfrm>
                    <a:prstGeom prst="rect">
                      <a:avLst/>
                    </a:prstGeom>
                    <a:noFill/>
                  </pic:spPr>
                </pic:pic>
              </a:graphicData>
            </a:graphic>
          </wp:anchor>
        </w:drawing>
      </w:r>
    </w:p>
    <w:p>
      <w:pPr>
        <w:spacing w:after="0" w:line="76" w:lineRule="exact"/>
        <w:rPr>
          <w:sz w:val="20"/>
          <w:szCs w:val="20"/>
          <w:color w:val="auto"/>
        </w:rPr>
      </w:pPr>
    </w:p>
    <w:p>
      <w:pPr>
        <w:spacing w:after="0"/>
        <w:rPr>
          <w:sz w:val="20"/>
          <w:szCs w:val="20"/>
          <w:color w:val="auto"/>
        </w:rPr>
      </w:pPr>
      <w:r>
        <w:rPr>
          <w:rFonts w:ascii="Arial" w:cs="Arial" w:eastAsia="Arial" w:hAnsi="Arial"/>
          <w:sz w:val="14"/>
          <w:szCs w:val="14"/>
          <w:color w:val="231F20"/>
        </w:rPr>
        <w:t>Board Composition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123825</wp:posOffset>
            </wp:positionV>
            <wp:extent cx="6013450" cy="27070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013450" cy="27070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spacing w:after="0"/>
        <w:rPr>
          <w:sz w:val="20"/>
          <w:szCs w:val="20"/>
          <w:color w:val="auto"/>
        </w:rPr>
      </w:pPr>
      <w:r>
        <w:rPr>
          <w:rFonts w:ascii="Arial" w:cs="Arial" w:eastAsia="Arial" w:hAnsi="Arial"/>
          <w:sz w:val="24"/>
          <w:szCs w:val="24"/>
          <w:b w:val="1"/>
          <w:bCs w:val="1"/>
          <w:color w:val="455986"/>
        </w:rPr>
        <w:t>Corporate Governance Highlights</w:t>
      </w:r>
    </w:p>
    <w:p>
      <w:pPr>
        <w:spacing w:after="0" w:line="208" w:lineRule="exact"/>
        <w:rPr>
          <w:sz w:val="20"/>
          <w:szCs w:val="20"/>
          <w:color w:val="auto"/>
        </w:rPr>
      </w:pPr>
    </w:p>
    <w:p>
      <w:pPr>
        <w:ind w:right="260"/>
        <w:spacing w:after="0" w:line="278" w:lineRule="auto"/>
        <w:rPr>
          <w:sz w:val="20"/>
          <w:szCs w:val="20"/>
          <w:color w:val="auto"/>
        </w:rPr>
      </w:pPr>
      <w:r>
        <w:rPr>
          <w:rFonts w:ascii="Arial" w:cs="Arial" w:eastAsia="Arial" w:hAnsi="Arial"/>
          <w:sz w:val="14"/>
          <w:szCs w:val="14"/>
          <w:color w:val="231F20"/>
        </w:rPr>
        <w:t>We are committed to maintaining strong standards of corporate governance, which promote the long-term interests of our shareholders, strengthen Board and management accountability, and help build public trust in our Company. The Corporate Governance section beginning on page 17 describes our corporate governance framework.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141605</wp:posOffset>
            </wp:positionV>
            <wp:extent cx="713994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9940" cy="8255"/>
                    </a:xfrm>
                    <a:prstGeom prst="rect">
                      <a:avLst/>
                    </a:prstGeom>
                    <a:noFill/>
                  </pic:spPr>
                </pic:pic>
              </a:graphicData>
            </a:graphic>
          </wp:anchor>
        </w:drawing>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2580" w:type="dxa"/>
            <w:vAlign w:val="bottom"/>
          </w:tcPr>
          <w:p>
            <w:pPr>
              <w:spacing w:after="0"/>
              <w:rPr>
                <w:sz w:val="20"/>
                <w:szCs w:val="20"/>
                <w:color w:val="auto"/>
              </w:rPr>
            </w:pPr>
            <w:r>
              <w:rPr>
                <w:rFonts w:ascii="Arial" w:cs="Arial" w:eastAsia="Arial" w:hAnsi="Arial"/>
                <w:sz w:val="14"/>
                <w:szCs w:val="14"/>
                <w:b w:val="1"/>
                <w:bCs w:val="1"/>
                <w:color w:val="455986"/>
              </w:rPr>
              <w:t>Board Accountability</w:t>
            </w:r>
          </w:p>
        </w:tc>
        <w:tc>
          <w:tcPr>
            <w:tcW w:w="320" w:type="dxa"/>
            <w:vAlign w:val="bottom"/>
          </w:tcPr>
          <w:p>
            <w:pPr>
              <w:jc w:val="right"/>
              <w:spacing w:after="0"/>
              <w:rPr>
                <w:sz w:val="20"/>
                <w:szCs w:val="20"/>
                <w:color w:val="auto"/>
              </w:rPr>
            </w:pPr>
            <w:r>
              <w:rPr>
                <w:rFonts w:ascii="Times New Roman" w:cs="Times New Roman" w:eastAsia="Times New Roman" w:hAnsi="Times New Roman"/>
                <w:sz w:val="14"/>
                <w:szCs w:val="14"/>
                <w:color w:val="455986"/>
              </w:rPr>
              <w:t>·</w:t>
            </w:r>
          </w:p>
        </w:tc>
        <w:tc>
          <w:tcPr>
            <w:tcW w:w="8340" w:type="dxa"/>
            <w:vAlign w:val="bottom"/>
            <w:gridSpan w:val="2"/>
          </w:tcPr>
          <w:p>
            <w:pPr>
              <w:ind w:left="40"/>
              <w:spacing w:after="0"/>
              <w:rPr>
                <w:sz w:val="20"/>
                <w:szCs w:val="20"/>
                <w:color w:val="auto"/>
              </w:rPr>
            </w:pPr>
            <w:r>
              <w:rPr>
                <w:rFonts w:ascii="Arial" w:cs="Arial" w:eastAsia="Arial" w:hAnsi="Arial"/>
                <w:sz w:val="14"/>
                <w:szCs w:val="14"/>
                <w:color w:val="231F20"/>
              </w:rPr>
              <w:t>Annual election of directors</w:t>
            </w:r>
          </w:p>
        </w:tc>
        <w:tc>
          <w:tcPr>
            <w:tcW w:w="0" w:type="dxa"/>
            <w:vAlign w:val="bottom"/>
          </w:tcPr>
          <w:p>
            <w:pPr>
              <w:spacing w:after="0"/>
              <w:rPr>
                <w:sz w:val="1"/>
                <w:szCs w:val="1"/>
                <w:color w:val="auto"/>
              </w:rPr>
            </w:pPr>
          </w:p>
        </w:tc>
      </w:tr>
      <w:tr>
        <w:trPr>
          <w:trHeight w:val="196"/>
        </w:trPr>
        <w:tc>
          <w:tcPr>
            <w:tcW w:w="2580" w:type="dxa"/>
            <w:vAlign w:val="bottom"/>
          </w:tcPr>
          <w:p>
            <w:pPr>
              <w:spacing w:after="0"/>
              <w:rPr>
                <w:sz w:val="17"/>
                <w:szCs w:val="17"/>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4"/>
                <w:szCs w:val="14"/>
                <w:color w:val="455986"/>
              </w:rPr>
              <w:t>·</w:t>
            </w:r>
          </w:p>
        </w:tc>
        <w:tc>
          <w:tcPr>
            <w:tcW w:w="8340" w:type="dxa"/>
            <w:vAlign w:val="bottom"/>
            <w:gridSpan w:val="2"/>
          </w:tcPr>
          <w:p>
            <w:pPr>
              <w:ind w:left="40"/>
              <w:spacing w:after="0"/>
              <w:rPr>
                <w:sz w:val="20"/>
                <w:szCs w:val="20"/>
                <w:color w:val="auto"/>
              </w:rPr>
            </w:pPr>
            <w:r>
              <w:rPr>
                <w:rFonts w:ascii="Arial" w:cs="Arial" w:eastAsia="Arial" w:hAnsi="Arial"/>
                <w:sz w:val="14"/>
                <w:szCs w:val="14"/>
                <w:color w:val="231F20"/>
              </w:rPr>
              <w:t>15 year term limit for directors who were elected after 2015</w:t>
            </w:r>
          </w:p>
        </w:tc>
        <w:tc>
          <w:tcPr>
            <w:tcW w:w="0" w:type="dxa"/>
            <w:vAlign w:val="bottom"/>
          </w:tcPr>
          <w:p>
            <w:pPr>
              <w:spacing w:after="0"/>
              <w:rPr>
                <w:sz w:val="1"/>
                <w:szCs w:val="1"/>
                <w:color w:val="auto"/>
              </w:rPr>
            </w:pPr>
          </w:p>
        </w:tc>
      </w:tr>
      <w:tr>
        <w:trPr>
          <w:trHeight w:val="204"/>
        </w:trPr>
        <w:tc>
          <w:tcPr>
            <w:tcW w:w="2580" w:type="dxa"/>
            <w:vAlign w:val="bottom"/>
          </w:tcPr>
          <w:p>
            <w:pPr>
              <w:spacing w:after="0"/>
              <w:rPr>
                <w:sz w:val="17"/>
                <w:szCs w:val="17"/>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4"/>
                <w:szCs w:val="14"/>
                <w:color w:val="455986"/>
              </w:rPr>
              <w:t>·</w:t>
            </w:r>
          </w:p>
        </w:tc>
        <w:tc>
          <w:tcPr>
            <w:tcW w:w="8340" w:type="dxa"/>
            <w:vAlign w:val="bottom"/>
            <w:gridSpan w:val="2"/>
          </w:tcPr>
          <w:p>
            <w:pPr>
              <w:ind w:left="40"/>
              <w:spacing w:after="0"/>
              <w:rPr>
                <w:sz w:val="20"/>
                <w:szCs w:val="20"/>
                <w:color w:val="auto"/>
              </w:rPr>
            </w:pPr>
            <w:r>
              <w:rPr>
                <w:rFonts w:ascii="Arial" w:cs="Arial" w:eastAsia="Arial" w:hAnsi="Arial"/>
                <w:sz w:val="14"/>
                <w:szCs w:val="14"/>
                <w:color w:val="231F20"/>
              </w:rPr>
              <w:t>Mandatory retirement age of 75 for directors</w:t>
            </w:r>
          </w:p>
        </w:tc>
        <w:tc>
          <w:tcPr>
            <w:tcW w:w="0" w:type="dxa"/>
            <w:vAlign w:val="bottom"/>
          </w:tcPr>
          <w:p>
            <w:pPr>
              <w:spacing w:after="0"/>
              <w:rPr>
                <w:sz w:val="1"/>
                <w:szCs w:val="1"/>
                <w:color w:val="auto"/>
              </w:rPr>
            </w:pPr>
          </w:p>
        </w:tc>
      </w:tr>
      <w:tr>
        <w:trPr>
          <w:trHeight w:val="31"/>
        </w:trPr>
        <w:tc>
          <w:tcPr>
            <w:tcW w:w="2580" w:type="dxa"/>
            <w:vAlign w:val="bottom"/>
            <w:tcBorders>
              <w:bottom w:val="single" w:sz="8" w:color="231F20"/>
            </w:tcBorders>
          </w:tcPr>
          <w:p>
            <w:pPr>
              <w:spacing w:after="0"/>
              <w:rPr>
                <w:sz w:val="2"/>
                <w:szCs w:val="2"/>
                <w:color w:val="auto"/>
              </w:rPr>
            </w:pPr>
          </w:p>
        </w:tc>
        <w:tc>
          <w:tcPr>
            <w:tcW w:w="320" w:type="dxa"/>
            <w:vAlign w:val="bottom"/>
            <w:tcBorders>
              <w:bottom w:val="single" w:sz="8" w:color="231F20"/>
            </w:tcBorders>
          </w:tcPr>
          <w:p>
            <w:pPr>
              <w:spacing w:after="0"/>
              <w:rPr>
                <w:sz w:val="2"/>
                <w:szCs w:val="2"/>
                <w:color w:val="auto"/>
              </w:rPr>
            </w:pPr>
          </w:p>
        </w:tc>
        <w:tc>
          <w:tcPr>
            <w:tcW w:w="8340" w:type="dxa"/>
            <w:vAlign w:val="bottom"/>
            <w:tcBorders>
              <w:bottom w:val="single" w:sz="8" w:color="231F20"/>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225"/>
        </w:trPr>
        <w:tc>
          <w:tcPr>
            <w:tcW w:w="2580" w:type="dxa"/>
            <w:vAlign w:val="bottom"/>
          </w:tcPr>
          <w:p>
            <w:pPr>
              <w:spacing w:after="0"/>
              <w:rPr>
                <w:sz w:val="20"/>
                <w:szCs w:val="20"/>
                <w:color w:val="auto"/>
              </w:rPr>
            </w:pPr>
            <w:r>
              <w:rPr>
                <w:rFonts w:ascii="Arial" w:cs="Arial" w:eastAsia="Arial" w:hAnsi="Arial"/>
                <w:sz w:val="14"/>
                <w:szCs w:val="14"/>
                <w:b w:val="1"/>
                <w:bCs w:val="1"/>
                <w:color w:val="455986"/>
              </w:rPr>
              <w:t>Board Independence</w:t>
            </w:r>
          </w:p>
        </w:tc>
        <w:tc>
          <w:tcPr>
            <w:tcW w:w="320" w:type="dxa"/>
            <w:vAlign w:val="bottom"/>
          </w:tcPr>
          <w:p>
            <w:pPr>
              <w:jc w:val="right"/>
              <w:spacing w:after="0"/>
              <w:rPr>
                <w:sz w:val="20"/>
                <w:szCs w:val="20"/>
                <w:color w:val="auto"/>
              </w:rPr>
            </w:pPr>
            <w:r>
              <w:rPr>
                <w:rFonts w:ascii="Times New Roman" w:cs="Times New Roman" w:eastAsia="Times New Roman" w:hAnsi="Times New Roman"/>
                <w:sz w:val="14"/>
                <w:szCs w:val="14"/>
                <w:color w:val="455986"/>
              </w:rPr>
              <w:t>·</w:t>
            </w:r>
          </w:p>
        </w:tc>
        <w:tc>
          <w:tcPr>
            <w:tcW w:w="8340" w:type="dxa"/>
            <w:vAlign w:val="bottom"/>
            <w:gridSpan w:val="2"/>
          </w:tcPr>
          <w:p>
            <w:pPr>
              <w:ind w:left="40"/>
              <w:spacing w:after="0"/>
              <w:rPr>
                <w:sz w:val="20"/>
                <w:szCs w:val="20"/>
                <w:color w:val="auto"/>
              </w:rPr>
            </w:pPr>
            <w:r>
              <w:rPr>
                <w:rFonts w:ascii="Arial" w:cs="Arial" w:eastAsia="Arial" w:hAnsi="Arial"/>
                <w:sz w:val="14"/>
                <w:szCs w:val="14"/>
                <w:color w:val="231F20"/>
              </w:rPr>
              <w:t>Seven out of eight director nominees are independent</w:t>
            </w:r>
          </w:p>
        </w:tc>
        <w:tc>
          <w:tcPr>
            <w:tcW w:w="0" w:type="dxa"/>
            <w:vAlign w:val="bottom"/>
          </w:tcPr>
          <w:p>
            <w:pPr>
              <w:spacing w:after="0"/>
              <w:rPr>
                <w:sz w:val="1"/>
                <w:szCs w:val="1"/>
                <w:color w:val="auto"/>
              </w:rPr>
            </w:pPr>
          </w:p>
        </w:tc>
      </w:tr>
      <w:tr>
        <w:trPr>
          <w:trHeight w:val="196"/>
        </w:trPr>
        <w:tc>
          <w:tcPr>
            <w:tcW w:w="2580" w:type="dxa"/>
            <w:vAlign w:val="bottom"/>
          </w:tcPr>
          <w:p>
            <w:pPr>
              <w:spacing w:after="0"/>
              <w:rPr>
                <w:sz w:val="17"/>
                <w:szCs w:val="17"/>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4"/>
                <w:szCs w:val="14"/>
                <w:color w:val="455986"/>
              </w:rPr>
              <w:t>·</w:t>
            </w:r>
          </w:p>
        </w:tc>
        <w:tc>
          <w:tcPr>
            <w:tcW w:w="8340" w:type="dxa"/>
            <w:vAlign w:val="bottom"/>
            <w:gridSpan w:val="2"/>
          </w:tcPr>
          <w:p>
            <w:pPr>
              <w:ind w:left="40"/>
              <w:spacing w:after="0"/>
              <w:rPr>
                <w:sz w:val="20"/>
                <w:szCs w:val="20"/>
                <w:color w:val="auto"/>
              </w:rPr>
            </w:pPr>
            <w:r>
              <w:rPr>
                <w:rFonts w:ascii="Arial" w:cs="Arial" w:eastAsia="Arial" w:hAnsi="Arial"/>
                <w:sz w:val="14"/>
                <w:szCs w:val="14"/>
                <w:color w:val="231F20"/>
              </w:rPr>
              <w:t>Independent audit, compensation, and governance committees</w:t>
            </w:r>
          </w:p>
        </w:tc>
        <w:tc>
          <w:tcPr>
            <w:tcW w:w="0" w:type="dxa"/>
            <w:vAlign w:val="bottom"/>
          </w:tcPr>
          <w:p>
            <w:pPr>
              <w:spacing w:after="0"/>
              <w:rPr>
                <w:sz w:val="1"/>
                <w:szCs w:val="1"/>
                <w:color w:val="auto"/>
              </w:rPr>
            </w:pPr>
          </w:p>
        </w:tc>
      </w:tr>
      <w:tr>
        <w:trPr>
          <w:trHeight w:val="31"/>
        </w:trPr>
        <w:tc>
          <w:tcPr>
            <w:tcW w:w="2580" w:type="dxa"/>
            <w:vAlign w:val="bottom"/>
            <w:tcBorders>
              <w:bottom w:val="single" w:sz="8" w:color="231F20"/>
            </w:tcBorders>
          </w:tcPr>
          <w:p>
            <w:pPr>
              <w:spacing w:after="0"/>
              <w:rPr>
                <w:sz w:val="2"/>
                <w:szCs w:val="2"/>
                <w:color w:val="auto"/>
              </w:rPr>
            </w:pPr>
          </w:p>
        </w:tc>
        <w:tc>
          <w:tcPr>
            <w:tcW w:w="320" w:type="dxa"/>
            <w:vAlign w:val="bottom"/>
            <w:tcBorders>
              <w:bottom w:val="single" w:sz="8" w:color="231F20"/>
            </w:tcBorders>
          </w:tcPr>
          <w:p>
            <w:pPr>
              <w:spacing w:after="0"/>
              <w:rPr>
                <w:sz w:val="2"/>
                <w:szCs w:val="2"/>
                <w:color w:val="auto"/>
              </w:rPr>
            </w:pPr>
          </w:p>
        </w:tc>
        <w:tc>
          <w:tcPr>
            <w:tcW w:w="8340" w:type="dxa"/>
            <w:vAlign w:val="bottom"/>
            <w:tcBorders>
              <w:bottom w:val="single" w:sz="8" w:color="231F20"/>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171"/>
        </w:trPr>
        <w:tc>
          <w:tcPr>
            <w:tcW w:w="2580" w:type="dxa"/>
            <w:vAlign w:val="bottom"/>
            <w:vMerge w:val="restart"/>
          </w:tcPr>
          <w:p>
            <w:pPr>
              <w:spacing w:after="0"/>
              <w:rPr>
                <w:sz w:val="20"/>
                <w:szCs w:val="20"/>
                <w:color w:val="auto"/>
              </w:rPr>
            </w:pPr>
            <w:r>
              <w:rPr>
                <w:rFonts w:ascii="Arial" w:cs="Arial" w:eastAsia="Arial" w:hAnsi="Arial"/>
                <w:sz w:val="14"/>
                <w:szCs w:val="14"/>
                <w:b w:val="1"/>
                <w:bCs w:val="1"/>
                <w:color w:val="455986"/>
              </w:rPr>
              <w:t>Lead Independent Director</w:t>
            </w:r>
          </w:p>
        </w:tc>
        <w:tc>
          <w:tcPr>
            <w:tcW w:w="320" w:type="dxa"/>
            <w:vAlign w:val="bottom"/>
          </w:tcPr>
          <w:p>
            <w:pPr>
              <w:jc w:val="right"/>
              <w:spacing w:after="0"/>
              <w:rPr>
                <w:sz w:val="20"/>
                <w:szCs w:val="20"/>
                <w:color w:val="auto"/>
              </w:rPr>
            </w:pPr>
            <w:r>
              <w:rPr>
                <w:rFonts w:ascii="Times New Roman" w:cs="Times New Roman" w:eastAsia="Times New Roman" w:hAnsi="Times New Roman"/>
                <w:sz w:val="14"/>
                <w:szCs w:val="14"/>
                <w:color w:val="455986"/>
              </w:rPr>
              <w:t>·</w:t>
            </w:r>
          </w:p>
        </w:tc>
        <w:tc>
          <w:tcPr>
            <w:tcW w:w="8340" w:type="dxa"/>
            <w:vAlign w:val="bottom"/>
            <w:gridSpan w:val="2"/>
          </w:tcPr>
          <w:p>
            <w:pPr>
              <w:ind w:left="40"/>
              <w:spacing w:after="0"/>
              <w:rPr>
                <w:sz w:val="20"/>
                <w:szCs w:val="20"/>
                <w:color w:val="auto"/>
              </w:rPr>
            </w:pPr>
            <w:r>
              <w:rPr>
                <w:rFonts w:ascii="Arial" w:cs="Arial" w:eastAsia="Arial" w:hAnsi="Arial"/>
                <w:sz w:val="14"/>
                <w:szCs w:val="14"/>
                <w:color w:val="231F20"/>
              </w:rPr>
              <w:t>Lead Independent Director with clearly defined and robust responsibilities</w:t>
            </w:r>
          </w:p>
        </w:tc>
        <w:tc>
          <w:tcPr>
            <w:tcW w:w="0" w:type="dxa"/>
            <w:vAlign w:val="bottom"/>
          </w:tcPr>
          <w:p>
            <w:pPr>
              <w:spacing w:after="0"/>
              <w:rPr>
                <w:sz w:val="1"/>
                <w:szCs w:val="1"/>
                <w:color w:val="auto"/>
              </w:rPr>
            </w:pPr>
          </w:p>
        </w:tc>
      </w:tr>
      <w:tr>
        <w:trPr>
          <w:trHeight w:val="54"/>
        </w:trPr>
        <w:tc>
          <w:tcPr>
            <w:tcW w:w="2580" w:type="dxa"/>
            <w:vAlign w:val="bottom"/>
            <w:vMerge w:val="continue"/>
          </w:tcPr>
          <w:p>
            <w:pPr>
              <w:spacing w:after="0"/>
              <w:rPr>
                <w:sz w:val="4"/>
                <w:szCs w:val="4"/>
                <w:color w:val="auto"/>
              </w:rPr>
            </w:pPr>
          </w:p>
        </w:tc>
        <w:tc>
          <w:tcPr>
            <w:tcW w:w="320" w:type="dxa"/>
            <w:vAlign w:val="bottom"/>
          </w:tcPr>
          <w:p>
            <w:pPr>
              <w:spacing w:after="0"/>
              <w:rPr>
                <w:sz w:val="4"/>
                <w:szCs w:val="4"/>
                <w:color w:val="auto"/>
              </w:rPr>
            </w:pPr>
          </w:p>
        </w:tc>
        <w:tc>
          <w:tcPr>
            <w:tcW w:w="220" w:type="dxa"/>
            <w:vAlign w:val="bottom"/>
          </w:tcPr>
          <w:p>
            <w:pPr>
              <w:spacing w:after="0"/>
              <w:rPr>
                <w:sz w:val="4"/>
                <w:szCs w:val="4"/>
                <w:color w:val="auto"/>
              </w:rPr>
            </w:pPr>
          </w:p>
        </w:tc>
        <w:tc>
          <w:tcPr>
            <w:tcW w:w="81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3"/>
        </w:trPr>
        <w:tc>
          <w:tcPr>
            <w:tcW w:w="2580" w:type="dxa"/>
            <w:vAlign w:val="bottom"/>
            <w:tcBorders>
              <w:bottom w:val="single" w:sz="8" w:color="231F20"/>
            </w:tcBorders>
          </w:tcPr>
          <w:p>
            <w:pPr>
              <w:spacing w:after="0" w:line="20" w:lineRule="exact"/>
              <w:rPr>
                <w:sz w:val="1"/>
                <w:szCs w:val="1"/>
                <w:color w:val="auto"/>
              </w:rPr>
            </w:pPr>
          </w:p>
        </w:tc>
        <w:tc>
          <w:tcPr>
            <w:tcW w:w="320" w:type="dxa"/>
            <w:vAlign w:val="bottom"/>
            <w:tcBorders>
              <w:bottom w:val="single" w:sz="8" w:color="231F20"/>
            </w:tcBorders>
          </w:tcPr>
          <w:p>
            <w:pPr>
              <w:spacing w:after="0" w:line="20" w:lineRule="exact"/>
              <w:rPr>
                <w:sz w:val="1"/>
                <w:szCs w:val="1"/>
                <w:color w:val="auto"/>
              </w:rPr>
            </w:pPr>
          </w:p>
        </w:tc>
        <w:tc>
          <w:tcPr>
            <w:tcW w:w="8340" w:type="dxa"/>
            <w:vAlign w:val="bottom"/>
            <w:tcBorders>
              <w:bottom w:val="single" w:sz="8" w:color="231F20"/>
            </w:tcBorders>
            <w:gridSpan w:val="2"/>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1"/>
        </w:trPr>
        <w:tc>
          <w:tcPr>
            <w:tcW w:w="2580" w:type="dxa"/>
            <w:vAlign w:val="bottom"/>
            <w:vMerge w:val="restart"/>
          </w:tcPr>
          <w:p>
            <w:pPr>
              <w:spacing w:after="0"/>
              <w:rPr>
                <w:sz w:val="20"/>
                <w:szCs w:val="20"/>
                <w:color w:val="auto"/>
              </w:rPr>
            </w:pPr>
            <w:r>
              <w:rPr>
                <w:rFonts w:ascii="Arial" w:cs="Arial" w:eastAsia="Arial" w:hAnsi="Arial"/>
                <w:sz w:val="14"/>
                <w:szCs w:val="14"/>
                <w:b w:val="1"/>
                <w:bCs w:val="1"/>
                <w:color w:val="455986"/>
              </w:rPr>
              <w:t>Board and Committee Evaluations</w:t>
            </w:r>
          </w:p>
        </w:tc>
        <w:tc>
          <w:tcPr>
            <w:tcW w:w="320" w:type="dxa"/>
            <w:vAlign w:val="bottom"/>
          </w:tcPr>
          <w:p>
            <w:pPr>
              <w:jc w:val="right"/>
              <w:spacing w:after="0"/>
              <w:rPr>
                <w:sz w:val="20"/>
                <w:szCs w:val="20"/>
                <w:color w:val="auto"/>
              </w:rPr>
            </w:pPr>
            <w:r>
              <w:rPr>
                <w:rFonts w:ascii="Times New Roman" w:cs="Times New Roman" w:eastAsia="Times New Roman" w:hAnsi="Times New Roman"/>
                <w:sz w:val="14"/>
                <w:szCs w:val="14"/>
                <w:color w:val="455986"/>
              </w:rPr>
              <w:t>·</w:t>
            </w:r>
          </w:p>
        </w:tc>
        <w:tc>
          <w:tcPr>
            <w:tcW w:w="8340" w:type="dxa"/>
            <w:vAlign w:val="bottom"/>
            <w:gridSpan w:val="2"/>
          </w:tcPr>
          <w:p>
            <w:pPr>
              <w:ind w:left="40"/>
              <w:spacing w:after="0"/>
              <w:rPr>
                <w:sz w:val="20"/>
                <w:szCs w:val="20"/>
                <w:color w:val="auto"/>
              </w:rPr>
            </w:pPr>
            <w:r>
              <w:rPr>
                <w:rFonts w:ascii="Arial" w:cs="Arial" w:eastAsia="Arial" w:hAnsi="Arial"/>
                <w:sz w:val="14"/>
                <w:szCs w:val="14"/>
                <w:color w:val="231F20"/>
              </w:rPr>
              <w:t>Peer evaluations of the Directors, the Board, and its committees</w:t>
            </w:r>
          </w:p>
        </w:tc>
        <w:tc>
          <w:tcPr>
            <w:tcW w:w="0" w:type="dxa"/>
            <w:vAlign w:val="bottom"/>
          </w:tcPr>
          <w:p>
            <w:pPr>
              <w:spacing w:after="0"/>
              <w:rPr>
                <w:sz w:val="1"/>
                <w:szCs w:val="1"/>
                <w:color w:val="auto"/>
              </w:rPr>
            </w:pPr>
          </w:p>
        </w:tc>
      </w:tr>
      <w:tr>
        <w:trPr>
          <w:trHeight w:val="54"/>
        </w:trPr>
        <w:tc>
          <w:tcPr>
            <w:tcW w:w="2580" w:type="dxa"/>
            <w:vAlign w:val="bottom"/>
            <w:vMerge w:val="continue"/>
          </w:tcPr>
          <w:p>
            <w:pPr>
              <w:spacing w:after="0"/>
              <w:rPr>
                <w:sz w:val="4"/>
                <w:szCs w:val="4"/>
                <w:color w:val="auto"/>
              </w:rPr>
            </w:pPr>
          </w:p>
        </w:tc>
        <w:tc>
          <w:tcPr>
            <w:tcW w:w="320" w:type="dxa"/>
            <w:vAlign w:val="bottom"/>
          </w:tcPr>
          <w:p>
            <w:pPr>
              <w:spacing w:after="0"/>
              <w:rPr>
                <w:sz w:val="4"/>
                <w:szCs w:val="4"/>
                <w:color w:val="auto"/>
              </w:rPr>
            </w:pPr>
          </w:p>
        </w:tc>
        <w:tc>
          <w:tcPr>
            <w:tcW w:w="220" w:type="dxa"/>
            <w:vAlign w:val="bottom"/>
          </w:tcPr>
          <w:p>
            <w:pPr>
              <w:spacing w:after="0"/>
              <w:rPr>
                <w:sz w:val="4"/>
                <w:szCs w:val="4"/>
                <w:color w:val="auto"/>
              </w:rPr>
            </w:pPr>
          </w:p>
        </w:tc>
        <w:tc>
          <w:tcPr>
            <w:tcW w:w="81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3"/>
        </w:trPr>
        <w:tc>
          <w:tcPr>
            <w:tcW w:w="2580" w:type="dxa"/>
            <w:vAlign w:val="bottom"/>
            <w:tcBorders>
              <w:bottom w:val="single" w:sz="8" w:color="231F20"/>
            </w:tcBorders>
          </w:tcPr>
          <w:p>
            <w:pPr>
              <w:spacing w:after="0" w:line="20" w:lineRule="exact"/>
              <w:rPr>
                <w:sz w:val="1"/>
                <w:szCs w:val="1"/>
                <w:color w:val="auto"/>
              </w:rPr>
            </w:pPr>
          </w:p>
        </w:tc>
        <w:tc>
          <w:tcPr>
            <w:tcW w:w="320" w:type="dxa"/>
            <w:vAlign w:val="bottom"/>
            <w:tcBorders>
              <w:bottom w:val="single" w:sz="8" w:color="231F20"/>
            </w:tcBorders>
          </w:tcPr>
          <w:p>
            <w:pPr>
              <w:spacing w:after="0" w:line="20" w:lineRule="exact"/>
              <w:rPr>
                <w:sz w:val="1"/>
                <w:szCs w:val="1"/>
                <w:color w:val="auto"/>
              </w:rPr>
            </w:pPr>
          </w:p>
        </w:tc>
        <w:tc>
          <w:tcPr>
            <w:tcW w:w="8340" w:type="dxa"/>
            <w:vAlign w:val="bottom"/>
            <w:tcBorders>
              <w:bottom w:val="single" w:sz="8" w:color="231F20"/>
            </w:tcBorders>
            <w:gridSpan w:val="2"/>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5"/>
        </w:trPr>
        <w:tc>
          <w:tcPr>
            <w:tcW w:w="2580" w:type="dxa"/>
            <w:vAlign w:val="bottom"/>
          </w:tcPr>
          <w:p>
            <w:pPr>
              <w:spacing w:after="0"/>
              <w:rPr>
                <w:sz w:val="20"/>
                <w:szCs w:val="20"/>
                <w:color w:val="auto"/>
              </w:rPr>
            </w:pPr>
            <w:r>
              <w:rPr>
                <w:rFonts w:ascii="Arial" w:cs="Arial" w:eastAsia="Arial" w:hAnsi="Arial"/>
                <w:sz w:val="14"/>
                <w:szCs w:val="14"/>
                <w:b w:val="1"/>
                <w:bCs w:val="1"/>
                <w:color w:val="455986"/>
              </w:rPr>
              <w:t>Board Diversity</w:t>
            </w:r>
          </w:p>
        </w:tc>
        <w:tc>
          <w:tcPr>
            <w:tcW w:w="320" w:type="dxa"/>
            <w:vAlign w:val="bottom"/>
          </w:tcPr>
          <w:p>
            <w:pPr>
              <w:jc w:val="right"/>
              <w:spacing w:after="0"/>
              <w:rPr>
                <w:sz w:val="20"/>
                <w:szCs w:val="20"/>
                <w:color w:val="auto"/>
              </w:rPr>
            </w:pPr>
            <w:r>
              <w:rPr>
                <w:rFonts w:ascii="Times New Roman" w:cs="Times New Roman" w:eastAsia="Times New Roman" w:hAnsi="Times New Roman"/>
                <w:sz w:val="14"/>
                <w:szCs w:val="14"/>
                <w:color w:val="455986"/>
              </w:rPr>
              <w:t>·</w:t>
            </w:r>
          </w:p>
        </w:tc>
        <w:tc>
          <w:tcPr>
            <w:tcW w:w="8340" w:type="dxa"/>
            <w:vAlign w:val="bottom"/>
            <w:gridSpan w:val="2"/>
          </w:tcPr>
          <w:p>
            <w:pPr>
              <w:ind w:left="40"/>
              <w:spacing w:after="0"/>
              <w:rPr>
                <w:sz w:val="20"/>
                <w:szCs w:val="20"/>
                <w:color w:val="auto"/>
              </w:rPr>
            </w:pPr>
            <w:r>
              <w:rPr>
                <w:rFonts w:ascii="Arial" w:cs="Arial" w:eastAsia="Arial" w:hAnsi="Arial"/>
                <w:sz w:val="14"/>
                <w:szCs w:val="14"/>
                <w:color w:val="231F20"/>
              </w:rPr>
              <w:t>Over 62% of the Board is diverse</w:t>
            </w:r>
          </w:p>
        </w:tc>
        <w:tc>
          <w:tcPr>
            <w:tcW w:w="0" w:type="dxa"/>
            <w:vAlign w:val="bottom"/>
          </w:tcPr>
          <w:p>
            <w:pPr>
              <w:spacing w:after="0"/>
              <w:rPr>
                <w:sz w:val="1"/>
                <w:szCs w:val="1"/>
                <w:color w:val="auto"/>
              </w:rPr>
            </w:pPr>
          </w:p>
        </w:tc>
      </w:tr>
      <w:tr>
        <w:trPr>
          <w:trHeight w:val="196"/>
        </w:trPr>
        <w:tc>
          <w:tcPr>
            <w:tcW w:w="2580" w:type="dxa"/>
            <w:vAlign w:val="bottom"/>
          </w:tcPr>
          <w:p>
            <w:pPr>
              <w:spacing w:after="0"/>
              <w:rPr>
                <w:sz w:val="17"/>
                <w:szCs w:val="17"/>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4"/>
                <w:szCs w:val="14"/>
                <w:color w:val="455986"/>
              </w:rPr>
              <w:t>·</w:t>
            </w:r>
          </w:p>
        </w:tc>
        <w:tc>
          <w:tcPr>
            <w:tcW w:w="8340" w:type="dxa"/>
            <w:vAlign w:val="bottom"/>
            <w:gridSpan w:val="2"/>
          </w:tcPr>
          <w:p>
            <w:pPr>
              <w:ind w:left="40"/>
              <w:spacing w:after="0"/>
              <w:rPr>
                <w:sz w:val="20"/>
                <w:szCs w:val="20"/>
                <w:color w:val="auto"/>
              </w:rPr>
            </w:pPr>
            <w:r>
              <w:rPr>
                <w:rFonts w:ascii="Arial" w:cs="Arial" w:eastAsia="Arial" w:hAnsi="Arial"/>
                <w:sz w:val="14"/>
                <w:szCs w:val="14"/>
                <w:color w:val="231F20"/>
              </w:rPr>
              <w:t>Over 37% of the Board is comprised of female directors</w:t>
            </w:r>
          </w:p>
        </w:tc>
        <w:tc>
          <w:tcPr>
            <w:tcW w:w="0" w:type="dxa"/>
            <w:vAlign w:val="bottom"/>
          </w:tcPr>
          <w:p>
            <w:pPr>
              <w:spacing w:after="0"/>
              <w:rPr>
                <w:sz w:val="1"/>
                <w:szCs w:val="1"/>
                <w:color w:val="auto"/>
              </w:rPr>
            </w:pPr>
          </w:p>
        </w:tc>
      </w:tr>
      <w:tr>
        <w:trPr>
          <w:trHeight w:val="31"/>
        </w:trPr>
        <w:tc>
          <w:tcPr>
            <w:tcW w:w="2580" w:type="dxa"/>
            <w:vAlign w:val="bottom"/>
            <w:tcBorders>
              <w:bottom w:val="single" w:sz="8" w:color="231F20"/>
            </w:tcBorders>
          </w:tcPr>
          <w:p>
            <w:pPr>
              <w:spacing w:after="0"/>
              <w:rPr>
                <w:sz w:val="2"/>
                <w:szCs w:val="2"/>
                <w:color w:val="auto"/>
              </w:rPr>
            </w:pPr>
          </w:p>
        </w:tc>
        <w:tc>
          <w:tcPr>
            <w:tcW w:w="320" w:type="dxa"/>
            <w:vAlign w:val="bottom"/>
            <w:tcBorders>
              <w:bottom w:val="single" w:sz="8" w:color="231F20"/>
            </w:tcBorders>
          </w:tcPr>
          <w:p>
            <w:pPr>
              <w:spacing w:after="0"/>
              <w:rPr>
                <w:sz w:val="2"/>
                <w:szCs w:val="2"/>
                <w:color w:val="auto"/>
              </w:rPr>
            </w:pPr>
          </w:p>
        </w:tc>
        <w:tc>
          <w:tcPr>
            <w:tcW w:w="8340" w:type="dxa"/>
            <w:vAlign w:val="bottom"/>
            <w:tcBorders>
              <w:bottom w:val="single" w:sz="8" w:color="231F20"/>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171"/>
        </w:trPr>
        <w:tc>
          <w:tcPr>
            <w:tcW w:w="2580" w:type="dxa"/>
            <w:vAlign w:val="bottom"/>
            <w:vMerge w:val="restart"/>
          </w:tcPr>
          <w:p>
            <w:pPr>
              <w:spacing w:after="0"/>
              <w:rPr>
                <w:sz w:val="20"/>
                <w:szCs w:val="20"/>
                <w:color w:val="auto"/>
              </w:rPr>
            </w:pPr>
            <w:r>
              <w:rPr>
                <w:rFonts w:ascii="Arial" w:cs="Arial" w:eastAsia="Arial" w:hAnsi="Arial"/>
                <w:sz w:val="14"/>
                <w:szCs w:val="14"/>
                <w:b w:val="1"/>
                <w:bCs w:val="1"/>
                <w:color w:val="455986"/>
              </w:rPr>
              <w:t>Board Refreshment</w:t>
            </w:r>
          </w:p>
        </w:tc>
        <w:tc>
          <w:tcPr>
            <w:tcW w:w="320" w:type="dxa"/>
            <w:vAlign w:val="bottom"/>
          </w:tcPr>
          <w:p>
            <w:pPr>
              <w:jc w:val="right"/>
              <w:spacing w:after="0"/>
              <w:rPr>
                <w:sz w:val="20"/>
                <w:szCs w:val="20"/>
                <w:color w:val="auto"/>
              </w:rPr>
            </w:pPr>
            <w:r>
              <w:rPr>
                <w:rFonts w:ascii="Times New Roman" w:cs="Times New Roman" w:eastAsia="Times New Roman" w:hAnsi="Times New Roman"/>
                <w:sz w:val="14"/>
                <w:szCs w:val="14"/>
                <w:color w:val="455986"/>
              </w:rPr>
              <w:t>·</w:t>
            </w:r>
          </w:p>
        </w:tc>
        <w:tc>
          <w:tcPr>
            <w:tcW w:w="8340" w:type="dxa"/>
            <w:vAlign w:val="bottom"/>
            <w:gridSpan w:val="2"/>
          </w:tcPr>
          <w:p>
            <w:pPr>
              <w:ind w:left="40"/>
              <w:spacing w:after="0"/>
              <w:rPr>
                <w:sz w:val="20"/>
                <w:szCs w:val="20"/>
                <w:color w:val="auto"/>
              </w:rPr>
            </w:pPr>
            <w:r>
              <w:rPr>
                <w:rFonts w:ascii="Arial" w:cs="Arial" w:eastAsia="Arial" w:hAnsi="Arial"/>
                <w:sz w:val="14"/>
                <w:szCs w:val="14"/>
                <w:color w:val="231F20"/>
              </w:rPr>
              <w:t>Since 2015, 87.5% of the directors are newly appointed or elected</w:t>
            </w:r>
          </w:p>
        </w:tc>
        <w:tc>
          <w:tcPr>
            <w:tcW w:w="0" w:type="dxa"/>
            <w:vAlign w:val="bottom"/>
          </w:tcPr>
          <w:p>
            <w:pPr>
              <w:spacing w:after="0"/>
              <w:rPr>
                <w:sz w:val="1"/>
                <w:szCs w:val="1"/>
                <w:color w:val="auto"/>
              </w:rPr>
            </w:pPr>
          </w:p>
        </w:tc>
      </w:tr>
      <w:tr>
        <w:trPr>
          <w:trHeight w:val="54"/>
        </w:trPr>
        <w:tc>
          <w:tcPr>
            <w:tcW w:w="2580" w:type="dxa"/>
            <w:vAlign w:val="bottom"/>
            <w:vMerge w:val="continue"/>
          </w:tcPr>
          <w:p>
            <w:pPr>
              <w:spacing w:after="0"/>
              <w:rPr>
                <w:sz w:val="4"/>
                <w:szCs w:val="4"/>
                <w:color w:val="auto"/>
              </w:rPr>
            </w:pPr>
          </w:p>
        </w:tc>
        <w:tc>
          <w:tcPr>
            <w:tcW w:w="320" w:type="dxa"/>
            <w:vAlign w:val="bottom"/>
          </w:tcPr>
          <w:p>
            <w:pPr>
              <w:spacing w:after="0"/>
              <w:rPr>
                <w:sz w:val="4"/>
                <w:szCs w:val="4"/>
                <w:color w:val="auto"/>
              </w:rPr>
            </w:pPr>
          </w:p>
        </w:tc>
        <w:tc>
          <w:tcPr>
            <w:tcW w:w="220" w:type="dxa"/>
            <w:vAlign w:val="bottom"/>
          </w:tcPr>
          <w:p>
            <w:pPr>
              <w:spacing w:after="0"/>
              <w:rPr>
                <w:sz w:val="4"/>
                <w:szCs w:val="4"/>
                <w:color w:val="auto"/>
              </w:rPr>
            </w:pPr>
          </w:p>
        </w:tc>
        <w:tc>
          <w:tcPr>
            <w:tcW w:w="81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3"/>
        </w:trPr>
        <w:tc>
          <w:tcPr>
            <w:tcW w:w="2580" w:type="dxa"/>
            <w:vAlign w:val="bottom"/>
            <w:tcBorders>
              <w:bottom w:val="single" w:sz="8" w:color="231F20"/>
            </w:tcBorders>
          </w:tcPr>
          <w:p>
            <w:pPr>
              <w:spacing w:after="0" w:line="20" w:lineRule="exact"/>
              <w:rPr>
                <w:sz w:val="1"/>
                <w:szCs w:val="1"/>
                <w:color w:val="auto"/>
              </w:rPr>
            </w:pPr>
          </w:p>
        </w:tc>
        <w:tc>
          <w:tcPr>
            <w:tcW w:w="320" w:type="dxa"/>
            <w:vAlign w:val="bottom"/>
            <w:tcBorders>
              <w:bottom w:val="single" w:sz="8" w:color="231F20"/>
            </w:tcBorders>
          </w:tcPr>
          <w:p>
            <w:pPr>
              <w:spacing w:after="0" w:line="20" w:lineRule="exact"/>
              <w:rPr>
                <w:sz w:val="1"/>
                <w:szCs w:val="1"/>
                <w:color w:val="auto"/>
              </w:rPr>
            </w:pPr>
          </w:p>
        </w:tc>
        <w:tc>
          <w:tcPr>
            <w:tcW w:w="8340" w:type="dxa"/>
            <w:vAlign w:val="bottom"/>
            <w:tcBorders>
              <w:bottom w:val="single" w:sz="8" w:color="231F20"/>
            </w:tcBorders>
            <w:gridSpan w:val="2"/>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5"/>
        </w:trPr>
        <w:tc>
          <w:tcPr>
            <w:tcW w:w="2580" w:type="dxa"/>
            <w:vAlign w:val="bottom"/>
          </w:tcPr>
          <w:p>
            <w:pPr>
              <w:spacing w:after="0"/>
              <w:rPr>
                <w:sz w:val="20"/>
                <w:szCs w:val="20"/>
                <w:color w:val="auto"/>
              </w:rPr>
            </w:pPr>
            <w:r>
              <w:rPr>
                <w:rFonts w:ascii="Arial" w:cs="Arial" w:eastAsia="Arial" w:hAnsi="Arial"/>
                <w:sz w:val="14"/>
                <w:szCs w:val="14"/>
                <w:b w:val="1"/>
                <w:bCs w:val="1"/>
                <w:color w:val="455986"/>
              </w:rPr>
              <w:t>Board Oversight</w:t>
            </w:r>
          </w:p>
        </w:tc>
        <w:tc>
          <w:tcPr>
            <w:tcW w:w="320" w:type="dxa"/>
            <w:vAlign w:val="bottom"/>
          </w:tcPr>
          <w:p>
            <w:pPr>
              <w:jc w:val="right"/>
              <w:spacing w:after="0"/>
              <w:rPr>
                <w:sz w:val="20"/>
                <w:szCs w:val="20"/>
                <w:color w:val="auto"/>
              </w:rPr>
            </w:pPr>
            <w:r>
              <w:rPr>
                <w:rFonts w:ascii="Times New Roman" w:cs="Times New Roman" w:eastAsia="Times New Roman" w:hAnsi="Times New Roman"/>
                <w:sz w:val="14"/>
                <w:szCs w:val="14"/>
                <w:color w:val="455986"/>
              </w:rPr>
              <w:t>·</w:t>
            </w:r>
          </w:p>
        </w:tc>
        <w:tc>
          <w:tcPr>
            <w:tcW w:w="8340" w:type="dxa"/>
            <w:vAlign w:val="bottom"/>
            <w:gridSpan w:val="2"/>
          </w:tcPr>
          <w:p>
            <w:pPr>
              <w:ind w:left="40"/>
              <w:spacing w:after="0"/>
              <w:rPr>
                <w:sz w:val="20"/>
                <w:szCs w:val="20"/>
                <w:color w:val="auto"/>
              </w:rPr>
            </w:pPr>
            <w:r>
              <w:rPr>
                <w:rFonts w:ascii="Arial" w:cs="Arial" w:eastAsia="Arial" w:hAnsi="Arial"/>
                <w:sz w:val="14"/>
                <w:szCs w:val="14"/>
                <w:color w:val="231F20"/>
              </w:rPr>
              <w:t>Risk oversight by full Board and all committees</w:t>
            </w:r>
          </w:p>
        </w:tc>
        <w:tc>
          <w:tcPr>
            <w:tcW w:w="0" w:type="dxa"/>
            <w:vAlign w:val="bottom"/>
          </w:tcPr>
          <w:p>
            <w:pPr>
              <w:spacing w:after="0"/>
              <w:rPr>
                <w:sz w:val="1"/>
                <w:szCs w:val="1"/>
                <w:color w:val="auto"/>
              </w:rPr>
            </w:pPr>
          </w:p>
        </w:tc>
      </w:tr>
      <w:tr>
        <w:trPr>
          <w:trHeight w:val="196"/>
        </w:trPr>
        <w:tc>
          <w:tcPr>
            <w:tcW w:w="2580" w:type="dxa"/>
            <w:vAlign w:val="bottom"/>
          </w:tcPr>
          <w:p>
            <w:pPr>
              <w:spacing w:after="0"/>
              <w:rPr>
                <w:sz w:val="17"/>
                <w:szCs w:val="17"/>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4"/>
                <w:szCs w:val="14"/>
                <w:color w:val="455986"/>
              </w:rPr>
              <w:t>·</w:t>
            </w:r>
          </w:p>
        </w:tc>
        <w:tc>
          <w:tcPr>
            <w:tcW w:w="8340" w:type="dxa"/>
            <w:vAlign w:val="bottom"/>
            <w:gridSpan w:val="2"/>
          </w:tcPr>
          <w:p>
            <w:pPr>
              <w:ind w:left="40"/>
              <w:spacing w:after="0"/>
              <w:rPr>
                <w:sz w:val="20"/>
                <w:szCs w:val="20"/>
                <w:color w:val="auto"/>
              </w:rPr>
            </w:pPr>
            <w:r>
              <w:rPr>
                <w:rFonts w:ascii="Arial" w:cs="Arial" w:eastAsia="Arial" w:hAnsi="Arial"/>
                <w:sz w:val="14"/>
                <w:szCs w:val="14"/>
                <w:color w:val="231F20"/>
              </w:rPr>
              <w:t>Robust oversight of cybersecurity measures by full Board and Risk Mitigation &amp; Investment Policy Committee</w:t>
            </w:r>
          </w:p>
        </w:tc>
        <w:tc>
          <w:tcPr>
            <w:tcW w:w="0" w:type="dxa"/>
            <w:vAlign w:val="bottom"/>
          </w:tcPr>
          <w:p>
            <w:pPr>
              <w:spacing w:after="0"/>
              <w:rPr>
                <w:sz w:val="1"/>
                <w:szCs w:val="1"/>
                <w:color w:val="auto"/>
              </w:rPr>
            </w:pPr>
          </w:p>
        </w:tc>
      </w:tr>
      <w:tr>
        <w:trPr>
          <w:trHeight w:val="31"/>
        </w:trPr>
        <w:tc>
          <w:tcPr>
            <w:tcW w:w="2580" w:type="dxa"/>
            <w:vAlign w:val="bottom"/>
            <w:tcBorders>
              <w:bottom w:val="single" w:sz="8" w:color="231F20"/>
            </w:tcBorders>
          </w:tcPr>
          <w:p>
            <w:pPr>
              <w:spacing w:after="0"/>
              <w:rPr>
                <w:sz w:val="2"/>
                <w:szCs w:val="2"/>
                <w:color w:val="auto"/>
              </w:rPr>
            </w:pPr>
          </w:p>
        </w:tc>
        <w:tc>
          <w:tcPr>
            <w:tcW w:w="320" w:type="dxa"/>
            <w:vAlign w:val="bottom"/>
            <w:tcBorders>
              <w:bottom w:val="single" w:sz="8" w:color="231F20"/>
            </w:tcBorders>
          </w:tcPr>
          <w:p>
            <w:pPr>
              <w:spacing w:after="0"/>
              <w:rPr>
                <w:sz w:val="2"/>
                <w:szCs w:val="2"/>
                <w:color w:val="auto"/>
              </w:rPr>
            </w:pPr>
          </w:p>
        </w:tc>
        <w:tc>
          <w:tcPr>
            <w:tcW w:w="8340" w:type="dxa"/>
            <w:vAlign w:val="bottom"/>
            <w:tcBorders>
              <w:bottom w:val="single" w:sz="8" w:color="231F20"/>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225"/>
        </w:trPr>
        <w:tc>
          <w:tcPr>
            <w:tcW w:w="2580" w:type="dxa"/>
            <w:vAlign w:val="bottom"/>
          </w:tcPr>
          <w:p>
            <w:pPr>
              <w:spacing w:after="0"/>
              <w:rPr>
                <w:sz w:val="20"/>
                <w:szCs w:val="20"/>
                <w:color w:val="auto"/>
              </w:rPr>
            </w:pPr>
            <w:r>
              <w:rPr>
                <w:rFonts w:ascii="Arial" w:cs="Arial" w:eastAsia="Arial" w:hAnsi="Arial"/>
                <w:sz w:val="14"/>
                <w:szCs w:val="14"/>
                <w:b w:val="1"/>
                <w:bCs w:val="1"/>
                <w:color w:val="455986"/>
              </w:rPr>
              <w:t>Stock Ownership Guidelines</w:t>
            </w:r>
          </w:p>
        </w:tc>
        <w:tc>
          <w:tcPr>
            <w:tcW w:w="320" w:type="dxa"/>
            <w:vAlign w:val="bottom"/>
          </w:tcPr>
          <w:p>
            <w:pPr>
              <w:jc w:val="right"/>
              <w:spacing w:after="0"/>
              <w:rPr>
                <w:sz w:val="20"/>
                <w:szCs w:val="20"/>
                <w:color w:val="auto"/>
              </w:rPr>
            </w:pPr>
            <w:r>
              <w:rPr>
                <w:rFonts w:ascii="Times New Roman" w:cs="Times New Roman" w:eastAsia="Times New Roman" w:hAnsi="Times New Roman"/>
                <w:sz w:val="14"/>
                <w:szCs w:val="14"/>
                <w:color w:val="455986"/>
              </w:rPr>
              <w:t>·</w:t>
            </w:r>
          </w:p>
        </w:tc>
        <w:tc>
          <w:tcPr>
            <w:tcW w:w="8340" w:type="dxa"/>
            <w:vAlign w:val="bottom"/>
            <w:gridSpan w:val="2"/>
          </w:tcPr>
          <w:p>
            <w:pPr>
              <w:ind w:left="40"/>
              <w:spacing w:after="0"/>
              <w:rPr>
                <w:sz w:val="20"/>
                <w:szCs w:val="20"/>
                <w:color w:val="auto"/>
              </w:rPr>
            </w:pPr>
            <w:r>
              <w:rPr>
                <w:rFonts w:ascii="Arial" w:cs="Arial" w:eastAsia="Arial" w:hAnsi="Arial"/>
                <w:sz w:val="14"/>
                <w:szCs w:val="14"/>
                <w:color w:val="231F20"/>
              </w:rPr>
              <w:t>Robust director and management stock ownership guidelines</w:t>
            </w:r>
          </w:p>
        </w:tc>
        <w:tc>
          <w:tcPr>
            <w:tcW w:w="0" w:type="dxa"/>
            <w:vAlign w:val="bottom"/>
          </w:tcPr>
          <w:p>
            <w:pPr>
              <w:spacing w:after="0"/>
              <w:rPr>
                <w:sz w:val="1"/>
                <w:szCs w:val="1"/>
                <w:color w:val="auto"/>
              </w:rPr>
            </w:pPr>
          </w:p>
        </w:tc>
      </w:tr>
      <w:tr>
        <w:trPr>
          <w:trHeight w:val="196"/>
        </w:trPr>
        <w:tc>
          <w:tcPr>
            <w:tcW w:w="25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20" w:type="dxa"/>
            <w:vAlign w:val="bottom"/>
          </w:tcPr>
          <w:p>
            <w:pPr>
              <w:ind w:left="100"/>
              <w:spacing w:after="0"/>
              <w:rPr>
                <w:sz w:val="20"/>
                <w:szCs w:val="20"/>
                <w:color w:val="auto"/>
              </w:rPr>
            </w:pPr>
            <w:r>
              <w:rPr>
                <w:rFonts w:ascii="Arial" w:cs="Arial" w:eastAsia="Arial" w:hAnsi="Arial"/>
                <w:sz w:val="14"/>
                <w:szCs w:val="14"/>
                <w:color w:val="455986"/>
              </w:rPr>
              <w:t>–</w:t>
            </w:r>
          </w:p>
        </w:tc>
        <w:tc>
          <w:tcPr>
            <w:tcW w:w="8120" w:type="dxa"/>
            <w:vAlign w:val="bottom"/>
          </w:tcPr>
          <w:p>
            <w:pPr>
              <w:ind w:left="40"/>
              <w:spacing w:after="0"/>
              <w:rPr>
                <w:sz w:val="20"/>
                <w:szCs w:val="20"/>
                <w:color w:val="auto"/>
              </w:rPr>
            </w:pPr>
            <w:r>
              <w:rPr>
                <w:rFonts w:ascii="Arial" w:cs="Arial" w:eastAsia="Arial" w:hAnsi="Arial"/>
                <w:sz w:val="14"/>
                <w:szCs w:val="14"/>
                <w:color w:val="231F20"/>
              </w:rPr>
              <w:t>Directors: 5x annual base cash retainer</w:t>
            </w:r>
          </w:p>
        </w:tc>
        <w:tc>
          <w:tcPr>
            <w:tcW w:w="0" w:type="dxa"/>
            <w:vAlign w:val="bottom"/>
          </w:tcPr>
          <w:p>
            <w:pPr>
              <w:spacing w:after="0"/>
              <w:rPr>
                <w:sz w:val="1"/>
                <w:szCs w:val="1"/>
                <w:color w:val="auto"/>
              </w:rPr>
            </w:pPr>
          </w:p>
        </w:tc>
      </w:tr>
      <w:tr>
        <w:trPr>
          <w:trHeight w:val="204"/>
        </w:trPr>
        <w:tc>
          <w:tcPr>
            <w:tcW w:w="25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20" w:type="dxa"/>
            <w:vAlign w:val="bottom"/>
          </w:tcPr>
          <w:p>
            <w:pPr>
              <w:ind w:left="100"/>
              <w:spacing w:after="0"/>
              <w:rPr>
                <w:sz w:val="20"/>
                <w:szCs w:val="20"/>
                <w:color w:val="auto"/>
              </w:rPr>
            </w:pPr>
            <w:r>
              <w:rPr>
                <w:rFonts w:ascii="Arial" w:cs="Arial" w:eastAsia="Arial" w:hAnsi="Arial"/>
                <w:sz w:val="14"/>
                <w:szCs w:val="14"/>
                <w:color w:val="455986"/>
              </w:rPr>
              <w:t>–</w:t>
            </w:r>
          </w:p>
        </w:tc>
        <w:tc>
          <w:tcPr>
            <w:tcW w:w="8120" w:type="dxa"/>
            <w:vAlign w:val="bottom"/>
          </w:tcPr>
          <w:p>
            <w:pPr>
              <w:ind w:left="40"/>
              <w:spacing w:after="0"/>
              <w:rPr>
                <w:sz w:val="20"/>
                <w:szCs w:val="20"/>
                <w:color w:val="auto"/>
              </w:rPr>
            </w:pPr>
            <w:r>
              <w:rPr>
                <w:rFonts w:ascii="Arial" w:cs="Arial" w:eastAsia="Arial" w:hAnsi="Arial"/>
                <w:sz w:val="14"/>
                <w:szCs w:val="14"/>
                <w:color w:val="231F20"/>
              </w:rPr>
              <w:t>CEO: 5x midpoint of average base salary</w:t>
            </w:r>
          </w:p>
        </w:tc>
        <w:tc>
          <w:tcPr>
            <w:tcW w:w="0" w:type="dxa"/>
            <w:vAlign w:val="bottom"/>
          </w:tcPr>
          <w:p>
            <w:pPr>
              <w:spacing w:after="0"/>
              <w:rPr>
                <w:sz w:val="1"/>
                <w:szCs w:val="1"/>
                <w:color w:val="auto"/>
              </w:rPr>
            </w:pPr>
          </w:p>
        </w:tc>
      </w:tr>
      <w:tr>
        <w:trPr>
          <w:trHeight w:val="204"/>
        </w:trPr>
        <w:tc>
          <w:tcPr>
            <w:tcW w:w="25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340" w:type="dxa"/>
            <w:vAlign w:val="bottom"/>
            <w:gridSpan w:val="2"/>
          </w:tcPr>
          <w:p>
            <w:pPr>
              <w:ind w:left="100"/>
              <w:spacing w:after="0"/>
              <w:rPr>
                <w:sz w:val="20"/>
                <w:szCs w:val="20"/>
                <w:color w:val="auto"/>
              </w:rPr>
            </w:pPr>
            <w:r>
              <w:rPr>
                <w:rFonts w:ascii="Arial" w:cs="Arial" w:eastAsia="Arial" w:hAnsi="Arial"/>
                <w:sz w:val="14"/>
                <w:szCs w:val="14"/>
                <w:color w:val="455986"/>
              </w:rPr>
              <w:t xml:space="preserve">– </w:t>
            </w:r>
            <w:r>
              <w:rPr>
                <w:rFonts w:ascii="Arial" w:cs="Arial" w:eastAsia="Arial" w:hAnsi="Arial"/>
                <w:sz w:val="14"/>
                <w:szCs w:val="14"/>
                <w:color w:val="231F20"/>
              </w:rPr>
              <w:t>Other NEOs/EVPs: 3x midpoint of average base salary</w:t>
            </w:r>
          </w:p>
        </w:tc>
        <w:tc>
          <w:tcPr>
            <w:tcW w:w="0" w:type="dxa"/>
            <w:vAlign w:val="bottom"/>
          </w:tcPr>
          <w:p>
            <w:pPr>
              <w:spacing w:after="0"/>
              <w:rPr>
                <w:sz w:val="1"/>
                <w:szCs w:val="1"/>
                <w:color w:val="auto"/>
              </w:rPr>
            </w:pPr>
          </w:p>
        </w:tc>
      </w:tr>
      <w:tr>
        <w:trPr>
          <w:trHeight w:val="31"/>
        </w:trPr>
        <w:tc>
          <w:tcPr>
            <w:tcW w:w="2580" w:type="dxa"/>
            <w:vAlign w:val="bottom"/>
            <w:tcBorders>
              <w:bottom w:val="single" w:sz="8" w:color="231F20"/>
            </w:tcBorders>
          </w:tcPr>
          <w:p>
            <w:pPr>
              <w:spacing w:after="0"/>
              <w:rPr>
                <w:sz w:val="2"/>
                <w:szCs w:val="2"/>
                <w:color w:val="auto"/>
              </w:rPr>
            </w:pPr>
          </w:p>
        </w:tc>
        <w:tc>
          <w:tcPr>
            <w:tcW w:w="320" w:type="dxa"/>
            <w:vAlign w:val="bottom"/>
            <w:tcBorders>
              <w:bottom w:val="single" w:sz="8" w:color="231F20"/>
            </w:tcBorders>
          </w:tcPr>
          <w:p>
            <w:pPr>
              <w:spacing w:after="0"/>
              <w:rPr>
                <w:sz w:val="2"/>
                <w:szCs w:val="2"/>
                <w:color w:val="auto"/>
              </w:rPr>
            </w:pPr>
          </w:p>
        </w:tc>
        <w:tc>
          <w:tcPr>
            <w:tcW w:w="8340" w:type="dxa"/>
            <w:vAlign w:val="bottom"/>
            <w:tcBorders>
              <w:bottom w:val="single" w:sz="8" w:color="231F20"/>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171"/>
        </w:trPr>
        <w:tc>
          <w:tcPr>
            <w:tcW w:w="2580" w:type="dxa"/>
            <w:vAlign w:val="bottom"/>
            <w:vMerge w:val="restart"/>
          </w:tcPr>
          <w:p>
            <w:pPr>
              <w:spacing w:after="0"/>
              <w:rPr>
                <w:sz w:val="20"/>
                <w:szCs w:val="20"/>
                <w:color w:val="auto"/>
              </w:rPr>
            </w:pPr>
            <w:r>
              <w:rPr>
                <w:rFonts w:ascii="Arial" w:cs="Arial" w:eastAsia="Arial" w:hAnsi="Arial"/>
                <w:sz w:val="14"/>
                <w:szCs w:val="14"/>
                <w:b w:val="1"/>
                <w:bCs w:val="1"/>
                <w:color w:val="455986"/>
              </w:rPr>
              <w:t>Shareholder Engagement</w:t>
            </w:r>
          </w:p>
        </w:tc>
        <w:tc>
          <w:tcPr>
            <w:tcW w:w="320" w:type="dxa"/>
            <w:vAlign w:val="bottom"/>
          </w:tcPr>
          <w:p>
            <w:pPr>
              <w:jc w:val="right"/>
              <w:spacing w:after="0"/>
              <w:rPr>
                <w:sz w:val="20"/>
                <w:szCs w:val="20"/>
                <w:color w:val="auto"/>
              </w:rPr>
            </w:pPr>
            <w:r>
              <w:rPr>
                <w:rFonts w:ascii="Times New Roman" w:cs="Times New Roman" w:eastAsia="Times New Roman" w:hAnsi="Times New Roman"/>
                <w:sz w:val="14"/>
                <w:szCs w:val="14"/>
                <w:color w:val="455986"/>
              </w:rPr>
              <w:t>·</w:t>
            </w:r>
          </w:p>
        </w:tc>
        <w:tc>
          <w:tcPr>
            <w:tcW w:w="8340" w:type="dxa"/>
            <w:vAlign w:val="bottom"/>
            <w:gridSpan w:val="2"/>
          </w:tcPr>
          <w:p>
            <w:pPr>
              <w:ind w:left="40"/>
              <w:spacing w:after="0"/>
              <w:rPr>
                <w:sz w:val="20"/>
                <w:szCs w:val="20"/>
                <w:color w:val="auto"/>
              </w:rPr>
            </w:pPr>
            <w:r>
              <w:rPr>
                <w:rFonts w:ascii="Arial" w:cs="Arial" w:eastAsia="Arial" w:hAnsi="Arial"/>
                <w:sz w:val="14"/>
                <w:szCs w:val="14"/>
                <w:color w:val="231F20"/>
              </w:rPr>
              <w:t>Comprehensive shareholder outreach conducted in 2020 with more than 300 meetings held with investors</w:t>
            </w:r>
          </w:p>
        </w:tc>
        <w:tc>
          <w:tcPr>
            <w:tcW w:w="0" w:type="dxa"/>
            <w:vAlign w:val="bottom"/>
          </w:tcPr>
          <w:p>
            <w:pPr>
              <w:spacing w:after="0"/>
              <w:rPr>
                <w:sz w:val="1"/>
                <w:szCs w:val="1"/>
                <w:color w:val="auto"/>
              </w:rPr>
            </w:pPr>
          </w:p>
        </w:tc>
      </w:tr>
      <w:tr>
        <w:trPr>
          <w:trHeight w:val="54"/>
        </w:trPr>
        <w:tc>
          <w:tcPr>
            <w:tcW w:w="2580" w:type="dxa"/>
            <w:vAlign w:val="bottom"/>
            <w:vMerge w:val="continue"/>
          </w:tcPr>
          <w:p>
            <w:pPr>
              <w:spacing w:after="0"/>
              <w:rPr>
                <w:sz w:val="4"/>
                <w:szCs w:val="4"/>
                <w:color w:val="auto"/>
              </w:rPr>
            </w:pPr>
          </w:p>
        </w:tc>
        <w:tc>
          <w:tcPr>
            <w:tcW w:w="320" w:type="dxa"/>
            <w:vAlign w:val="bottom"/>
          </w:tcPr>
          <w:p>
            <w:pPr>
              <w:spacing w:after="0"/>
              <w:rPr>
                <w:sz w:val="4"/>
                <w:szCs w:val="4"/>
                <w:color w:val="auto"/>
              </w:rPr>
            </w:pPr>
          </w:p>
        </w:tc>
        <w:tc>
          <w:tcPr>
            <w:tcW w:w="220" w:type="dxa"/>
            <w:vAlign w:val="bottom"/>
          </w:tcPr>
          <w:p>
            <w:pPr>
              <w:spacing w:after="0"/>
              <w:rPr>
                <w:sz w:val="4"/>
                <w:szCs w:val="4"/>
                <w:color w:val="auto"/>
              </w:rPr>
            </w:pPr>
          </w:p>
        </w:tc>
        <w:tc>
          <w:tcPr>
            <w:tcW w:w="81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3"/>
        </w:trPr>
        <w:tc>
          <w:tcPr>
            <w:tcW w:w="2580" w:type="dxa"/>
            <w:vAlign w:val="bottom"/>
            <w:tcBorders>
              <w:bottom w:val="single" w:sz="8" w:color="455986"/>
            </w:tcBorders>
          </w:tcPr>
          <w:p>
            <w:pPr>
              <w:spacing w:after="0" w:line="20" w:lineRule="exact"/>
              <w:rPr>
                <w:sz w:val="1"/>
                <w:szCs w:val="1"/>
                <w:color w:val="auto"/>
              </w:rPr>
            </w:pPr>
          </w:p>
        </w:tc>
        <w:tc>
          <w:tcPr>
            <w:tcW w:w="320" w:type="dxa"/>
            <w:vAlign w:val="bottom"/>
            <w:tcBorders>
              <w:bottom w:val="single" w:sz="8" w:color="455986"/>
            </w:tcBorders>
          </w:tcPr>
          <w:p>
            <w:pPr>
              <w:spacing w:after="0" w:line="20" w:lineRule="exact"/>
              <w:rPr>
                <w:sz w:val="1"/>
                <w:szCs w:val="1"/>
                <w:color w:val="auto"/>
              </w:rPr>
            </w:pPr>
          </w:p>
        </w:tc>
        <w:tc>
          <w:tcPr>
            <w:tcW w:w="220" w:type="dxa"/>
            <w:vAlign w:val="bottom"/>
            <w:tcBorders>
              <w:bottom w:val="single" w:sz="8" w:color="455986"/>
            </w:tcBorders>
          </w:tcPr>
          <w:p>
            <w:pPr>
              <w:spacing w:after="0" w:line="20" w:lineRule="exact"/>
              <w:rPr>
                <w:sz w:val="1"/>
                <w:szCs w:val="1"/>
                <w:color w:val="auto"/>
              </w:rPr>
            </w:pPr>
          </w:p>
        </w:tc>
        <w:tc>
          <w:tcPr>
            <w:tcW w:w="8120" w:type="dxa"/>
            <w:vAlign w:val="bottom"/>
            <w:tcBorders>
              <w:bottom w:val="single" w:sz="8" w:color="455986"/>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113665</wp:posOffset>
            </wp:positionV>
            <wp:extent cx="713994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9940" cy="8255"/>
                    </a:xfrm>
                    <a:prstGeom prst="rect">
                      <a:avLst/>
                    </a:prstGeom>
                    <a:noFill/>
                  </pic:spPr>
                </pic:pic>
              </a:graphicData>
            </a:graphic>
          </wp:anchor>
        </w:drawing>
      </w:r>
    </w:p>
    <w:p>
      <w:pPr>
        <w:spacing w:after="0" w:line="228" w:lineRule="exact"/>
        <w:rPr>
          <w:sz w:val="20"/>
          <w:szCs w:val="20"/>
          <w:color w:val="auto"/>
        </w:rPr>
      </w:pPr>
    </w:p>
    <w:p>
      <w:pPr>
        <w:ind w:left="220" w:hanging="218"/>
        <w:spacing w:after="0"/>
        <w:tabs>
          <w:tab w:leader="none" w:pos="220" w:val="left"/>
        </w:tabs>
        <w:numPr>
          <w:ilvl w:val="0"/>
          <w:numId w:val="9"/>
        </w:numPr>
        <w:rPr>
          <w:rFonts w:ascii="Arial" w:cs="Arial" w:eastAsia="Arial" w:hAnsi="Arial"/>
          <w:sz w:val="15"/>
          <w:szCs w:val="15"/>
          <w:color w:val="455986"/>
        </w:rPr>
      </w:pPr>
      <w:r>
        <w:rPr>
          <w:rFonts w:ascii="Arial" w:cs="Arial" w:eastAsia="Arial" w:hAnsi="Arial"/>
          <w:sz w:val="12"/>
          <w:szCs w:val="12"/>
          <w:color w:val="4395D4"/>
        </w:rPr>
        <w:t xml:space="preserve">ESSENTIAL UTILITIES, INC. </w:t>
      </w:r>
      <w:r>
        <w:rPr>
          <w:rFonts w:ascii="Arial" w:cs="Arial" w:eastAsia="Arial" w:hAnsi="Arial"/>
          <w:sz w:val="12"/>
          <w:szCs w:val="12"/>
          <w:color w:val="455986"/>
        </w:rPr>
        <w:t>2021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316230</wp:posOffset>
            </wp:positionV>
            <wp:extent cx="7139940" cy="2413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9940" cy="24130"/>
                    </a:xfrm>
                    <a:prstGeom prst="rect">
                      <a:avLst/>
                    </a:prstGeom>
                    <a:noFill/>
                  </pic:spPr>
                </pic:pic>
              </a:graphicData>
            </a:graphic>
          </wp:anchor>
        </w:drawing>
      </w:r>
    </w:p>
    <w:p>
      <w:pPr>
        <w:sectPr>
          <w:pgSz w:w="11900" w:h="16838" w:orient="portrait"/>
          <w:cols w:equalWidth="0" w:num="1">
            <w:col w:w="11240"/>
          </w:cols>
          <w:pgMar w:left="320" w:top="637" w:right="339" w:bottom="1440" w:gutter="0" w:footer="0" w:header="0"/>
        </w:sectPr>
      </w:pPr>
    </w:p>
    <w:bookmarkStart w:id="9" w:name="page10"/>
    <w:bookmarkEnd w:id="9"/>
    <w:p>
      <w:pPr>
        <w:spacing w:after="0"/>
        <w:rPr>
          <w:sz w:val="20"/>
          <w:szCs w:val="20"/>
          <w:color w:val="auto"/>
        </w:rPr>
      </w:pPr>
      <w:r>
        <w:rPr>
          <w:rFonts w:ascii="Arial" w:cs="Arial" w:eastAsia="Arial" w:hAnsi="Arial"/>
          <w:sz w:val="14"/>
          <w:szCs w:val="14"/>
          <w:b w:val="1"/>
          <w:bCs w:val="1"/>
          <w:color w:val="455986"/>
        </w:rPr>
        <w:t>Proxy Summary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27940</wp:posOffset>
            </wp:positionV>
            <wp:extent cx="713994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9940" cy="8255"/>
                    </a:xfrm>
                    <a:prstGeom prst="rect">
                      <a:avLst/>
                    </a:prstGeom>
                    <a:noFill/>
                  </pic:spPr>
                </pic:pic>
              </a:graphicData>
            </a:graphic>
          </wp:anchor>
        </w:drawing>
      </w:r>
    </w:p>
    <w:p>
      <w:pPr>
        <w:spacing w:after="0" w:line="76" w:lineRule="exact"/>
        <w:rPr>
          <w:sz w:val="20"/>
          <w:szCs w:val="20"/>
          <w:color w:val="auto"/>
        </w:rPr>
      </w:pPr>
    </w:p>
    <w:p>
      <w:pPr>
        <w:spacing w:after="0"/>
        <w:rPr>
          <w:sz w:val="20"/>
          <w:szCs w:val="20"/>
          <w:color w:val="auto"/>
        </w:rPr>
      </w:pPr>
      <w:r>
        <w:rPr>
          <w:rFonts w:ascii="Arial" w:cs="Arial" w:eastAsia="Arial" w:hAnsi="Arial"/>
          <w:sz w:val="14"/>
          <w:szCs w:val="14"/>
          <w:color w:val="231F20"/>
        </w:rPr>
        <w:t>2020 Performance Highlights</w:t>
      </w:r>
    </w:p>
    <w:p>
      <w:pPr>
        <w:spacing w:after="0" w:line="163" w:lineRule="exact"/>
        <w:rPr>
          <w:sz w:val="20"/>
          <w:szCs w:val="20"/>
          <w:color w:val="auto"/>
        </w:rPr>
      </w:pPr>
    </w:p>
    <w:p>
      <w:pPr>
        <w:spacing w:after="0"/>
        <w:rPr>
          <w:sz w:val="20"/>
          <w:szCs w:val="20"/>
          <w:color w:val="auto"/>
        </w:rPr>
      </w:pPr>
      <w:r>
        <w:rPr>
          <w:rFonts w:ascii="Arial" w:cs="Arial" w:eastAsia="Arial" w:hAnsi="Arial"/>
          <w:sz w:val="24"/>
          <w:szCs w:val="24"/>
          <w:b w:val="1"/>
          <w:bCs w:val="1"/>
          <w:color w:val="455986"/>
        </w:rPr>
        <w:t>2020 Performance Highlights</w:t>
      </w:r>
    </w:p>
    <w:p>
      <w:pPr>
        <w:spacing w:after="0" w:line="208" w:lineRule="exact"/>
        <w:rPr>
          <w:sz w:val="20"/>
          <w:szCs w:val="20"/>
          <w:color w:val="auto"/>
        </w:rPr>
      </w:pPr>
    </w:p>
    <w:p>
      <w:pPr>
        <w:ind w:right="60"/>
        <w:spacing w:after="0" w:line="245" w:lineRule="auto"/>
        <w:rPr>
          <w:sz w:val="20"/>
          <w:szCs w:val="20"/>
          <w:color w:val="auto"/>
        </w:rPr>
      </w:pPr>
      <w:r>
        <w:rPr>
          <w:rFonts w:ascii="Arial" w:cs="Arial" w:eastAsia="Arial" w:hAnsi="Arial"/>
          <w:sz w:val="14"/>
          <w:szCs w:val="14"/>
          <w:color w:val="231F20"/>
        </w:rPr>
        <w:t>During 2020, our leadership team remained focused on growing our customer base through acquisitions, prudently investing capital to renew our aging infrastructure, obtaining regulatory approval for the Peoples Natural Gas acquisition, successfully executing our first public offering of equity securities since 2006 and creating efficiencies across the organization. We see great opportunities ahead and remain focused on investing in infrastructure and delivering sustainable growth for our investors. We do this while building on our core values of respect, integrity, and the pursuit of excellence.</w:t>
      </w:r>
    </w:p>
    <w:p>
      <w:pPr>
        <w:sectPr>
          <w:pgSz w:w="11900" w:h="16838" w:orient="portrait"/>
          <w:cols w:equalWidth="0" w:num="1">
            <w:col w:w="11240"/>
          </w:cols>
          <w:pgMar w:left="320" w:top="636" w:right="339" w:bottom="1440" w:gutter="0" w:footer="0" w:header="0"/>
        </w:sectPr>
      </w:pPr>
    </w:p>
    <w:p>
      <w:pPr>
        <w:spacing w:after="0" w:line="132" w:lineRule="exact"/>
        <w:rPr>
          <w:sz w:val="20"/>
          <w:szCs w:val="20"/>
          <w:color w:val="auto"/>
        </w:rPr>
      </w:pPr>
    </w:p>
    <w:p>
      <w:pPr>
        <w:ind w:left="180" w:right="120" w:hanging="178"/>
        <w:spacing w:after="0" w:line="254" w:lineRule="auto"/>
        <w:tabs>
          <w:tab w:leader="none" w:pos="126" w:val="left"/>
        </w:tabs>
        <w:numPr>
          <w:ilvl w:val="0"/>
          <w:numId w:val="10"/>
        </w:numPr>
        <w:rPr>
          <w:rFonts w:ascii="Times New Roman" w:cs="Times New Roman" w:eastAsia="Times New Roman" w:hAnsi="Times New Roman"/>
          <w:sz w:val="14"/>
          <w:szCs w:val="14"/>
          <w:color w:val="4395D4"/>
        </w:rPr>
      </w:pPr>
      <w:r>
        <w:rPr>
          <w:rFonts w:ascii="Arial" w:cs="Arial" w:eastAsia="Arial" w:hAnsi="Arial"/>
          <w:sz w:val="14"/>
          <w:szCs w:val="14"/>
          <w:color w:val="231F20"/>
        </w:rPr>
        <w:t xml:space="preserve">In 2020, </w:t>
      </w:r>
      <w:r>
        <w:rPr>
          <w:rFonts w:ascii="Arial" w:cs="Arial" w:eastAsia="Arial" w:hAnsi="Arial"/>
          <w:sz w:val="14"/>
          <w:szCs w:val="14"/>
          <w:b w:val="1"/>
          <w:bCs w:val="1"/>
          <w:color w:val="4395D4"/>
        </w:rPr>
        <w:t>we invested approximately $900 million in infrastructure projects</w:t>
      </w:r>
      <w:r>
        <w:rPr>
          <w:rFonts w:ascii="Arial" w:cs="Arial" w:eastAsia="Arial" w:hAnsi="Arial"/>
          <w:sz w:val="14"/>
          <w:szCs w:val="14"/>
          <w:color w:val="231F20"/>
        </w:rPr>
        <w:t xml:space="preserve"> </w:t>
      </w:r>
      <w:r>
        <w:rPr>
          <w:rFonts w:ascii="Arial" w:cs="Arial" w:eastAsia="Arial" w:hAnsi="Arial"/>
          <w:sz w:val="14"/>
          <w:szCs w:val="14"/>
          <w:b w:val="1"/>
          <w:bCs w:val="1"/>
          <w:color w:val="4395D4"/>
        </w:rPr>
        <w:t>across the water and gas utilities</w:t>
      </w:r>
      <w:r>
        <w:rPr>
          <w:rFonts w:ascii="Arial" w:cs="Arial" w:eastAsia="Arial" w:hAnsi="Arial"/>
          <w:sz w:val="14"/>
          <w:szCs w:val="14"/>
          <w:color w:val="231F20"/>
        </w:rPr>
        <w:t>, helping to ensure safe and reliable service</w:t>
      </w:r>
      <w:r>
        <w:rPr>
          <w:rFonts w:ascii="Arial" w:cs="Arial" w:eastAsia="Arial" w:hAnsi="Arial"/>
          <w:sz w:val="14"/>
          <w:szCs w:val="14"/>
          <w:b w:val="1"/>
          <w:bCs w:val="1"/>
          <w:color w:val="4395D4"/>
        </w:rPr>
        <w:t xml:space="preserve"> </w:t>
      </w:r>
      <w:r>
        <w:rPr>
          <w:rFonts w:ascii="Arial" w:cs="Arial" w:eastAsia="Arial" w:hAnsi="Arial"/>
          <w:sz w:val="14"/>
          <w:szCs w:val="14"/>
          <w:color w:val="231F20"/>
        </w:rPr>
        <w:t>for all customers.</w:t>
      </w:r>
    </w:p>
    <w:p>
      <w:pPr>
        <w:spacing w:after="0" w:line="24" w:lineRule="exact"/>
        <w:rPr>
          <w:rFonts w:ascii="Times New Roman" w:cs="Times New Roman" w:eastAsia="Times New Roman" w:hAnsi="Times New Roman"/>
          <w:sz w:val="14"/>
          <w:szCs w:val="14"/>
          <w:color w:val="4395D4"/>
        </w:rPr>
      </w:pPr>
    </w:p>
    <w:p>
      <w:pPr>
        <w:ind w:left="180" w:right="240" w:hanging="178"/>
        <w:spacing w:after="0" w:line="280" w:lineRule="auto"/>
        <w:tabs>
          <w:tab w:leader="none" w:pos="126" w:val="left"/>
        </w:tabs>
        <w:numPr>
          <w:ilvl w:val="0"/>
          <w:numId w:val="10"/>
        </w:numPr>
        <w:rPr>
          <w:rFonts w:ascii="Times New Roman" w:cs="Times New Roman" w:eastAsia="Times New Roman" w:hAnsi="Times New Roman"/>
          <w:sz w:val="14"/>
          <w:szCs w:val="14"/>
          <w:color w:val="4395D4"/>
        </w:rPr>
      </w:pPr>
      <w:r>
        <w:rPr>
          <w:rFonts w:ascii="Arial" w:cs="Arial" w:eastAsia="Arial" w:hAnsi="Arial"/>
          <w:sz w:val="14"/>
          <w:szCs w:val="14"/>
          <w:b w:val="1"/>
          <w:bCs w:val="1"/>
          <w:color w:val="4395D4"/>
        </w:rPr>
        <w:t>Revenues were $1.46 billion in 2020</w:t>
      </w:r>
      <w:r>
        <w:rPr>
          <w:rFonts w:ascii="Arial" w:cs="Arial" w:eastAsia="Arial" w:hAnsi="Arial"/>
          <w:sz w:val="14"/>
          <w:szCs w:val="14"/>
          <w:color w:val="231F20"/>
        </w:rPr>
        <w:t>, an increase of 64.4 percent over 2019.</w:t>
      </w:r>
      <w:r>
        <w:rPr>
          <w:rFonts w:ascii="Arial" w:cs="Arial" w:eastAsia="Arial" w:hAnsi="Arial"/>
          <w:sz w:val="14"/>
          <w:szCs w:val="14"/>
          <w:b w:val="1"/>
          <w:bCs w:val="1"/>
          <w:color w:val="4395D4"/>
        </w:rPr>
        <w:t xml:space="preserve"> </w:t>
      </w:r>
      <w:r>
        <w:rPr>
          <w:rFonts w:ascii="Arial" w:cs="Arial" w:eastAsia="Arial" w:hAnsi="Arial"/>
          <w:sz w:val="14"/>
          <w:szCs w:val="14"/>
          <w:color w:val="231F20"/>
        </w:rPr>
        <w:t>Adjusted (non-GAAP) revenues were $1.49 billion.*</w:t>
      </w:r>
    </w:p>
    <w:p>
      <w:pPr>
        <w:spacing w:after="0" w:line="19" w:lineRule="exact"/>
        <w:rPr>
          <w:rFonts w:ascii="Times New Roman" w:cs="Times New Roman" w:eastAsia="Times New Roman" w:hAnsi="Times New Roman"/>
          <w:sz w:val="14"/>
          <w:szCs w:val="14"/>
          <w:color w:val="4395D4"/>
        </w:rPr>
      </w:pPr>
    </w:p>
    <w:p>
      <w:pPr>
        <w:ind w:left="180" w:right="300" w:hanging="178"/>
        <w:spacing w:after="0" w:line="254" w:lineRule="auto"/>
        <w:tabs>
          <w:tab w:leader="none" w:pos="126" w:val="left"/>
        </w:tabs>
        <w:numPr>
          <w:ilvl w:val="0"/>
          <w:numId w:val="10"/>
        </w:numPr>
        <w:rPr>
          <w:rFonts w:ascii="Times New Roman" w:cs="Times New Roman" w:eastAsia="Times New Roman" w:hAnsi="Times New Roman"/>
          <w:sz w:val="14"/>
          <w:szCs w:val="14"/>
          <w:color w:val="4395D4"/>
        </w:rPr>
      </w:pPr>
      <w:r>
        <w:rPr>
          <w:rFonts w:ascii="Arial" w:cs="Arial" w:eastAsia="Arial" w:hAnsi="Arial"/>
          <w:sz w:val="14"/>
          <w:szCs w:val="14"/>
          <w:b w:val="1"/>
          <w:bCs w:val="1"/>
          <w:color w:val="4395D4"/>
        </w:rPr>
        <w:t>Earnings per share were $1.12 in 2020</w:t>
      </w:r>
      <w:r>
        <w:rPr>
          <w:rFonts w:ascii="Arial" w:cs="Arial" w:eastAsia="Arial" w:hAnsi="Arial"/>
          <w:sz w:val="14"/>
          <w:szCs w:val="14"/>
          <w:color w:val="231F20"/>
        </w:rPr>
        <w:t>, including items from the Peoples</w:t>
      </w:r>
      <w:r>
        <w:rPr>
          <w:rFonts w:ascii="Arial" w:cs="Arial" w:eastAsia="Arial" w:hAnsi="Arial"/>
          <w:sz w:val="14"/>
          <w:szCs w:val="14"/>
          <w:b w:val="1"/>
          <w:bCs w:val="1"/>
          <w:color w:val="4395D4"/>
        </w:rPr>
        <w:t xml:space="preserve"> </w:t>
      </w:r>
      <w:r>
        <w:rPr>
          <w:rFonts w:ascii="Arial" w:cs="Arial" w:eastAsia="Arial" w:hAnsi="Arial"/>
          <w:sz w:val="14"/>
          <w:szCs w:val="14"/>
          <w:color w:val="231F20"/>
        </w:rPr>
        <w:t>transaction. Excluding these items, adjusted (non-GAAP) earnings per share were $1.58 compared to adjusted earnings per share of $1.47 in 2019.*</w:t>
      </w:r>
    </w:p>
    <w:p>
      <w:pPr>
        <w:spacing w:after="0" w:line="36" w:lineRule="exact"/>
        <w:rPr>
          <w:rFonts w:ascii="Times New Roman" w:cs="Times New Roman" w:eastAsia="Times New Roman" w:hAnsi="Times New Roman"/>
          <w:sz w:val="14"/>
          <w:szCs w:val="14"/>
          <w:color w:val="4395D4"/>
        </w:rPr>
      </w:pPr>
    </w:p>
    <w:p>
      <w:pPr>
        <w:ind w:left="180" w:hanging="178"/>
        <w:spacing w:after="0" w:line="241" w:lineRule="auto"/>
        <w:tabs>
          <w:tab w:leader="none" w:pos="126" w:val="left"/>
        </w:tabs>
        <w:numPr>
          <w:ilvl w:val="0"/>
          <w:numId w:val="10"/>
        </w:numPr>
        <w:rPr>
          <w:rFonts w:ascii="Times New Roman" w:cs="Times New Roman" w:eastAsia="Times New Roman" w:hAnsi="Times New Roman"/>
          <w:sz w:val="14"/>
          <w:szCs w:val="14"/>
          <w:color w:val="4395D4"/>
        </w:rPr>
      </w:pPr>
      <w:r>
        <w:rPr>
          <w:rFonts w:ascii="Arial" w:cs="Arial" w:eastAsia="Arial" w:hAnsi="Arial"/>
          <w:sz w:val="14"/>
          <w:szCs w:val="14"/>
          <w:b w:val="1"/>
          <w:bCs w:val="1"/>
          <w:color w:val="4395D4"/>
        </w:rPr>
        <w:t xml:space="preserve">We added approximately 12,000 water and wastewater customer equivalents through acquisition in 2020 </w:t>
      </w:r>
      <w:r>
        <w:rPr>
          <w:rFonts w:ascii="Arial" w:cs="Arial" w:eastAsia="Arial" w:hAnsi="Arial"/>
          <w:sz w:val="14"/>
          <w:szCs w:val="14"/>
          <w:color w:val="231F20"/>
        </w:rPr>
        <w:t>and increased water and wastewater customers</w:t>
      </w:r>
      <w:r>
        <w:rPr>
          <w:rFonts w:ascii="Arial" w:cs="Arial" w:eastAsia="Arial" w:hAnsi="Arial"/>
          <w:sz w:val="14"/>
          <w:szCs w:val="14"/>
          <w:b w:val="1"/>
          <w:bCs w:val="1"/>
          <w:color w:val="4395D4"/>
        </w:rPr>
        <w:t xml:space="preserve"> </w:t>
      </w:r>
      <w:r>
        <w:rPr>
          <w:rFonts w:ascii="Arial" w:cs="Arial" w:eastAsia="Arial" w:hAnsi="Arial"/>
          <w:sz w:val="14"/>
          <w:szCs w:val="14"/>
          <w:color w:val="231F20"/>
        </w:rPr>
        <w:t>served by 2 percent, which includes customers from organic growth and acquisitions. Our acquisitions in 2020 added approximately $62.9 million in rate base.</w:t>
      </w:r>
    </w:p>
    <w:p>
      <w:pPr>
        <w:spacing w:after="0" w:line="33" w:lineRule="exact"/>
        <w:rPr>
          <w:rFonts w:ascii="Times New Roman" w:cs="Times New Roman" w:eastAsia="Times New Roman" w:hAnsi="Times New Roman"/>
          <w:sz w:val="14"/>
          <w:szCs w:val="14"/>
          <w:color w:val="4395D4"/>
        </w:rPr>
      </w:pPr>
    </w:p>
    <w:p>
      <w:pPr>
        <w:ind w:left="180" w:right="40" w:hanging="178"/>
        <w:spacing w:after="0" w:line="260" w:lineRule="auto"/>
        <w:tabs>
          <w:tab w:leader="none" w:pos="126" w:val="left"/>
        </w:tabs>
        <w:numPr>
          <w:ilvl w:val="0"/>
          <w:numId w:val="10"/>
        </w:numPr>
        <w:rPr>
          <w:rFonts w:ascii="Times New Roman" w:cs="Times New Roman" w:eastAsia="Times New Roman" w:hAnsi="Times New Roman"/>
          <w:sz w:val="14"/>
          <w:szCs w:val="14"/>
          <w:color w:val="4395D4"/>
        </w:rPr>
      </w:pPr>
      <w:r>
        <w:rPr>
          <w:rFonts w:ascii="Arial" w:cs="Arial" w:eastAsia="Arial" w:hAnsi="Arial"/>
          <w:sz w:val="14"/>
          <w:szCs w:val="14"/>
          <w:b w:val="1"/>
          <w:bCs w:val="1"/>
          <w:color w:val="4395D4"/>
        </w:rPr>
        <w:t xml:space="preserve">We continued the approval process for the DELCORA acquisition, </w:t>
      </w:r>
      <w:r>
        <w:rPr>
          <w:rFonts w:ascii="Arial" w:cs="Arial" w:eastAsia="Arial" w:hAnsi="Arial"/>
          <w:sz w:val="14"/>
          <w:szCs w:val="14"/>
          <w:color w:val="231F20"/>
        </w:rPr>
        <w:t>a $276.5</w:t>
      </w:r>
      <w:r>
        <w:rPr>
          <w:rFonts w:ascii="Arial" w:cs="Arial" w:eastAsia="Arial" w:hAnsi="Arial"/>
          <w:sz w:val="14"/>
          <w:szCs w:val="14"/>
          <w:b w:val="1"/>
          <w:bCs w:val="1"/>
          <w:color w:val="4395D4"/>
        </w:rPr>
        <w:t xml:space="preserve"> </w:t>
      </w:r>
      <w:r>
        <w:rPr>
          <w:rFonts w:ascii="Arial" w:cs="Arial" w:eastAsia="Arial" w:hAnsi="Arial"/>
          <w:sz w:val="14"/>
          <w:szCs w:val="14"/>
          <w:color w:val="231F20"/>
        </w:rPr>
        <w:t xml:space="preserve">million acquisition of a wastewater authority which provides service to over half a million people. </w:t>
      </w:r>
      <w:r>
        <w:rPr>
          <w:rFonts w:ascii="Arial" w:cs="Arial" w:eastAsia="Arial" w:hAnsi="Arial"/>
          <w:sz w:val="14"/>
          <w:szCs w:val="14"/>
          <w:b w:val="1"/>
          <w:bCs w:val="1"/>
          <w:color w:val="4395D4"/>
        </w:rPr>
        <w:t>DELCORA has the equivalent of 198,000 retail customers.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79375</wp:posOffset>
            </wp:positionV>
            <wp:extent cx="5956300" cy="133731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956300" cy="133731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12" w:lineRule="exact"/>
        <w:rPr>
          <w:sz w:val="20"/>
          <w:szCs w:val="20"/>
          <w:color w:val="auto"/>
        </w:rPr>
      </w:pPr>
    </w:p>
    <w:p>
      <w:pPr>
        <w:ind w:left="180" w:right="340" w:hanging="180"/>
        <w:spacing w:after="0" w:line="254" w:lineRule="auto"/>
        <w:tabs>
          <w:tab w:leader="none" w:pos="126" w:val="left"/>
        </w:tabs>
        <w:numPr>
          <w:ilvl w:val="0"/>
          <w:numId w:val="11"/>
        </w:numPr>
        <w:rPr>
          <w:rFonts w:ascii="Times New Roman" w:cs="Times New Roman" w:eastAsia="Times New Roman" w:hAnsi="Times New Roman"/>
          <w:sz w:val="14"/>
          <w:szCs w:val="14"/>
          <w:color w:val="4395D4"/>
        </w:rPr>
      </w:pPr>
      <w:r>
        <w:rPr>
          <w:rFonts w:ascii="Arial" w:cs="Arial" w:eastAsia="Arial" w:hAnsi="Arial"/>
          <w:sz w:val="14"/>
          <w:szCs w:val="14"/>
          <w:color w:val="231F20"/>
        </w:rPr>
        <w:t xml:space="preserve">From January 1, 2018 to December 31, 2020, </w:t>
      </w:r>
      <w:r>
        <w:rPr>
          <w:rFonts w:ascii="Arial" w:cs="Arial" w:eastAsia="Arial" w:hAnsi="Arial"/>
          <w:sz w:val="14"/>
          <w:szCs w:val="14"/>
          <w:b w:val="1"/>
          <w:bCs w:val="1"/>
          <w:color w:val="4395D4"/>
        </w:rPr>
        <w:t>the total return to our</w:t>
      </w:r>
      <w:r>
        <w:rPr>
          <w:rFonts w:ascii="Arial" w:cs="Arial" w:eastAsia="Arial" w:hAnsi="Arial"/>
          <w:sz w:val="14"/>
          <w:szCs w:val="14"/>
          <w:color w:val="231F20"/>
        </w:rPr>
        <w:t xml:space="preserve"> </w:t>
      </w:r>
      <w:r>
        <w:rPr>
          <w:rFonts w:ascii="Arial" w:cs="Arial" w:eastAsia="Arial" w:hAnsi="Arial"/>
          <w:sz w:val="14"/>
          <w:szCs w:val="14"/>
          <w:b w:val="1"/>
          <w:bCs w:val="1"/>
          <w:color w:val="4395D4"/>
        </w:rPr>
        <w:t xml:space="preserve">shareholders, </w:t>
      </w:r>
      <w:r>
        <w:rPr>
          <w:rFonts w:ascii="Arial" w:cs="Arial" w:eastAsia="Arial" w:hAnsi="Arial"/>
          <w:sz w:val="14"/>
          <w:szCs w:val="14"/>
          <w:color w:val="000000"/>
        </w:rPr>
        <w:t>including share price appreciation and dividends paid, shows</w:t>
      </w:r>
      <w:r>
        <w:rPr>
          <w:rFonts w:ascii="Arial" w:cs="Arial" w:eastAsia="Arial" w:hAnsi="Arial"/>
          <w:sz w:val="14"/>
          <w:szCs w:val="14"/>
          <w:b w:val="1"/>
          <w:bCs w:val="1"/>
          <w:color w:val="4395D4"/>
        </w:rPr>
        <w:t xml:space="preserve"> </w:t>
      </w:r>
      <w:r>
        <w:rPr>
          <w:rFonts w:ascii="Arial" w:cs="Arial" w:eastAsia="Arial" w:hAnsi="Arial"/>
          <w:sz w:val="14"/>
          <w:szCs w:val="14"/>
          <w:color w:val="000000"/>
        </w:rPr>
        <w:t>29.08 percent growth.</w:t>
      </w:r>
    </w:p>
    <w:p>
      <w:pPr>
        <w:spacing w:after="0" w:line="24" w:lineRule="exact"/>
        <w:rPr>
          <w:rFonts w:ascii="Times New Roman" w:cs="Times New Roman" w:eastAsia="Times New Roman" w:hAnsi="Times New Roman"/>
          <w:sz w:val="14"/>
          <w:szCs w:val="14"/>
          <w:color w:val="4395D4"/>
        </w:rPr>
      </w:pPr>
    </w:p>
    <w:p>
      <w:pPr>
        <w:ind w:left="180" w:right="300" w:hanging="180"/>
        <w:spacing w:after="0" w:line="292" w:lineRule="auto"/>
        <w:tabs>
          <w:tab w:leader="none" w:pos="126" w:val="left"/>
        </w:tabs>
        <w:numPr>
          <w:ilvl w:val="0"/>
          <w:numId w:val="11"/>
        </w:numPr>
        <w:rPr>
          <w:rFonts w:ascii="Times New Roman" w:cs="Times New Roman" w:eastAsia="Times New Roman" w:hAnsi="Times New Roman"/>
          <w:sz w:val="14"/>
          <w:szCs w:val="14"/>
          <w:color w:val="4395D4"/>
        </w:rPr>
      </w:pPr>
      <w:r>
        <w:rPr>
          <w:rFonts w:ascii="Arial" w:cs="Arial" w:eastAsia="Arial" w:hAnsi="Arial"/>
          <w:sz w:val="14"/>
          <w:szCs w:val="14"/>
          <w:color w:val="231F20"/>
        </w:rPr>
        <w:t xml:space="preserve">In August 2020, the Board of Directors approved a </w:t>
      </w:r>
      <w:r>
        <w:rPr>
          <w:rFonts w:ascii="Arial" w:cs="Arial" w:eastAsia="Arial" w:hAnsi="Arial"/>
          <w:sz w:val="14"/>
          <w:szCs w:val="14"/>
          <w:b w:val="1"/>
          <w:bCs w:val="1"/>
          <w:color w:val="4395D4"/>
        </w:rPr>
        <w:t>7 percent increase in the</w:t>
      </w:r>
      <w:r>
        <w:rPr>
          <w:rFonts w:ascii="Arial" w:cs="Arial" w:eastAsia="Arial" w:hAnsi="Arial"/>
          <w:sz w:val="14"/>
          <w:szCs w:val="14"/>
          <w:color w:val="231F20"/>
        </w:rPr>
        <w:t xml:space="preserve"> </w:t>
      </w:r>
      <w:r>
        <w:rPr>
          <w:rFonts w:ascii="Arial" w:cs="Arial" w:eastAsia="Arial" w:hAnsi="Arial"/>
          <w:sz w:val="14"/>
          <w:szCs w:val="14"/>
          <w:b w:val="1"/>
          <w:bCs w:val="1"/>
          <w:color w:val="4395D4"/>
        </w:rPr>
        <w:t xml:space="preserve">quarterly dividend </w:t>
      </w:r>
      <w:r>
        <w:rPr>
          <w:rFonts w:ascii="Arial" w:cs="Arial" w:eastAsia="Arial" w:hAnsi="Arial"/>
          <w:sz w:val="14"/>
          <w:szCs w:val="14"/>
          <w:color w:val="231F20"/>
        </w:rPr>
        <w:t>to an annualized rate of $1.0028 per share.</w:t>
      </w:r>
    </w:p>
    <w:p>
      <w:pPr>
        <w:spacing w:after="0" w:line="5" w:lineRule="exact"/>
        <w:rPr>
          <w:rFonts w:ascii="Times New Roman" w:cs="Times New Roman" w:eastAsia="Times New Roman" w:hAnsi="Times New Roman"/>
          <w:sz w:val="14"/>
          <w:szCs w:val="14"/>
          <w:color w:val="4395D4"/>
        </w:rPr>
      </w:pPr>
    </w:p>
    <w:p>
      <w:pPr>
        <w:ind w:left="180" w:right="40" w:hanging="180"/>
        <w:spacing w:after="0" w:line="241" w:lineRule="auto"/>
        <w:tabs>
          <w:tab w:leader="none" w:pos="126" w:val="left"/>
        </w:tabs>
        <w:numPr>
          <w:ilvl w:val="0"/>
          <w:numId w:val="11"/>
        </w:numPr>
        <w:rPr>
          <w:rFonts w:ascii="Times New Roman" w:cs="Times New Roman" w:eastAsia="Times New Roman" w:hAnsi="Times New Roman"/>
          <w:sz w:val="14"/>
          <w:szCs w:val="14"/>
          <w:color w:val="4395D4"/>
        </w:rPr>
      </w:pPr>
      <w:r>
        <w:rPr>
          <w:rFonts w:ascii="Arial" w:cs="Arial" w:eastAsia="Arial" w:hAnsi="Arial"/>
          <w:sz w:val="14"/>
          <w:szCs w:val="14"/>
          <w:color w:val="231F20"/>
        </w:rPr>
        <w:t xml:space="preserve">We continued to enhance our ESG program with commitments to renewable power at our water utility and to PFAS treatment announced in February 2020. </w:t>
      </w:r>
      <w:r>
        <w:rPr>
          <w:rFonts w:ascii="Arial" w:cs="Arial" w:eastAsia="Arial" w:hAnsi="Arial"/>
          <w:sz w:val="14"/>
          <w:szCs w:val="14"/>
          <w:b w:val="1"/>
          <w:bCs w:val="1"/>
          <w:color w:val="4395D4"/>
        </w:rPr>
        <w:t>In</w:t>
      </w:r>
    </w:p>
    <w:p>
      <w:pPr>
        <w:ind w:left="180" w:right="220"/>
        <w:spacing w:after="0"/>
        <w:rPr>
          <w:rFonts w:ascii="Times New Roman" w:cs="Times New Roman" w:eastAsia="Times New Roman" w:hAnsi="Times New Roman"/>
          <w:sz w:val="14"/>
          <w:szCs w:val="14"/>
          <w:color w:val="4395D4"/>
        </w:rPr>
      </w:pPr>
      <w:r>
        <w:rPr>
          <w:rFonts w:ascii="Arial" w:cs="Arial" w:eastAsia="Arial" w:hAnsi="Arial"/>
          <w:sz w:val="14"/>
          <w:szCs w:val="14"/>
          <w:b w:val="1"/>
          <w:bCs w:val="1"/>
          <w:color w:val="4395D4"/>
        </w:rPr>
        <w:t xml:space="preserve">October 2020 we published what we believe to be an industry-leading, award-winning, and expanded ESG report </w:t>
      </w:r>
      <w:r>
        <w:rPr>
          <w:rFonts w:ascii="Arial" w:cs="Arial" w:eastAsia="Arial" w:hAnsi="Arial"/>
          <w:sz w:val="14"/>
          <w:szCs w:val="14"/>
          <w:color w:val="231F20"/>
        </w:rPr>
        <w:t>on our interactive ESG microsite</w:t>
      </w:r>
      <w:r>
        <w:rPr>
          <w:rFonts w:ascii="Arial" w:cs="Arial" w:eastAsia="Arial" w:hAnsi="Arial"/>
          <w:sz w:val="14"/>
          <w:szCs w:val="14"/>
          <w:b w:val="1"/>
          <w:bCs w:val="1"/>
          <w:color w:val="4395D4"/>
        </w:rPr>
        <w:t xml:space="preserve"> </w:t>
      </w:r>
      <w:r>
        <w:rPr>
          <w:rFonts w:ascii="Arial" w:cs="Arial" w:eastAsia="Arial" w:hAnsi="Arial"/>
          <w:sz w:val="14"/>
          <w:szCs w:val="14"/>
          <w:color w:val="231F20"/>
        </w:rPr>
        <w:t>ESG.Essential.co.</w:t>
      </w:r>
    </w:p>
    <w:p>
      <w:pPr>
        <w:spacing w:after="0" w:line="47" w:lineRule="exact"/>
        <w:rPr>
          <w:rFonts w:ascii="Times New Roman" w:cs="Times New Roman" w:eastAsia="Times New Roman" w:hAnsi="Times New Roman"/>
          <w:sz w:val="14"/>
          <w:szCs w:val="14"/>
          <w:color w:val="4395D4"/>
        </w:rPr>
      </w:pPr>
    </w:p>
    <w:p>
      <w:pPr>
        <w:ind w:left="180" w:right="140" w:hanging="180"/>
        <w:spacing w:after="0" w:line="259" w:lineRule="auto"/>
        <w:tabs>
          <w:tab w:leader="none" w:pos="126" w:val="left"/>
        </w:tabs>
        <w:numPr>
          <w:ilvl w:val="0"/>
          <w:numId w:val="11"/>
        </w:numPr>
        <w:rPr>
          <w:rFonts w:ascii="Times New Roman" w:cs="Times New Roman" w:eastAsia="Times New Roman" w:hAnsi="Times New Roman"/>
          <w:sz w:val="14"/>
          <w:szCs w:val="14"/>
          <w:color w:val="4395D4"/>
        </w:rPr>
      </w:pPr>
      <w:r>
        <w:rPr>
          <w:rFonts w:ascii="Arial" w:cs="Arial" w:eastAsia="Arial" w:hAnsi="Arial"/>
          <w:sz w:val="14"/>
          <w:szCs w:val="14"/>
          <w:color w:val="231F20"/>
        </w:rPr>
        <w:t xml:space="preserve">In early 2021, we made a greenhouse gas emissions reduction commitment that the entire Company, </w:t>
      </w:r>
      <w:r>
        <w:rPr>
          <w:rFonts w:ascii="Arial" w:cs="Arial" w:eastAsia="Arial" w:hAnsi="Arial"/>
          <w:sz w:val="14"/>
          <w:szCs w:val="14"/>
          <w:b w:val="1"/>
          <w:bCs w:val="1"/>
          <w:color w:val="4395D4"/>
        </w:rPr>
        <w:t>by 2035, will reduce Scope 1 and 2 emissions by 60%</w:t>
      </w:r>
      <w:r>
        <w:rPr>
          <w:rFonts w:ascii="Arial" w:cs="Arial" w:eastAsia="Arial" w:hAnsi="Arial"/>
          <w:sz w:val="14"/>
          <w:szCs w:val="14"/>
          <w:color w:val="231F20"/>
        </w:rPr>
        <w:t xml:space="preserve"> </w:t>
      </w:r>
      <w:r>
        <w:rPr>
          <w:rFonts w:ascii="Arial" w:cs="Arial" w:eastAsia="Arial" w:hAnsi="Arial"/>
          <w:sz w:val="14"/>
          <w:szCs w:val="14"/>
          <w:b w:val="1"/>
          <w:bCs w:val="1"/>
          <w:color w:val="4395D4"/>
        </w:rPr>
        <w:t>from our 2019 baseline.</w:t>
      </w:r>
    </w:p>
    <w:p>
      <w:pPr>
        <w:spacing w:after="0" w:line="12" w:lineRule="exact"/>
        <w:rPr>
          <w:rFonts w:ascii="Times New Roman" w:cs="Times New Roman" w:eastAsia="Times New Roman" w:hAnsi="Times New Roman"/>
          <w:sz w:val="14"/>
          <w:szCs w:val="14"/>
          <w:color w:val="4395D4"/>
        </w:rPr>
      </w:pPr>
    </w:p>
    <w:p>
      <w:pPr>
        <w:ind w:left="180" w:right="20" w:hanging="180"/>
        <w:spacing w:after="0" w:line="254" w:lineRule="auto"/>
        <w:tabs>
          <w:tab w:leader="none" w:pos="126" w:val="left"/>
        </w:tabs>
        <w:numPr>
          <w:ilvl w:val="0"/>
          <w:numId w:val="11"/>
        </w:numPr>
        <w:rPr>
          <w:rFonts w:ascii="Times New Roman" w:cs="Times New Roman" w:eastAsia="Times New Roman" w:hAnsi="Times New Roman"/>
          <w:sz w:val="14"/>
          <w:szCs w:val="14"/>
          <w:color w:val="4395D4"/>
        </w:rPr>
      </w:pPr>
      <w:r>
        <w:rPr>
          <w:rFonts w:ascii="Arial" w:cs="Arial" w:eastAsia="Arial" w:hAnsi="Arial"/>
          <w:sz w:val="14"/>
          <w:szCs w:val="14"/>
          <w:b w:val="1"/>
          <w:bCs w:val="1"/>
          <w:color w:val="4395D4"/>
        </w:rPr>
        <w:t xml:space="preserve">Additionally, we set commitments related to supplier diversity and employee diversity. </w:t>
      </w:r>
      <w:r>
        <w:rPr>
          <w:rFonts w:ascii="Arial" w:cs="Arial" w:eastAsia="Arial" w:hAnsi="Arial"/>
          <w:sz w:val="14"/>
          <w:szCs w:val="14"/>
          <w:color w:val="231F20"/>
        </w:rPr>
        <w:t>You can read more about these ESG initiatives on our ESG microsite</w:t>
      </w:r>
      <w:r>
        <w:rPr>
          <w:rFonts w:ascii="Arial" w:cs="Arial" w:eastAsia="Arial" w:hAnsi="Arial"/>
          <w:sz w:val="14"/>
          <w:szCs w:val="14"/>
          <w:b w:val="1"/>
          <w:bCs w:val="1"/>
          <w:color w:val="4395D4"/>
        </w:rPr>
        <w:t xml:space="preserve"> </w:t>
      </w:r>
      <w:r>
        <w:rPr>
          <w:rFonts w:ascii="Arial" w:cs="Arial" w:eastAsia="Arial" w:hAnsi="Arial"/>
          <w:sz w:val="14"/>
          <w:szCs w:val="14"/>
          <w:color w:val="231F20"/>
        </w:rPr>
        <w:t>at ESG.Essential.co.</w:t>
      </w:r>
    </w:p>
    <w:p>
      <w:pPr>
        <w:spacing w:after="0" w:line="212" w:lineRule="exact"/>
        <w:rPr>
          <w:sz w:val="20"/>
          <w:szCs w:val="20"/>
          <w:color w:val="auto"/>
        </w:rPr>
      </w:pPr>
    </w:p>
    <w:p>
      <w:pPr>
        <w:sectPr>
          <w:pgSz w:w="11900" w:h="16838" w:orient="portrait"/>
          <w:cols w:equalWidth="0" w:num="2">
            <w:col w:w="5360" w:space="500"/>
            <w:col w:w="5380"/>
          </w:cols>
          <w:pgMar w:left="320" w:top="636"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spacing w:after="0"/>
        <w:tabs>
          <w:tab w:leader="none" w:pos="140" w:val="left"/>
        </w:tabs>
        <w:rPr>
          <w:sz w:val="20"/>
          <w:szCs w:val="20"/>
          <w:color w:val="auto"/>
        </w:rPr>
      </w:pPr>
      <w:r>
        <w:rPr>
          <w:rFonts w:ascii="Arial" w:cs="Arial" w:eastAsia="Arial" w:hAnsi="Arial"/>
          <w:sz w:val="14"/>
          <w:szCs w:val="14"/>
          <w:color w:val="231F20"/>
        </w:rPr>
        <w:t>*</w:t>
      </w:r>
      <w:r>
        <w:rPr>
          <w:sz w:val="20"/>
          <w:szCs w:val="20"/>
          <w:color w:val="auto"/>
        </w:rPr>
        <w:tab/>
      </w:r>
      <w:r>
        <w:rPr>
          <w:rFonts w:ascii="Arial" w:cs="Arial" w:eastAsia="Arial" w:hAnsi="Arial"/>
          <w:sz w:val="12"/>
          <w:szCs w:val="12"/>
          <w:color w:val="231F20"/>
        </w:rPr>
        <w:t>See Appendix B for a reconciliation of non-GAAP financial measures to GAAP financial measures.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123825</wp:posOffset>
            </wp:positionV>
            <wp:extent cx="713994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9940" cy="8255"/>
                    </a:xfrm>
                    <a:prstGeom prst="rect">
                      <a:avLst/>
                    </a:prstGeom>
                    <a:noFill/>
                  </pic:spPr>
                </pic:pic>
              </a:graphicData>
            </a:graphic>
          </wp:anchor>
        </w:drawing>
      </w:r>
    </w:p>
    <w:p>
      <w:pPr>
        <w:spacing w:after="0" w:line="221" w:lineRule="exact"/>
        <w:rPr>
          <w:sz w:val="20"/>
          <w:szCs w:val="20"/>
          <w:color w:val="auto"/>
        </w:rPr>
      </w:pPr>
    </w:p>
    <w:p>
      <w:pPr>
        <w:jc w:val="right"/>
        <w:spacing w:after="0"/>
        <w:tabs>
          <w:tab w:leader="none" w:pos="60" w:val="left"/>
        </w:tabs>
        <w:rPr>
          <w:sz w:val="20"/>
          <w:szCs w:val="20"/>
          <w:color w:val="auto"/>
        </w:rPr>
      </w:pPr>
      <w:r>
        <w:rPr>
          <w:rFonts w:ascii="Arial" w:cs="Arial" w:eastAsia="Arial" w:hAnsi="Arial"/>
          <w:sz w:val="12"/>
          <w:szCs w:val="12"/>
          <w:color w:val="4395D4"/>
        </w:rPr>
        <w:t xml:space="preserve">ESSENTIAL UTILITIES, INC. </w:t>
      </w:r>
      <w:r>
        <w:rPr>
          <w:rFonts w:ascii="Arial" w:cs="Arial" w:eastAsia="Arial" w:hAnsi="Arial"/>
          <w:sz w:val="12"/>
          <w:szCs w:val="12"/>
          <w:color w:val="455986"/>
        </w:rPr>
        <w:t>2021 PROXY STATEMENT</w:t>
      </w:r>
      <w:r>
        <w:rPr>
          <w:sz w:val="20"/>
          <w:szCs w:val="20"/>
          <w:color w:val="auto"/>
        </w:rPr>
        <w:tab/>
      </w:r>
      <w:r>
        <w:rPr>
          <w:rFonts w:ascii="Arial" w:cs="Arial" w:eastAsia="Arial" w:hAnsi="Arial"/>
          <w:sz w:val="14"/>
          <w:szCs w:val="14"/>
          <w:color w:val="455986"/>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346710</wp:posOffset>
            </wp:positionV>
            <wp:extent cx="7139940" cy="2413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9940" cy="24130"/>
                    </a:xfrm>
                    <a:prstGeom prst="rect">
                      <a:avLst/>
                    </a:prstGeom>
                    <a:noFill/>
                  </pic:spPr>
                </pic:pic>
              </a:graphicData>
            </a:graphic>
          </wp:anchor>
        </w:drawing>
      </w:r>
    </w:p>
    <w:p>
      <w:pPr>
        <w:sectPr>
          <w:pgSz w:w="11900" w:h="16838" w:orient="portrait"/>
          <w:cols w:equalWidth="0" w:num="1">
            <w:col w:w="11240"/>
          </w:cols>
          <w:pgMar w:left="320" w:top="636" w:right="339" w:bottom="1440" w:gutter="0" w:footer="0" w:header="0"/>
          <w:type w:val="continuous"/>
        </w:sectPr>
      </w:pPr>
    </w:p>
    <w:bookmarkStart w:id="10" w:name="page11"/>
    <w:bookmarkEnd w:id="10"/>
    <w:p>
      <w:pPr>
        <w:spacing w:after="0"/>
        <w:rPr>
          <w:sz w:val="20"/>
          <w:szCs w:val="20"/>
          <w:color w:val="auto"/>
        </w:rPr>
      </w:pPr>
      <w:r>
        <w:rPr>
          <w:rFonts w:ascii="Arial" w:cs="Arial" w:eastAsia="Arial" w:hAnsi="Arial"/>
          <w:sz w:val="14"/>
          <w:szCs w:val="14"/>
          <w:b w:val="1"/>
          <w:bCs w:val="1"/>
          <w:color w:val="455986"/>
        </w:rPr>
        <w:t>Proxy Summary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27940</wp:posOffset>
            </wp:positionV>
            <wp:extent cx="713994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9940" cy="8255"/>
                    </a:xfrm>
                    <a:prstGeom prst="rect">
                      <a:avLst/>
                    </a:prstGeom>
                    <a:noFill/>
                  </pic:spPr>
                </pic:pic>
              </a:graphicData>
            </a:graphic>
          </wp:anchor>
        </w:drawing>
      </w:r>
    </w:p>
    <w:p>
      <w:pPr>
        <w:spacing w:after="0" w:line="76" w:lineRule="exact"/>
        <w:rPr>
          <w:sz w:val="20"/>
          <w:szCs w:val="20"/>
          <w:color w:val="auto"/>
        </w:rPr>
      </w:pPr>
    </w:p>
    <w:p>
      <w:pPr>
        <w:spacing w:after="0"/>
        <w:rPr>
          <w:sz w:val="20"/>
          <w:szCs w:val="20"/>
          <w:color w:val="auto"/>
        </w:rPr>
      </w:pPr>
      <w:r>
        <w:rPr>
          <w:rFonts w:ascii="Arial" w:cs="Arial" w:eastAsia="Arial" w:hAnsi="Arial"/>
          <w:sz w:val="14"/>
          <w:szCs w:val="14"/>
          <w:color w:val="231F20"/>
        </w:rPr>
        <w:t>Compensation Highlights</w:t>
      </w:r>
    </w:p>
    <w:p>
      <w:pPr>
        <w:spacing w:after="0" w:line="161" w:lineRule="exact"/>
        <w:rPr>
          <w:sz w:val="20"/>
          <w:szCs w:val="20"/>
          <w:color w:val="auto"/>
        </w:rPr>
      </w:pPr>
    </w:p>
    <w:p>
      <w:pPr>
        <w:spacing w:after="0"/>
        <w:rPr>
          <w:sz w:val="20"/>
          <w:szCs w:val="20"/>
          <w:color w:val="auto"/>
        </w:rPr>
      </w:pPr>
      <w:r>
        <w:rPr>
          <w:rFonts w:ascii="Arial" w:cs="Arial" w:eastAsia="Arial" w:hAnsi="Arial"/>
          <w:sz w:val="20"/>
          <w:szCs w:val="20"/>
          <w:b w:val="1"/>
          <w:bCs w:val="1"/>
          <w:color w:val="231F20"/>
        </w:rPr>
        <w:t>2018–2020 Pay for Performance Alignment</w:t>
      </w:r>
    </w:p>
    <w:p>
      <w:pPr>
        <w:spacing w:after="0" w:line="191" w:lineRule="exact"/>
        <w:rPr>
          <w:sz w:val="20"/>
          <w:szCs w:val="20"/>
          <w:color w:val="auto"/>
        </w:rPr>
      </w:pPr>
    </w:p>
    <w:p>
      <w:pPr>
        <w:ind w:right="660"/>
        <w:spacing w:after="0" w:line="278" w:lineRule="auto"/>
        <w:rPr>
          <w:sz w:val="20"/>
          <w:szCs w:val="20"/>
          <w:color w:val="auto"/>
        </w:rPr>
      </w:pPr>
      <w:r>
        <w:rPr>
          <w:rFonts w:ascii="Arial" w:cs="Arial" w:eastAsia="Arial" w:hAnsi="Arial"/>
          <w:sz w:val="14"/>
          <w:szCs w:val="14"/>
          <w:color w:val="231F20"/>
        </w:rPr>
        <w:t>Our pay programs are designed to reflect the Company’s performance. The following table shows the relationship between financial performance goals and executive performance-based payouts over the past three years:</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220" w:type="dxa"/>
            <w:vAlign w:val="bottom"/>
          </w:tcPr>
          <w:p>
            <w:pPr>
              <w:spacing w:after="0"/>
              <w:rPr>
                <w:sz w:val="14"/>
                <w:szCs w:val="14"/>
                <w:color w:val="auto"/>
              </w:rPr>
            </w:pPr>
          </w:p>
        </w:tc>
        <w:tc>
          <w:tcPr>
            <w:tcW w:w="3020" w:type="dxa"/>
            <w:vAlign w:val="bottom"/>
          </w:tcPr>
          <w:p>
            <w:pPr>
              <w:jc w:val="right"/>
              <w:ind w:right="528"/>
              <w:spacing w:after="0"/>
              <w:rPr>
                <w:sz w:val="20"/>
                <w:szCs w:val="20"/>
                <w:color w:val="auto"/>
              </w:rPr>
            </w:pPr>
            <w:r>
              <w:rPr>
                <w:rFonts w:ascii="Arial" w:cs="Arial" w:eastAsia="Arial" w:hAnsi="Arial"/>
                <w:sz w:val="14"/>
                <w:szCs w:val="14"/>
                <w:color w:val="455986"/>
              </w:rPr>
              <w:t>Target EPS</w:t>
            </w:r>
          </w:p>
        </w:tc>
        <w:tc>
          <w:tcPr>
            <w:tcW w:w="2460" w:type="dxa"/>
            <w:vAlign w:val="bottom"/>
          </w:tcPr>
          <w:p>
            <w:pPr>
              <w:jc w:val="right"/>
              <w:ind w:right="268"/>
              <w:spacing w:after="0"/>
              <w:rPr>
                <w:sz w:val="20"/>
                <w:szCs w:val="20"/>
                <w:color w:val="auto"/>
              </w:rPr>
            </w:pPr>
            <w:r>
              <w:rPr>
                <w:rFonts w:ascii="Arial" w:cs="Arial" w:eastAsia="Arial" w:hAnsi="Arial"/>
                <w:sz w:val="14"/>
                <w:szCs w:val="14"/>
                <w:color w:val="455986"/>
              </w:rPr>
              <w:t>EPS</w:t>
            </w:r>
          </w:p>
        </w:tc>
        <w:tc>
          <w:tcPr>
            <w:tcW w:w="1420" w:type="dxa"/>
            <w:vAlign w:val="bottom"/>
            <w:vMerge w:val="restart"/>
          </w:tcPr>
          <w:p>
            <w:pPr>
              <w:jc w:val="right"/>
              <w:ind w:right="108"/>
              <w:spacing w:after="0"/>
              <w:rPr>
                <w:sz w:val="20"/>
                <w:szCs w:val="20"/>
                <w:color w:val="auto"/>
              </w:rPr>
            </w:pPr>
            <w:r>
              <w:rPr>
                <w:rFonts w:ascii="Arial" w:cs="Arial" w:eastAsia="Arial" w:hAnsi="Arial"/>
                <w:sz w:val="14"/>
                <w:szCs w:val="14"/>
                <w:color w:val="455986"/>
              </w:rPr>
              <w:t>STI Payout %</w:t>
            </w:r>
          </w:p>
        </w:tc>
        <w:tc>
          <w:tcPr>
            <w:tcW w:w="1780" w:type="dxa"/>
            <w:vAlign w:val="bottom"/>
            <w:vMerge w:val="restart"/>
          </w:tcPr>
          <w:p>
            <w:pPr>
              <w:jc w:val="right"/>
              <w:ind w:right="328"/>
              <w:spacing w:after="0"/>
              <w:rPr>
                <w:sz w:val="20"/>
                <w:szCs w:val="20"/>
                <w:color w:val="auto"/>
              </w:rPr>
            </w:pPr>
            <w:r>
              <w:rPr>
                <w:rFonts w:ascii="Arial" w:cs="Arial" w:eastAsia="Arial" w:hAnsi="Arial"/>
                <w:sz w:val="14"/>
                <w:szCs w:val="14"/>
                <w:color w:val="455986"/>
              </w:rPr>
              <w:t>3 Year TSR Return</w:t>
            </w:r>
          </w:p>
        </w:tc>
        <w:tc>
          <w:tcPr>
            <w:tcW w:w="1340" w:type="dxa"/>
            <w:vAlign w:val="bottom"/>
            <w:vMerge w:val="restart"/>
          </w:tcPr>
          <w:p>
            <w:pPr>
              <w:jc w:val="right"/>
              <w:spacing w:after="0"/>
              <w:rPr>
                <w:sz w:val="20"/>
                <w:szCs w:val="20"/>
                <w:color w:val="auto"/>
              </w:rPr>
            </w:pPr>
            <w:r>
              <w:rPr>
                <w:rFonts w:ascii="Arial" w:cs="Arial" w:eastAsia="Arial" w:hAnsi="Arial"/>
                <w:sz w:val="14"/>
                <w:szCs w:val="14"/>
                <w:color w:val="455986"/>
              </w:rPr>
              <w:t>PSU Payout %</w:t>
            </w:r>
          </w:p>
        </w:tc>
        <w:tc>
          <w:tcPr>
            <w:tcW w:w="0" w:type="dxa"/>
            <w:vAlign w:val="bottom"/>
          </w:tcPr>
          <w:p>
            <w:pPr>
              <w:spacing w:after="0"/>
              <w:rPr>
                <w:sz w:val="1"/>
                <w:szCs w:val="1"/>
                <w:color w:val="auto"/>
              </w:rPr>
            </w:pPr>
          </w:p>
        </w:tc>
      </w:tr>
      <w:tr>
        <w:trPr>
          <w:trHeight w:val="197"/>
        </w:trPr>
        <w:tc>
          <w:tcPr>
            <w:tcW w:w="1220" w:type="dxa"/>
            <w:vAlign w:val="bottom"/>
            <w:tcBorders>
              <w:bottom w:val="single" w:sz="8" w:color="4395D4"/>
            </w:tcBorders>
          </w:tcPr>
          <w:p>
            <w:pPr>
              <w:spacing w:after="0"/>
              <w:rPr>
                <w:sz w:val="17"/>
                <w:szCs w:val="17"/>
                <w:color w:val="auto"/>
              </w:rPr>
            </w:pPr>
          </w:p>
        </w:tc>
        <w:tc>
          <w:tcPr>
            <w:tcW w:w="3020" w:type="dxa"/>
            <w:vAlign w:val="bottom"/>
            <w:tcBorders>
              <w:bottom w:val="single" w:sz="8" w:color="4395D4"/>
            </w:tcBorders>
          </w:tcPr>
          <w:p>
            <w:pPr>
              <w:jc w:val="right"/>
              <w:ind w:right="488"/>
              <w:spacing w:after="0"/>
              <w:rPr>
                <w:sz w:val="20"/>
                <w:szCs w:val="20"/>
                <w:color w:val="auto"/>
              </w:rPr>
            </w:pPr>
            <w:r>
              <w:rPr>
                <w:rFonts w:ascii="Arial" w:cs="Arial" w:eastAsia="Arial" w:hAnsi="Arial"/>
                <w:sz w:val="14"/>
                <w:szCs w:val="14"/>
                <w:color w:val="455986"/>
              </w:rPr>
              <w:t>(adjusted for comp plan)</w:t>
            </w:r>
          </w:p>
        </w:tc>
        <w:tc>
          <w:tcPr>
            <w:tcW w:w="2460" w:type="dxa"/>
            <w:vAlign w:val="bottom"/>
            <w:tcBorders>
              <w:bottom w:val="single" w:sz="8" w:color="4395D4"/>
            </w:tcBorders>
          </w:tcPr>
          <w:p>
            <w:pPr>
              <w:jc w:val="right"/>
              <w:ind w:right="268"/>
              <w:spacing w:after="0"/>
              <w:rPr>
                <w:sz w:val="20"/>
                <w:szCs w:val="20"/>
                <w:color w:val="auto"/>
              </w:rPr>
            </w:pPr>
            <w:r>
              <w:rPr>
                <w:rFonts w:ascii="Arial" w:cs="Arial" w:eastAsia="Arial" w:hAnsi="Arial"/>
                <w:sz w:val="14"/>
                <w:szCs w:val="14"/>
                <w:color w:val="455986"/>
              </w:rPr>
              <w:t>(adjusted for comp plan)</w:t>
            </w:r>
          </w:p>
        </w:tc>
        <w:tc>
          <w:tcPr>
            <w:tcW w:w="1420" w:type="dxa"/>
            <w:vAlign w:val="bottom"/>
            <w:tcBorders>
              <w:bottom w:val="single" w:sz="8" w:color="4395D4"/>
            </w:tcBorders>
            <w:vMerge w:val="continue"/>
          </w:tcPr>
          <w:p>
            <w:pPr>
              <w:spacing w:after="0"/>
              <w:rPr>
                <w:sz w:val="17"/>
                <w:szCs w:val="17"/>
                <w:color w:val="auto"/>
              </w:rPr>
            </w:pPr>
          </w:p>
        </w:tc>
        <w:tc>
          <w:tcPr>
            <w:tcW w:w="1780" w:type="dxa"/>
            <w:vAlign w:val="bottom"/>
            <w:tcBorders>
              <w:bottom w:val="single" w:sz="8" w:color="4395D4"/>
            </w:tcBorders>
            <w:vMerge w:val="continue"/>
          </w:tcPr>
          <w:p>
            <w:pPr>
              <w:spacing w:after="0"/>
              <w:rPr>
                <w:sz w:val="17"/>
                <w:szCs w:val="17"/>
                <w:color w:val="auto"/>
              </w:rPr>
            </w:pPr>
          </w:p>
        </w:tc>
        <w:tc>
          <w:tcPr>
            <w:tcW w:w="1340" w:type="dxa"/>
            <w:vAlign w:val="bottom"/>
            <w:tcBorders>
              <w:bottom w:val="single" w:sz="8" w:color="4395D4"/>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1220" w:type="dxa"/>
            <w:vAlign w:val="bottom"/>
          </w:tcPr>
          <w:p>
            <w:pPr>
              <w:jc w:val="right"/>
              <w:ind w:right="828"/>
              <w:spacing w:after="0"/>
              <w:rPr>
                <w:sz w:val="20"/>
                <w:szCs w:val="20"/>
                <w:color w:val="auto"/>
              </w:rPr>
            </w:pPr>
            <w:r>
              <w:rPr>
                <w:rFonts w:ascii="Arial" w:cs="Arial" w:eastAsia="Arial" w:hAnsi="Arial"/>
                <w:sz w:val="14"/>
                <w:szCs w:val="14"/>
                <w:b w:val="1"/>
                <w:bCs w:val="1"/>
                <w:color w:val="455986"/>
                <w:w w:val="96"/>
              </w:rPr>
              <w:t>2018</w:t>
            </w:r>
          </w:p>
        </w:tc>
        <w:tc>
          <w:tcPr>
            <w:tcW w:w="3020" w:type="dxa"/>
            <w:vAlign w:val="bottom"/>
          </w:tcPr>
          <w:p>
            <w:pPr>
              <w:jc w:val="right"/>
              <w:ind w:right="488"/>
              <w:spacing w:after="0"/>
              <w:rPr>
                <w:sz w:val="20"/>
                <w:szCs w:val="20"/>
                <w:color w:val="auto"/>
              </w:rPr>
            </w:pPr>
            <w:r>
              <w:rPr>
                <w:rFonts w:ascii="Arial" w:cs="Arial" w:eastAsia="Arial" w:hAnsi="Arial"/>
                <w:sz w:val="14"/>
                <w:szCs w:val="14"/>
                <w:color w:val="231F20"/>
              </w:rPr>
              <w:t>$1.39</w:t>
            </w:r>
          </w:p>
        </w:tc>
        <w:tc>
          <w:tcPr>
            <w:tcW w:w="2460" w:type="dxa"/>
            <w:vAlign w:val="bottom"/>
          </w:tcPr>
          <w:p>
            <w:pPr>
              <w:jc w:val="right"/>
              <w:ind w:right="268"/>
              <w:spacing w:after="0"/>
              <w:rPr>
                <w:sz w:val="20"/>
                <w:szCs w:val="20"/>
                <w:color w:val="auto"/>
              </w:rPr>
            </w:pPr>
            <w:r>
              <w:rPr>
                <w:rFonts w:ascii="Arial" w:cs="Arial" w:eastAsia="Arial" w:hAnsi="Arial"/>
                <w:sz w:val="14"/>
                <w:szCs w:val="14"/>
                <w:color w:val="231F20"/>
              </w:rPr>
              <w:t>Achieved</w:t>
            </w:r>
          </w:p>
        </w:tc>
        <w:tc>
          <w:tcPr>
            <w:tcW w:w="1420" w:type="dxa"/>
            <w:vAlign w:val="bottom"/>
          </w:tcPr>
          <w:p>
            <w:pPr>
              <w:jc w:val="right"/>
              <w:ind w:right="108"/>
              <w:spacing w:after="0"/>
              <w:rPr>
                <w:sz w:val="20"/>
                <w:szCs w:val="20"/>
                <w:color w:val="auto"/>
              </w:rPr>
            </w:pPr>
            <w:r>
              <w:rPr>
                <w:rFonts w:ascii="Arial" w:cs="Arial" w:eastAsia="Arial" w:hAnsi="Arial"/>
                <w:sz w:val="14"/>
                <w:szCs w:val="14"/>
                <w:color w:val="231F20"/>
              </w:rPr>
              <w:t>136.34%</w:t>
            </w:r>
          </w:p>
        </w:tc>
        <w:tc>
          <w:tcPr>
            <w:tcW w:w="1780" w:type="dxa"/>
            <w:vAlign w:val="bottom"/>
          </w:tcPr>
          <w:p>
            <w:pPr>
              <w:jc w:val="right"/>
              <w:ind w:right="328"/>
              <w:spacing w:after="0"/>
              <w:rPr>
                <w:sz w:val="20"/>
                <w:szCs w:val="20"/>
                <w:color w:val="auto"/>
              </w:rPr>
            </w:pPr>
            <w:r>
              <w:rPr>
                <w:rFonts w:ascii="Arial" w:cs="Arial" w:eastAsia="Arial" w:hAnsi="Arial"/>
                <w:sz w:val="14"/>
                <w:szCs w:val="14"/>
                <w:color w:val="auto"/>
              </w:rPr>
              <w:t>23.32%</w:t>
            </w:r>
          </w:p>
        </w:tc>
        <w:tc>
          <w:tcPr>
            <w:tcW w:w="1340" w:type="dxa"/>
            <w:vAlign w:val="bottom"/>
          </w:tcPr>
          <w:p>
            <w:pPr>
              <w:jc w:val="right"/>
              <w:spacing w:after="0"/>
              <w:rPr>
                <w:sz w:val="20"/>
                <w:szCs w:val="20"/>
                <w:color w:val="auto"/>
              </w:rPr>
            </w:pPr>
            <w:r>
              <w:rPr>
                <w:rFonts w:ascii="Arial" w:cs="Arial" w:eastAsia="Arial" w:hAnsi="Arial"/>
                <w:sz w:val="14"/>
                <w:szCs w:val="14"/>
                <w:color w:val="231F20"/>
              </w:rPr>
              <w:t>70.68%</w:t>
            </w:r>
          </w:p>
        </w:tc>
        <w:tc>
          <w:tcPr>
            <w:tcW w:w="0" w:type="dxa"/>
            <w:vAlign w:val="bottom"/>
          </w:tcPr>
          <w:p>
            <w:pPr>
              <w:spacing w:after="0"/>
              <w:rPr>
                <w:sz w:val="1"/>
                <w:szCs w:val="1"/>
                <w:color w:val="auto"/>
              </w:rPr>
            </w:pPr>
          </w:p>
        </w:tc>
      </w:tr>
      <w:tr>
        <w:trPr>
          <w:trHeight w:val="23"/>
        </w:trPr>
        <w:tc>
          <w:tcPr>
            <w:tcW w:w="1220" w:type="dxa"/>
            <w:vAlign w:val="bottom"/>
            <w:tcBorders>
              <w:bottom w:val="single" w:sz="8" w:color="231F20"/>
            </w:tcBorders>
          </w:tcPr>
          <w:p>
            <w:pPr>
              <w:spacing w:after="0" w:line="20" w:lineRule="exact"/>
              <w:rPr>
                <w:sz w:val="1"/>
                <w:szCs w:val="1"/>
                <w:color w:val="auto"/>
              </w:rPr>
            </w:pPr>
          </w:p>
        </w:tc>
        <w:tc>
          <w:tcPr>
            <w:tcW w:w="3020" w:type="dxa"/>
            <w:vAlign w:val="bottom"/>
            <w:tcBorders>
              <w:bottom w:val="single" w:sz="8" w:color="231F20"/>
            </w:tcBorders>
          </w:tcPr>
          <w:p>
            <w:pPr>
              <w:spacing w:after="0" w:line="20" w:lineRule="exact"/>
              <w:rPr>
                <w:sz w:val="1"/>
                <w:szCs w:val="1"/>
                <w:color w:val="auto"/>
              </w:rPr>
            </w:pPr>
          </w:p>
        </w:tc>
        <w:tc>
          <w:tcPr>
            <w:tcW w:w="2460" w:type="dxa"/>
            <w:vAlign w:val="bottom"/>
            <w:tcBorders>
              <w:bottom w:val="single" w:sz="8" w:color="231F20"/>
            </w:tcBorders>
          </w:tcPr>
          <w:p>
            <w:pPr>
              <w:spacing w:after="0" w:line="20" w:lineRule="exact"/>
              <w:rPr>
                <w:sz w:val="1"/>
                <w:szCs w:val="1"/>
                <w:color w:val="auto"/>
              </w:rPr>
            </w:pPr>
          </w:p>
        </w:tc>
        <w:tc>
          <w:tcPr>
            <w:tcW w:w="1420" w:type="dxa"/>
            <w:vAlign w:val="bottom"/>
            <w:tcBorders>
              <w:bottom w:val="single" w:sz="8" w:color="231F20"/>
            </w:tcBorders>
          </w:tcPr>
          <w:p>
            <w:pPr>
              <w:spacing w:after="0" w:line="20" w:lineRule="exact"/>
              <w:rPr>
                <w:sz w:val="1"/>
                <w:szCs w:val="1"/>
                <w:color w:val="auto"/>
              </w:rPr>
            </w:pPr>
          </w:p>
        </w:tc>
        <w:tc>
          <w:tcPr>
            <w:tcW w:w="1780" w:type="dxa"/>
            <w:vAlign w:val="bottom"/>
            <w:tcBorders>
              <w:bottom w:val="single" w:sz="8" w:color="231F20"/>
            </w:tcBorders>
          </w:tcPr>
          <w:p>
            <w:pPr>
              <w:spacing w:after="0" w:line="20" w:lineRule="exact"/>
              <w:rPr>
                <w:sz w:val="1"/>
                <w:szCs w:val="1"/>
                <w:color w:val="auto"/>
              </w:rPr>
            </w:pPr>
          </w:p>
        </w:tc>
        <w:tc>
          <w:tcPr>
            <w:tcW w:w="1340" w:type="dxa"/>
            <w:vAlign w:val="bottom"/>
            <w:tcBorders>
              <w:bottom w:val="single" w:sz="8" w:color="231F20"/>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5"/>
        </w:trPr>
        <w:tc>
          <w:tcPr>
            <w:tcW w:w="1220" w:type="dxa"/>
            <w:vAlign w:val="bottom"/>
          </w:tcPr>
          <w:p>
            <w:pPr>
              <w:jc w:val="right"/>
              <w:ind w:right="828"/>
              <w:spacing w:after="0"/>
              <w:rPr>
                <w:sz w:val="20"/>
                <w:szCs w:val="20"/>
                <w:color w:val="auto"/>
              </w:rPr>
            </w:pPr>
            <w:r>
              <w:rPr>
                <w:rFonts w:ascii="Arial" w:cs="Arial" w:eastAsia="Arial" w:hAnsi="Arial"/>
                <w:sz w:val="14"/>
                <w:szCs w:val="14"/>
                <w:b w:val="1"/>
                <w:bCs w:val="1"/>
                <w:color w:val="455986"/>
                <w:w w:val="96"/>
              </w:rPr>
              <w:t>2019</w:t>
            </w:r>
          </w:p>
        </w:tc>
        <w:tc>
          <w:tcPr>
            <w:tcW w:w="3020" w:type="dxa"/>
            <w:vAlign w:val="bottom"/>
          </w:tcPr>
          <w:p>
            <w:pPr>
              <w:jc w:val="right"/>
              <w:ind w:right="488"/>
              <w:spacing w:after="0"/>
              <w:rPr>
                <w:sz w:val="20"/>
                <w:szCs w:val="20"/>
                <w:color w:val="auto"/>
              </w:rPr>
            </w:pPr>
            <w:r>
              <w:rPr>
                <w:rFonts w:ascii="Arial" w:cs="Arial" w:eastAsia="Arial" w:hAnsi="Arial"/>
                <w:sz w:val="14"/>
                <w:szCs w:val="14"/>
                <w:color w:val="231F20"/>
              </w:rPr>
              <w:t>$1.47</w:t>
            </w:r>
          </w:p>
        </w:tc>
        <w:tc>
          <w:tcPr>
            <w:tcW w:w="2460" w:type="dxa"/>
            <w:vAlign w:val="bottom"/>
          </w:tcPr>
          <w:p>
            <w:pPr>
              <w:jc w:val="right"/>
              <w:ind w:right="268"/>
              <w:spacing w:after="0"/>
              <w:rPr>
                <w:sz w:val="20"/>
                <w:szCs w:val="20"/>
                <w:color w:val="auto"/>
              </w:rPr>
            </w:pPr>
            <w:r>
              <w:rPr>
                <w:rFonts w:ascii="Arial" w:cs="Arial" w:eastAsia="Arial" w:hAnsi="Arial"/>
                <w:sz w:val="14"/>
                <w:szCs w:val="14"/>
                <w:color w:val="231F20"/>
              </w:rPr>
              <w:t>Achieved</w:t>
            </w:r>
          </w:p>
        </w:tc>
        <w:tc>
          <w:tcPr>
            <w:tcW w:w="1420" w:type="dxa"/>
            <w:vAlign w:val="bottom"/>
          </w:tcPr>
          <w:p>
            <w:pPr>
              <w:jc w:val="right"/>
              <w:ind w:right="108"/>
              <w:spacing w:after="0"/>
              <w:rPr>
                <w:sz w:val="20"/>
                <w:szCs w:val="20"/>
                <w:color w:val="auto"/>
              </w:rPr>
            </w:pPr>
            <w:r>
              <w:rPr>
                <w:rFonts w:ascii="Arial" w:cs="Arial" w:eastAsia="Arial" w:hAnsi="Arial"/>
                <w:sz w:val="14"/>
                <w:szCs w:val="14"/>
                <w:color w:val="231F20"/>
              </w:rPr>
              <w:t>126.45%</w:t>
            </w:r>
          </w:p>
        </w:tc>
        <w:tc>
          <w:tcPr>
            <w:tcW w:w="1780" w:type="dxa"/>
            <w:vAlign w:val="bottom"/>
          </w:tcPr>
          <w:p>
            <w:pPr>
              <w:jc w:val="right"/>
              <w:ind w:right="328"/>
              <w:spacing w:after="0"/>
              <w:rPr>
                <w:sz w:val="20"/>
                <w:szCs w:val="20"/>
                <w:color w:val="auto"/>
              </w:rPr>
            </w:pPr>
            <w:r>
              <w:rPr>
                <w:rFonts w:ascii="Arial" w:cs="Arial" w:eastAsia="Arial" w:hAnsi="Arial"/>
                <w:sz w:val="14"/>
                <w:szCs w:val="14"/>
                <w:color w:val="231F20"/>
              </w:rPr>
              <w:t>67.75%</w:t>
            </w:r>
          </w:p>
        </w:tc>
        <w:tc>
          <w:tcPr>
            <w:tcW w:w="1340" w:type="dxa"/>
            <w:vAlign w:val="bottom"/>
          </w:tcPr>
          <w:p>
            <w:pPr>
              <w:jc w:val="right"/>
              <w:spacing w:after="0"/>
              <w:rPr>
                <w:sz w:val="20"/>
                <w:szCs w:val="20"/>
                <w:color w:val="auto"/>
              </w:rPr>
            </w:pPr>
            <w:r>
              <w:rPr>
                <w:rFonts w:ascii="Arial" w:cs="Arial" w:eastAsia="Arial" w:hAnsi="Arial"/>
                <w:sz w:val="14"/>
                <w:szCs w:val="14"/>
                <w:color w:val="231F20"/>
              </w:rPr>
              <w:t>159.91%</w:t>
            </w:r>
          </w:p>
        </w:tc>
        <w:tc>
          <w:tcPr>
            <w:tcW w:w="0" w:type="dxa"/>
            <w:vAlign w:val="bottom"/>
          </w:tcPr>
          <w:p>
            <w:pPr>
              <w:spacing w:after="0"/>
              <w:rPr>
                <w:sz w:val="1"/>
                <w:szCs w:val="1"/>
                <w:color w:val="auto"/>
              </w:rPr>
            </w:pPr>
          </w:p>
        </w:tc>
      </w:tr>
      <w:tr>
        <w:trPr>
          <w:trHeight w:val="23"/>
        </w:trPr>
        <w:tc>
          <w:tcPr>
            <w:tcW w:w="1220" w:type="dxa"/>
            <w:vAlign w:val="bottom"/>
            <w:tcBorders>
              <w:bottom w:val="single" w:sz="8" w:color="231F20"/>
            </w:tcBorders>
          </w:tcPr>
          <w:p>
            <w:pPr>
              <w:spacing w:after="0" w:line="20" w:lineRule="exact"/>
              <w:rPr>
                <w:sz w:val="1"/>
                <w:szCs w:val="1"/>
                <w:color w:val="auto"/>
              </w:rPr>
            </w:pPr>
          </w:p>
        </w:tc>
        <w:tc>
          <w:tcPr>
            <w:tcW w:w="3020" w:type="dxa"/>
            <w:vAlign w:val="bottom"/>
            <w:tcBorders>
              <w:bottom w:val="single" w:sz="8" w:color="231F20"/>
            </w:tcBorders>
          </w:tcPr>
          <w:p>
            <w:pPr>
              <w:spacing w:after="0" w:line="20" w:lineRule="exact"/>
              <w:rPr>
                <w:sz w:val="1"/>
                <w:szCs w:val="1"/>
                <w:color w:val="auto"/>
              </w:rPr>
            </w:pPr>
          </w:p>
        </w:tc>
        <w:tc>
          <w:tcPr>
            <w:tcW w:w="2460" w:type="dxa"/>
            <w:vAlign w:val="bottom"/>
            <w:tcBorders>
              <w:bottom w:val="single" w:sz="8" w:color="231F20"/>
            </w:tcBorders>
          </w:tcPr>
          <w:p>
            <w:pPr>
              <w:spacing w:after="0" w:line="20" w:lineRule="exact"/>
              <w:rPr>
                <w:sz w:val="1"/>
                <w:szCs w:val="1"/>
                <w:color w:val="auto"/>
              </w:rPr>
            </w:pPr>
          </w:p>
        </w:tc>
        <w:tc>
          <w:tcPr>
            <w:tcW w:w="1420" w:type="dxa"/>
            <w:vAlign w:val="bottom"/>
            <w:tcBorders>
              <w:bottom w:val="single" w:sz="8" w:color="231F20"/>
            </w:tcBorders>
          </w:tcPr>
          <w:p>
            <w:pPr>
              <w:spacing w:after="0" w:line="20" w:lineRule="exact"/>
              <w:rPr>
                <w:sz w:val="1"/>
                <w:szCs w:val="1"/>
                <w:color w:val="auto"/>
              </w:rPr>
            </w:pPr>
          </w:p>
        </w:tc>
        <w:tc>
          <w:tcPr>
            <w:tcW w:w="1780" w:type="dxa"/>
            <w:vAlign w:val="bottom"/>
            <w:tcBorders>
              <w:bottom w:val="single" w:sz="8" w:color="231F20"/>
            </w:tcBorders>
          </w:tcPr>
          <w:p>
            <w:pPr>
              <w:spacing w:after="0" w:line="20" w:lineRule="exact"/>
              <w:rPr>
                <w:sz w:val="1"/>
                <w:szCs w:val="1"/>
                <w:color w:val="auto"/>
              </w:rPr>
            </w:pPr>
          </w:p>
        </w:tc>
        <w:tc>
          <w:tcPr>
            <w:tcW w:w="1340" w:type="dxa"/>
            <w:vAlign w:val="bottom"/>
            <w:tcBorders>
              <w:bottom w:val="single" w:sz="8" w:color="231F20"/>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5"/>
        </w:trPr>
        <w:tc>
          <w:tcPr>
            <w:tcW w:w="1220" w:type="dxa"/>
            <w:vAlign w:val="bottom"/>
          </w:tcPr>
          <w:p>
            <w:pPr>
              <w:jc w:val="right"/>
              <w:ind w:right="828"/>
              <w:spacing w:after="0"/>
              <w:rPr>
                <w:sz w:val="20"/>
                <w:szCs w:val="20"/>
                <w:color w:val="auto"/>
              </w:rPr>
            </w:pPr>
            <w:r>
              <w:rPr>
                <w:rFonts w:ascii="Arial" w:cs="Arial" w:eastAsia="Arial" w:hAnsi="Arial"/>
                <w:sz w:val="14"/>
                <w:szCs w:val="14"/>
                <w:b w:val="1"/>
                <w:bCs w:val="1"/>
                <w:color w:val="455986"/>
                <w:w w:val="96"/>
              </w:rPr>
              <w:t>2020</w:t>
            </w:r>
          </w:p>
        </w:tc>
        <w:tc>
          <w:tcPr>
            <w:tcW w:w="3020" w:type="dxa"/>
            <w:vAlign w:val="bottom"/>
          </w:tcPr>
          <w:p>
            <w:pPr>
              <w:jc w:val="right"/>
              <w:ind w:right="488"/>
              <w:spacing w:after="0"/>
              <w:rPr>
                <w:sz w:val="20"/>
                <w:szCs w:val="20"/>
                <w:color w:val="auto"/>
              </w:rPr>
            </w:pPr>
            <w:r>
              <w:rPr>
                <w:rFonts w:ascii="Arial" w:cs="Arial" w:eastAsia="Arial" w:hAnsi="Arial"/>
                <w:sz w:val="14"/>
                <w:szCs w:val="14"/>
                <w:color w:val="231F20"/>
              </w:rPr>
              <w:t>$1.55</w:t>
            </w:r>
          </w:p>
        </w:tc>
        <w:tc>
          <w:tcPr>
            <w:tcW w:w="2460" w:type="dxa"/>
            <w:vAlign w:val="bottom"/>
          </w:tcPr>
          <w:p>
            <w:pPr>
              <w:jc w:val="right"/>
              <w:ind w:right="268"/>
              <w:spacing w:after="0"/>
              <w:rPr>
                <w:sz w:val="20"/>
                <w:szCs w:val="20"/>
                <w:color w:val="auto"/>
              </w:rPr>
            </w:pPr>
            <w:r>
              <w:rPr>
                <w:rFonts w:ascii="Arial" w:cs="Arial" w:eastAsia="Arial" w:hAnsi="Arial"/>
                <w:sz w:val="14"/>
                <w:szCs w:val="14"/>
                <w:color w:val="231F20"/>
              </w:rPr>
              <w:t>Achieved</w:t>
            </w:r>
          </w:p>
        </w:tc>
        <w:tc>
          <w:tcPr>
            <w:tcW w:w="1420" w:type="dxa"/>
            <w:vAlign w:val="bottom"/>
          </w:tcPr>
          <w:p>
            <w:pPr>
              <w:jc w:val="right"/>
              <w:ind w:right="108"/>
              <w:spacing w:after="0"/>
              <w:rPr>
                <w:sz w:val="20"/>
                <w:szCs w:val="20"/>
                <w:color w:val="auto"/>
              </w:rPr>
            </w:pPr>
            <w:r>
              <w:rPr>
                <w:rFonts w:ascii="Arial" w:cs="Arial" w:eastAsia="Arial" w:hAnsi="Arial"/>
                <w:sz w:val="14"/>
                <w:szCs w:val="14"/>
                <w:color w:val="231F20"/>
              </w:rPr>
              <w:t>137.10%</w:t>
            </w:r>
          </w:p>
        </w:tc>
        <w:tc>
          <w:tcPr>
            <w:tcW w:w="1780" w:type="dxa"/>
            <w:vAlign w:val="bottom"/>
          </w:tcPr>
          <w:p>
            <w:pPr>
              <w:jc w:val="right"/>
              <w:ind w:right="328"/>
              <w:spacing w:after="0"/>
              <w:rPr>
                <w:sz w:val="20"/>
                <w:szCs w:val="20"/>
                <w:color w:val="auto"/>
              </w:rPr>
            </w:pPr>
            <w:r>
              <w:rPr>
                <w:rFonts w:ascii="Arial" w:cs="Arial" w:eastAsia="Arial" w:hAnsi="Arial"/>
                <w:sz w:val="14"/>
                <w:szCs w:val="14"/>
                <w:color w:val="231F20"/>
              </w:rPr>
              <w:t>29.08%</w:t>
            </w:r>
          </w:p>
        </w:tc>
        <w:tc>
          <w:tcPr>
            <w:tcW w:w="1340" w:type="dxa"/>
            <w:vAlign w:val="bottom"/>
          </w:tcPr>
          <w:p>
            <w:pPr>
              <w:jc w:val="right"/>
              <w:spacing w:after="0"/>
              <w:rPr>
                <w:sz w:val="20"/>
                <w:szCs w:val="20"/>
                <w:color w:val="auto"/>
              </w:rPr>
            </w:pPr>
            <w:r>
              <w:rPr>
                <w:rFonts w:ascii="Arial" w:cs="Arial" w:eastAsia="Arial" w:hAnsi="Arial"/>
                <w:sz w:val="14"/>
                <w:szCs w:val="14"/>
                <w:color w:val="231F20"/>
              </w:rPr>
              <w:t>175.00%</w:t>
            </w:r>
          </w:p>
        </w:tc>
        <w:tc>
          <w:tcPr>
            <w:tcW w:w="0" w:type="dxa"/>
            <w:vAlign w:val="bottom"/>
          </w:tcPr>
          <w:p>
            <w:pPr>
              <w:spacing w:after="0"/>
              <w:rPr>
                <w:sz w:val="1"/>
                <w:szCs w:val="1"/>
                <w:color w:val="auto"/>
              </w:rPr>
            </w:pPr>
          </w:p>
        </w:tc>
      </w:tr>
      <w:tr>
        <w:trPr>
          <w:trHeight w:val="23"/>
        </w:trPr>
        <w:tc>
          <w:tcPr>
            <w:tcW w:w="1220" w:type="dxa"/>
            <w:vAlign w:val="bottom"/>
            <w:tcBorders>
              <w:bottom w:val="single" w:sz="8" w:color="455986"/>
            </w:tcBorders>
          </w:tcPr>
          <w:p>
            <w:pPr>
              <w:spacing w:after="0" w:line="20" w:lineRule="exact"/>
              <w:rPr>
                <w:sz w:val="1"/>
                <w:szCs w:val="1"/>
                <w:color w:val="auto"/>
              </w:rPr>
            </w:pPr>
          </w:p>
        </w:tc>
        <w:tc>
          <w:tcPr>
            <w:tcW w:w="3020" w:type="dxa"/>
            <w:vAlign w:val="bottom"/>
            <w:tcBorders>
              <w:bottom w:val="single" w:sz="8" w:color="455986"/>
            </w:tcBorders>
          </w:tcPr>
          <w:p>
            <w:pPr>
              <w:spacing w:after="0" w:line="20" w:lineRule="exact"/>
              <w:rPr>
                <w:sz w:val="1"/>
                <w:szCs w:val="1"/>
                <w:color w:val="auto"/>
              </w:rPr>
            </w:pPr>
          </w:p>
        </w:tc>
        <w:tc>
          <w:tcPr>
            <w:tcW w:w="2460" w:type="dxa"/>
            <w:vAlign w:val="bottom"/>
            <w:tcBorders>
              <w:bottom w:val="single" w:sz="8" w:color="455986"/>
            </w:tcBorders>
          </w:tcPr>
          <w:p>
            <w:pPr>
              <w:spacing w:after="0" w:line="20" w:lineRule="exact"/>
              <w:rPr>
                <w:sz w:val="1"/>
                <w:szCs w:val="1"/>
                <w:color w:val="auto"/>
              </w:rPr>
            </w:pPr>
          </w:p>
        </w:tc>
        <w:tc>
          <w:tcPr>
            <w:tcW w:w="1420" w:type="dxa"/>
            <w:vAlign w:val="bottom"/>
            <w:tcBorders>
              <w:bottom w:val="single" w:sz="8" w:color="455986"/>
            </w:tcBorders>
          </w:tcPr>
          <w:p>
            <w:pPr>
              <w:spacing w:after="0" w:line="20" w:lineRule="exact"/>
              <w:rPr>
                <w:sz w:val="1"/>
                <w:szCs w:val="1"/>
                <w:color w:val="auto"/>
              </w:rPr>
            </w:pPr>
          </w:p>
        </w:tc>
        <w:tc>
          <w:tcPr>
            <w:tcW w:w="1780" w:type="dxa"/>
            <w:vAlign w:val="bottom"/>
            <w:tcBorders>
              <w:bottom w:val="single" w:sz="8" w:color="455986"/>
            </w:tcBorders>
          </w:tcPr>
          <w:p>
            <w:pPr>
              <w:spacing w:after="0" w:line="20" w:lineRule="exact"/>
              <w:rPr>
                <w:sz w:val="1"/>
                <w:szCs w:val="1"/>
                <w:color w:val="auto"/>
              </w:rPr>
            </w:pPr>
          </w:p>
        </w:tc>
        <w:tc>
          <w:tcPr>
            <w:tcW w:w="1340" w:type="dxa"/>
            <w:vAlign w:val="bottom"/>
            <w:tcBorders>
              <w:bottom w:val="single" w:sz="8" w:color="455986"/>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57" w:lineRule="exact"/>
        <w:rPr>
          <w:sz w:val="20"/>
          <w:szCs w:val="20"/>
          <w:color w:val="auto"/>
        </w:rPr>
      </w:pPr>
    </w:p>
    <w:p>
      <w:pPr>
        <w:spacing w:after="0"/>
        <w:rPr>
          <w:sz w:val="20"/>
          <w:szCs w:val="20"/>
          <w:color w:val="auto"/>
        </w:rPr>
      </w:pPr>
      <w:r>
        <w:rPr>
          <w:rFonts w:ascii="Arial" w:cs="Arial" w:eastAsia="Arial" w:hAnsi="Arial"/>
          <w:sz w:val="20"/>
          <w:szCs w:val="20"/>
          <w:b w:val="1"/>
          <w:bCs w:val="1"/>
          <w:color w:val="231F20"/>
        </w:rPr>
        <w:t>Comparison of Five Year Cumulative Total Return</w:t>
      </w:r>
      <w:r>
        <w:rPr>
          <w:rFonts w:ascii="Arial" w:cs="Arial" w:eastAsia="Arial" w:hAnsi="Arial"/>
          <w:sz w:val="13"/>
          <w:szCs w:val="13"/>
          <w:b w:val="1"/>
          <w:bCs w:val="1"/>
          <w:color w:val="231F20"/>
        </w:rPr>
        <w:t>*</w:t>
      </w:r>
    </w:p>
    <w:p>
      <w:pPr>
        <w:spacing w:after="0" w:line="92" w:lineRule="exact"/>
        <w:rPr>
          <w:sz w:val="20"/>
          <w:szCs w:val="20"/>
          <w:color w:val="auto"/>
        </w:rPr>
      </w:pPr>
    </w:p>
    <w:p>
      <w:pPr>
        <w:spacing w:after="0"/>
        <w:rPr>
          <w:sz w:val="20"/>
          <w:szCs w:val="20"/>
          <w:color w:val="auto"/>
        </w:rPr>
      </w:pPr>
      <w:r>
        <w:rPr>
          <w:rFonts w:ascii="Arial" w:cs="Arial" w:eastAsia="Arial" w:hAnsi="Arial"/>
          <w:sz w:val="15"/>
          <w:szCs w:val="15"/>
          <w:color w:val="231F20"/>
        </w:rPr>
        <w:t>Below is a chart showing our Total Return to our shareholders over the past five years as compared to the S&amp;P 500 Index and the S&amp;P MidCap 400 Utilities Index.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137160</wp:posOffset>
            </wp:positionV>
            <wp:extent cx="5543550" cy="176657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543550" cy="17665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spacing w:after="0"/>
        <w:tabs>
          <w:tab w:leader="none" w:pos="140" w:val="left"/>
        </w:tabs>
        <w:rPr>
          <w:sz w:val="20"/>
          <w:szCs w:val="20"/>
          <w:color w:val="auto"/>
        </w:rPr>
      </w:pPr>
      <w:r>
        <w:rPr>
          <w:rFonts w:ascii="Arial" w:cs="Arial" w:eastAsia="Arial" w:hAnsi="Arial"/>
          <w:sz w:val="14"/>
          <w:szCs w:val="14"/>
          <w:color w:val="231F20"/>
        </w:rPr>
        <w:t>*</w:t>
      </w:r>
      <w:r>
        <w:rPr>
          <w:sz w:val="20"/>
          <w:szCs w:val="20"/>
          <w:color w:val="auto"/>
        </w:rPr>
        <w:tab/>
      </w:r>
      <w:r>
        <w:rPr>
          <w:rFonts w:ascii="Arial" w:cs="Arial" w:eastAsia="Arial" w:hAnsi="Arial"/>
          <w:sz w:val="12"/>
          <w:szCs w:val="12"/>
          <w:color w:val="231F20"/>
        </w:rPr>
        <w:t>$100 invested on 12/31/15 in stock or index, including reinvestment of dividends. Fiscal year ending December 31.</w:t>
      </w:r>
    </w:p>
    <w:p>
      <w:pPr>
        <w:spacing w:after="0" w:line="163" w:lineRule="exact"/>
        <w:rPr>
          <w:sz w:val="20"/>
          <w:szCs w:val="20"/>
          <w:color w:val="auto"/>
        </w:rPr>
      </w:pPr>
    </w:p>
    <w:p>
      <w:pPr>
        <w:spacing w:after="0"/>
        <w:rPr>
          <w:sz w:val="20"/>
          <w:szCs w:val="20"/>
          <w:color w:val="auto"/>
        </w:rPr>
      </w:pPr>
      <w:r>
        <w:rPr>
          <w:rFonts w:ascii="Arial" w:cs="Arial" w:eastAsia="Arial" w:hAnsi="Arial"/>
          <w:sz w:val="24"/>
          <w:szCs w:val="24"/>
          <w:b w:val="1"/>
          <w:bCs w:val="1"/>
          <w:color w:val="455986"/>
        </w:rPr>
        <w:t>Compensation Highlights</w:t>
      </w:r>
    </w:p>
    <w:p>
      <w:pPr>
        <w:sectPr>
          <w:pgSz w:w="11900" w:h="16838" w:orient="portrait"/>
          <w:cols w:equalWidth="0" w:num="1">
            <w:col w:w="11240"/>
          </w:cols>
          <w:pgMar w:left="320" w:top="636" w:right="339" w:bottom="1440" w:gutter="0" w:footer="0" w:header="0"/>
        </w:sectPr>
      </w:pPr>
    </w:p>
    <w:p>
      <w:pPr>
        <w:spacing w:after="0" w:line="211" w:lineRule="exact"/>
        <w:rPr>
          <w:sz w:val="20"/>
          <w:szCs w:val="20"/>
          <w:color w:val="auto"/>
        </w:rPr>
      </w:pPr>
    </w:p>
    <w:p>
      <w:pPr>
        <w:spacing w:after="0"/>
        <w:rPr>
          <w:sz w:val="20"/>
          <w:szCs w:val="20"/>
          <w:color w:val="auto"/>
        </w:rPr>
      </w:pPr>
      <w:r>
        <w:rPr>
          <w:rFonts w:ascii="Arial" w:cs="Arial" w:eastAsia="Arial" w:hAnsi="Arial"/>
          <w:sz w:val="15"/>
          <w:szCs w:val="15"/>
          <w:color w:val="231F20"/>
        </w:rPr>
        <w:t>Highlights of our executive compensation program include:</w:t>
      </w:r>
    </w:p>
    <w:p>
      <w:pPr>
        <w:spacing w:after="0" w:line="182" w:lineRule="exact"/>
        <w:rPr>
          <w:sz w:val="20"/>
          <w:szCs w:val="20"/>
          <w:color w:val="auto"/>
        </w:rPr>
      </w:pPr>
    </w:p>
    <w:p>
      <w:pPr>
        <w:ind w:left="180" w:hanging="178"/>
        <w:spacing w:after="0" w:line="278" w:lineRule="auto"/>
        <w:tabs>
          <w:tab w:leader="none" w:pos="181" w:val="left"/>
        </w:tabs>
        <w:numPr>
          <w:ilvl w:val="0"/>
          <w:numId w:val="12"/>
        </w:numPr>
        <w:rPr>
          <w:rFonts w:ascii="Arial" w:cs="Arial" w:eastAsia="Arial" w:hAnsi="Arial"/>
          <w:sz w:val="14"/>
          <w:szCs w:val="14"/>
          <w:color w:val="4395D4"/>
        </w:rPr>
      </w:pPr>
      <w:r>
        <w:rPr>
          <w:rFonts w:ascii="Arial" w:cs="Arial" w:eastAsia="Arial" w:hAnsi="Arial"/>
          <w:sz w:val="14"/>
          <w:szCs w:val="14"/>
          <w:color w:val="231F20"/>
        </w:rPr>
        <w:t>Shareholder outreach designed to align compensation practices with shareholder interests</w:t>
      </w:r>
    </w:p>
    <w:p>
      <w:pPr>
        <w:spacing w:after="0" w:line="22" w:lineRule="exact"/>
        <w:rPr>
          <w:rFonts w:ascii="Arial" w:cs="Arial" w:eastAsia="Arial" w:hAnsi="Arial"/>
          <w:sz w:val="14"/>
          <w:szCs w:val="14"/>
          <w:color w:val="4395D4"/>
        </w:rPr>
      </w:pPr>
    </w:p>
    <w:p>
      <w:pPr>
        <w:ind w:left="180" w:right="260" w:hanging="178"/>
        <w:spacing w:after="0" w:line="278" w:lineRule="auto"/>
        <w:tabs>
          <w:tab w:leader="none" w:pos="181" w:val="left"/>
        </w:tabs>
        <w:numPr>
          <w:ilvl w:val="0"/>
          <w:numId w:val="12"/>
        </w:numPr>
        <w:rPr>
          <w:rFonts w:ascii="Arial" w:cs="Arial" w:eastAsia="Arial" w:hAnsi="Arial"/>
          <w:sz w:val="14"/>
          <w:szCs w:val="14"/>
          <w:color w:val="4395D4"/>
        </w:rPr>
      </w:pPr>
      <w:r>
        <w:rPr>
          <w:rFonts w:ascii="Arial" w:cs="Arial" w:eastAsia="Arial" w:hAnsi="Arial"/>
          <w:sz w:val="14"/>
          <w:szCs w:val="14"/>
          <w:color w:val="231F20"/>
        </w:rPr>
        <w:t>Compensation program highly correlated to total shareholder return, adjusted earnings per share, and other financial metrics</w:t>
      </w:r>
    </w:p>
    <w:p>
      <w:pPr>
        <w:spacing w:after="0" w:line="22" w:lineRule="exact"/>
        <w:rPr>
          <w:rFonts w:ascii="Arial" w:cs="Arial" w:eastAsia="Arial" w:hAnsi="Arial"/>
          <w:sz w:val="14"/>
          <w:szCs w:val="14"/>
          <w:color w:val="4395D4"/>
        </w:rPr>
      </w:pPr>
    </w:p>
    <w:p>
      <w:pPr>
        <w:ind w:left="180" w:hanging="178"/>
        <w:spacing w:after="0"/>
        <w:tabs>
          <w:tab w:leader="none" w:pos="180" w:val="left"/>
        </w:tabs>
        <w:numPr>
          <w:ilvl w:val="0"/>
          <w:numId w:val="12"/>
        </w:numPr>
        <w:rPr>
          <w:rFonts w:ascii="Arial" w:cs="Arial" w:eastAsia="Arial" w:hAnsi="Arial"/>
          <w:sz w:val="14"/>
          <w:szCs w:val="14"/>
          <w:color w:val="4395D4"/>
        </w:rPr>
      </w:pPr>
      <w:r>
        <w:rPr>
          <w:rFonts w:ascii="Arial" w:cs="Arial" w:eastAsia="Arial" w:hAnsi="Arial"/>
          <w:sz w:val="14"/>
          <w:szCs w:val="14"/>
          <w:color w:val="231F20"/>
        </w:rPr>
        <w:t>Continued emphasis on performance-based compensation</w:t>
      </w:r>
    </w:p>
    <w:p>
      <w:pPr>
        <w:spacing w:after="0" w:line="68" w:lineRule="exact"/>
        <w:rPr>
          <w:rFonts w:ascii="Arial" w:cs="Arial" w:eastAsia="Arial" w:hAnsi="Arial"/>
          <w:sz w:val="14"/>
          <w:szCs w:val="14"/>
          <w:color w:val="4395D4"/>
        </w:rPr>
      </w:pPr>
    </w:p>
    <w:p>
      <w:pPr>
        <w:ind w:left="180" w:hanging="178"/>
        <w:spacing w:after="0"/>
        <w:tabs>
          <w:tab w:leader="none" w:pos="180" w:val="left"/>
        </w:tabs>
        <w:numPr>
          <w:ilvl w:val="0"/>
          <w:numId w:val="12"/>
        </w:numPr>
        <w:rPr>
          <w:rFonts w:ascii="Arial" w:cs="Arial" w:eastAsia="Arial" w:hAnsi="Arial"/>
          <w:sz w:val="14"/>
          <w:szCs w:val="14"/>
          <w:color w:val="4395D4"/>
        </w:rPr>
      </w:pPr>
      <w:r>
        <w:rPr>
          <w:rFonts w:ascii="Arial" w:cs="Arial" w:eastAsia="Arial" w:hAnsi="Arial"/>
          <w:sz w:val="14"/>
          <w:szCs w:val="14"/>
          <w:color w:val="231F20"/>
        </w:rPr>
        <w:t>Significant portion of compensation is variable and at risk</w:t>
      </w:r>
    </w:p>
    <w:p>
      <w:pPr>
        <w:spacing w:after="0" w:line="81" w:lineRule="exact"/>
        <w:rPr>
          <w:rFonts w:ascii="Arial" w:cs="Arial" w:eastAsia="Arial" w:hAnsi="Arial"/>
          <w:sz w:val="14"/>
          <w:szCs w:val="14"/>
          <w:color w:val="4395D4"/>
        </w:rPr>
      </w:pPr>
    </w:p>
    <w:p>
      <w:pPr>
        <w:ind w:left="180" w:hanging="178"/>
        <w:spacing w:after="0"/>
        <w:tabs>
          <w:tab w:leader="none" w:pos="180" w:val="left"/>
        </w:tabs>
        <w:numPr>
          <w:ilvl w:val="0"/>
          <w:numId w:val="12"/>
        </w:numPr>
        <w:rPr>
          <w:rFonts w:ascii="Arial" w:cs="Arial" w:eastAsia="Arial" w:hAnsi="Arial"/>
          <w:sz w:val="14"/>
          <w:szCs w:val="14"/>
          <w:color w:val="4395D4"/>
        </w:rPr>
      </w:pPr>
      <w:r>
        <w:rPr>
          <w:rFonts w:ascii="Arial" w:cs="Arial" w:eastAsia="Arial" w:hAnsi="Arial"/>
          <w:sz w:val="14"/>
          <w:szCs w:val="14"/>
          <w:color w:val="231F20"/>
        </w:rPr>
        <w:t>Reasonable change-in-control agreements with double-trigger termination</w:t>
      </w:r>
    </w:p>
    <w:p>
      <w:pPr>
        <w:spacing w:after="0" w:line="81" w:lineRule="exact"/>
        <w:rPr>
          <w:rFonts w:ascii="Arial" w:cs="Arial" w:eastAsia="Arial" w:hAnsi="Arial"/>
          <w:sz w:val="14"/>
          <w:szCs w:val="14"/>
          <w:color w:val="4395D4"/>
        </w:rPr>
      </w:pPr>
    </w:p>
    <w:p>
      <w:pPr>
        <w:ind w:left="180" w:hanging="178"/>
        <w:spacing w:after="0"/>
        <w:tabs>
          <w:tab w:leader="none" w:pos="180" w:val="left"/>
        </w:tabs>
        <w:numPr>
          <w:ilvl w:val="0"/>
          <w:numId w:val="12"/>
        </w:numPr>
        <w:rPr>
          <w:rFonts w:ascii="Arial" w:cs="Arial" w:eastAsia="Arial" w:hAnsi="Arial"/>
          <w:sz w:val="14"/>
          <w:szCs w:val="14"/>
          <w:color w:val="4395D4"/>
        </w:rPr>
      </w:pPr>
      <w:r>
        <w:rPr>
          <w:rFonts w:ascii="Arial" w:cs="Arial" w:eastAsia="Arial" w:hAnsi="Arial"/>
          <w:sz w:val="14"/>
          <w:szCs w:val="14"/>
          <w:color w:val="231F20"/>
        </w:rPr>
        <w:t>Clawback policies in place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45" w:lineRule="exact"/>
        <w:rPr>
          <w:sz w:val="20"/>
          <w:szCs w:val="20"/>
          <w:color w:val="auto"/>
        </w:rPr>
      </w:pPr>
    </w:p>
    <w:p>
      <w:pPr>
        <w:ind w:left="180" w:hanging="180"/>
        <w:spacing w:after="0"/>
        <w:tabs>
          <w:tab w:leader="none" w:pos="180" w:val="left"/>
        </w:tabs>
        <w:numPr>
          <w:ilvl w:val="0"/>
          <w:numId w:val="13"/>
        </w:numPr>
        <w:rPr>
          <w:rFonts w:ascii="Arial" w:cs="Arial" w:eastAsia="Arial" w:hAnsi="Arial"/>
          <w:sz w:val="14"/>
          <w:szCs w:val="14"/>
          <w:color w:val="4395D4"/>
        </w:rPr>
      </w:pPr>
      <w:r>
        <w:rPr>
          <w:rFonts w:ascii="Arial" w:cs="Arial" w:eastAsia="Arial" w:hAnsi="Arial"/>
          <w:sz w:val="14"/>
          <w:szCs w:val="14"/>
          <w:color w:val="231F20"/>
        </w:rPr>
        <w:t>Anti-hedging and anti-pledging policy continued</w:t>
      </w:r>
    </w:p>
    <w:p>
      <w:pPr>
        <w:spacing w:after="0" w:line="81" w:lineRule="exact"/>
        <w:rPr>
          <w:rFonts w:ascii="Arial" w:cs="Arial" w:eastAsia="Arial" w:hAnsi="Arial"/>
          <w:sz w:val="14"/>
          <w:szCs w:val="14"/>
          <w:color w:val="4395D4"/>
        </w:rPr>
      </w:pPr>
    </w:p>
    <w:p>
      <w:pPr>
        <w:ind w:left="180" w:hanging="180"/>
        <w:spacing w:after="0"/>
        <w:tabs>
          <w:tab w:leader="none" w:pos="180" w:val="left"/>
        </w:tabs>
        <w:numPr>
          <w:ilvl w:val="0"/>
          <w:numId w:val="13"/>
        </w:numPr>
        <w:rPr>
          <w:rFonts w:ascii="Arial" w:cs="Arial" w:eastAsia="Arial" w:hAnsi="Arial"/>
          <w:sz w:val="14"/>
          <w:szCs w:val="14"/>
          <w:color w:val="4395D4"/>
        </w:rPr>
      </w:pPr>
      <w:r>
        <w:rPr>
          <w:rFonts w:ascii="Arial" w:cs="Arial" w:eastAsia="Arial" w:hAnsi="Arial"/>
          <w:sz w:val="14"/>
          <w:szCs w:val="14"/>
          <w:color w:val="231F20"/>
        </w:rPr>
        <w:t>No tax gross ups</w:t>
      </w:r>
    </w:p>
    <w:p>
      <w:pPr>
        <w:spacing w:after="0" w:line="81" w:lineRule="exact"/>
        <w:rPr>
          <w:rFonts w:ascii="Arial" w:cs="Arial" w:eastAsia="Arial" w:hAnsi="Arial"/>
          <w:sz w:val="14"/>
          <w:szCs w:val="14"/>
          <w:color w:val="4395D4"/>
        </w:rPr>
      </w:pPr>
    </w:p>
    <w:p>
      <w:pPr>
        <w:ind w:left="180" w:hanging="180"/>
        <w:spacing w:after="0"/>
        <w:tabs>
          <w:tab w:leader="none" w:pos="180" w:val="left"/>
        </w:tabs>
        <w:numPr>
          <w:ilvl w:val="0"/>
          <w:numId w:val="13"/>
        </w:numPr>
        <w:rPr>
          <w:rFonts w:ascii="Arial" w:cs="Arial" w:eastAsia="Arial" w:hAnsi="Arial"/>
          <w:sz w:val="14"/>
          <w:szCs w:val="14"/>
          <w:color w:val="4395D4"/>
        </w:rPr>
      </w:pPr>
      <w:r>
        <w:rPr>
          <w:rFonts w:ascii="Arial" w:cs="Arial" w:eastAsia="Arial" w:hAnsi="Arial"/>
          <w:sz w:val="14"/>
          <w:szCs w:val="14"/>
          <w:color w:val="231F20"/>
        </w:rPr>
        <w:t>Shareholding requirements ensure that executives are aligned with shareholders</w:t>
      </w:r>
    </w:p>
    <w:p>
      <w:pPr>
        <w:spacing w:after="0" w:line="68" w:lineRule="exact"/>
        <w:rPr>
          <w:rFonts w:ascii="Arial" w:cs="Arial" w:eastAsia="Arial" w:hAnsi="Arial"/>
          <w:sz w:val="14"/>
          <w:szCs w:val="14"/>
          <w:color w:val="4395D4"/>
        </w:rPr>
      </w:pPr>
    </w:p>
    <w:p>
      <w:pPr>
        <w:ind w:left="180" w:hanging="180"/>
        <w:spacing w:after="0"/>
        <w:tabs>
          <w:tab w:leader="none" w:pos="180" w:val="left"/>
        </w:tabs>
        <w:numPr>
          <w:ilvl w:val="0"/>
          <w:numId w:val="13"/>
        </w:numPr>
        <w:rPr>
          <w:rFonts w:ascii="Arial" w:cs="Arial" w:eastAsia="Arial" w:hAnsi="Arial"/>
          <w:sz w:val="14"/>
          <w:szCs w:val="14"/>
          <w:color w:val="4395D4"/>
        </w:rPr>
      </w:pPr>
      <w:r>
        <w:rPr>
          <w:rFonts w:ascii="Arial" w:cs="Arial" w:eastAsia="Arial" w:hAnsi="Arial"/>
          <w:sz w:val="14"/>
          <w:szCs w:val="14"/>
          <w:color w:val="231F20"/>
        </w:rPr>
        <w:t>Reasonable severance arrangements in line with market practices</w:t>
      </w:r>
    </w:p>
    <w:p>
      <w:pPr>
        <w:spacing w:after="0" w:line="81" w:lineRule="exact"/>
        <w:rPr>
          <w:rFonts w:ascii="Arial" w:cs="Arial" w:eastAsia="Arial" w:hAnsi="Arial"/>
          <w:sz w:val="14"/>
          <w:szCs w:val="14"/>
          <w:color w:val="4395D4"/>
        </w:rPr>
      </w:pPr>
    </w:p>
    <w:p>
      <w:pPr>
        <w:ind w:left="180" w:hanging="180"/>
        <w:spacing w:after="0"/>
        <w:tabs>
          <w:tab w:leader="none" w:pos="180" w:val="left"/>
        </w:tabs>
        <w:numPr>
          <w:ilvl w:val="0"/>
          <w:numId w:val="13"/>
        </w:numPr>
        <w:rPr>
          <w:rFonts w:ascii="Arial" w:cs="Arial" w:eastAsia="Arial" w:hAnsi="Arial"/>
          <w:sz w:val="14"/>
          <w:szCs w:val="14"/>
          <w:color w:val="4395D4"/>
        </w:rPr>
      </w:pPr>
      <w:r>
        <w:rPr>
          <w:rFonts w:ascii="Arial" w:cs="Arial" w:eastAsia="Arial" w:hAnsi="Arial"/>
          <w:sz w:val="14"/>
          <w:szCs w:val="14"/>
          <w:color w:val="231F20"/>
        </w:rPr>
        <w:t>Modest perquisites</w:t>
      </w:r>
    </w:p>
    <w:p>
      <w:pPr>
        <w:spacing w:after="0" w:line="81" w:lineRule="exact"/>
        <w:rPr>
          <w:rFonts w:ascii="Arial" w:cs="Arial" w:eastAsia="Arial" w:hAnsi="Arial"/>
          <w:sz w:val="14"/>
          <w:szCs w:val="14"/>
          <w:color w:val="4395D4"/>
        </w:rPr>
      </w:pPr>
    </w:p>
    <w:p>
      <w:pPr>
        <w:ind w:left="180" w:right="520" w:hanging="180"/>
        <w:spacing w:after="0" w:line="278" w:lineRule="auto"/>
        <w:tabs>
          <w:tab w:leader="none" w:pos="181" w:val="left"/>
        </w:tabs>
        <w:numPr>
          <w:ilvl w:val="0"/>
          <w:numId w:val="13"/>
        </w:numPr>
        <w:rPr>
          <w:rFonts w:ascii="Arial" w:cs="Arial" w:eastAsia="Arial" w:hAnsi="Arial"/>
          <w:sz w:val="14"/>
          <w:szCs w:val="14"/>
          <w:color w:val="4395D4"/>
        </w:rPr>
      </w:pPr>
      <w:r>
        <w:rPr>
          <w:rFonts w:ascii="Arial" w:cs="Arial" w:eastAsia="Arial" w:hAnsi="Arial"/>
          <w:sz w:val="14"/>
          <w:szCs w:val="14"/>
          <w:color w:val="231F20"/>
        </w:rPr>
        <w:t>New elements to the 2021 compensation program aimed at incenting management to support diversity, equity, and inclusion in the organization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-3719195</wp:posOffset>
            </wp:positionH>
            <wp:positionV relativeFrom="paragraph">
              <wp:posOffset>173990</wp:posOffset>
            </wp:positionV>
            <wp:extent cx="713994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9940" cy="8255"/>
                    </a:xfrm>
                    <a:prstGeom prst="rect">
                      <a:avLst/>
                    </a:prstGeom>
                    <a:noFill/>
                  </pic:spPr>
                </pic:pic>
              </a:graphicData>
            </a:graphic>
          </wp:anchor>
        </w:drawing>
      </w:r>
    </w:p>
    <w:p>
      <w:pPr>
        <w:spacing w:after="0" w:line="294" w:lineRule="exact"/>
        <w:rPr>
          <w:sz w:val="20"/>
          <w:szCs w:val="20"/>
          <w:color w:val="auto"/>
        </w:rPr>
      </w:pPr>
    </w:p>
    <w:p>
      <w:pPr>
        <w:sectPr>
          <w:pgSz w:w="11900" w:h="16838" w:orient="portrait"/>
          <w:cols w:equalWidth="0" w:num="2">
            <w:col w:w="5360" w:space="500"/>
            <w:col w:w="5380"/>
          </w:cols>
          <w:pgMar w:left="320" w:top="636" w:right="339" w:bottom="1440" w:gutter="0" w:footer="0" w:header="0"/>
          <w:type w:val="continuous"/>
        </w:sectPr>
      </w:pPr>
    </w:p>
    <w:p>
      <w:pPr>
        <w:spacing w:after="0" w:line="61" w:lineRule="exact"/>
        <w:rPr>
          <w:sz w:val="20"/>
          <w:szCs w:val="20"/>
          <w:color w:val="auto"/>
        </w:rPr>
      </w:pPr>
    </w:p>
    <w:p>
      <w:pPr>
        <w:ind w:left="220" w:hanging="218"/>
        <w:spacing w:after="0"/>
        <w:tabs>
          <w:tab w:leader="none" w:pos="220" w:val="left"/>
        </w:tabs>
        <w:numPr>
          <w:ilvl w:val="0"/>
          <w:numId w:val="14"/>
        </w:numPr>
        <w:rPr>
          <w:rFonts w:ascii="Arial" w:cs="Arial" w:eastAsia="Arial" w:hAnsi="Arial"/>
          <w:sz w:val="14"/>
          <w:szCs w:val="14"/>
          <w:color w:val="455986"/>
        </w:rPr>
      </w:pPr>
      <w:r>
        <w:rPr>
          <w:rFonts w:ascii="Arial" w:cs="Arial" w:eastAsia="Arial" w:hAnsi="Arial"/>
          <w:sz w:val="11"/>
          <w:szCs w:val="11"/>
          <w:color w:val="4395D4"/>
        </w:rPr>
        <w:t xml:space="preserve">ESSENTIAL UTILITIES, INC. </w:t>
      </w:r>
      <w:r>
        <w:rPr>
          <w:rFonts w:ascii="Arial" w:cs="Arial" w:eastAsia="Arial" w:hAnsi="Arial"/>
          <w:sz w:val="11"/>
          <w:szCs w:val="11"/>
          <w:color w:val="455986"/>
        </w:rPr>
        <w:t>2021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324485</wp:posOffset>
            </wp:positionV>
            <wp:extent cx="7139940" cy="2413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9940" cy="24130"/>
                    </a:xfrm>
                    <a:prstGeom prst="rect">
                      <a:avLst/>
                    </a:prstGeom>
                    <a:noFill/>
                  </pic:spPr>
                </pic:pic>
              </a:graphicData>
            </a:graphic>
          </wp:anchor>
        </w:drawing>
      </w:r>
    </w:p>
    <w:p>
      <w:pPr>
        <w:sectPr>
          <w:pgSz w:w="11900" w:h="16838" w:orient="portrait"/>
          <w:cols w:equalWidth="0" w:num="1">
            <w:col w:w="11240"/>
          </w:cols>
          <w:pgMar w:left="320" w:top="636" w:right="339" w:bottom="1440" w:gutter="0" w:footer="0" w:header="0"/>
          <w:type w:val="continuous"/>
        </w:sectPr>
      </w:pPr>
    </w:p>
    <w:bookmarkStart w:id="11" w:name="page12"/>
    <w:bookmarkEnd w:id="11"/>
    <w:p>
      <w:pPr>
        <w:spacing w:after="0"/>
        <w:rPr>
          <w:sz w:val="20"/>
          <w:szCs w:val="20"/>
          <w:color w:val="auto"/>
        </w:rPr>
      </w:pPr>
      <w:r>
        <w:rPr>
          <w:rFonts w:ascii="Arial" w:cs="Arial" w:eastAsia="Arial" w:hAnsi="Arial"/>
          <w:sz w:val="14"/>
          <w:szCs w:val="14"/>
          <w:b w:val="1"/>
          <w:bCs w:val="1"/>
          <w:color w:val="455986"/>
        </w:rPr>
        <w:t>Proxy Summary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27940</wp:posOffset>
            </wp:positionV>
            <wp:extent cx="713994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9940" cy="8255"/>
                    </a:xfrm>
                    <a:prstGeom prst="rect">
                      <a:avLst/>
                    </a:prstGeom>
                    <a:noFill/>
                  </pic:spPr>
                </pic:pic>
              </a:graphicData>
            </a:graphic>
          </wp:anchor>
        </w:drawing>
      </w:r>
    </w:p>
    <w:p>
      <w:pPr>
        <w:spacing w:after="0" w:line="76" w:lineRule="exact"/>
        <w:rPr>
          <w:sz w:val="20"/>
          <w:szCs w:val="20"/>
          <w:color w:val="auto"/>
        </w:rPr>
      </w:pPr>
    </w:p>
    <w:p>
      <w:pPr>
        <w:spacing w:after="0"/>
        <w:rPr>
          <w:sz w:val="20"/>
          <w:szCs w:val="20"/>
          <w:color w:val="auto"/>
        </w:rPr>
      </w:pPr>
      <w:r>
        <w:rPr>
          <w:rFonts w:ascii="Arial" w:cs="Arial" w:eastAsia="Arial" w:hAnsi="Arial"/>
          <w:sz w:val="14"/>
          <w:szCs w:val="14"/>
          <w:color w:val="231F20"/>
        </w:rPr>
        <w:t>2020 Pay for Performance Compensation Program</w:t>
      </w:r>
    </w:p>
    <w:p>
      <w:pPr>
        <w:spacing w:after="0" w:line="163" w:lineRule="exact"/>
        <w:rPr>
          <w:sz w:val="20"/>
          <w:szCs w:val="20"/>
          <w:color w:val="auto"/>
        </w:rPr>
      </w:pPr>
    </w:p>
    <w:p>
      <w:pPr>
        <w:spacing w:after="0"/>
        <w:rPr>
          <w:sz w:val="20"/>
          <w:szCs w:val="20"/>
          <w:color w:val="auto"/>
        </w:rPr>
      </w:pPr>
      <w:r>
        <w:rPr>
          <w:rFonts w:ascii="Arial" w:cs="Arial" w:eastAsia="Arial" w:hAnsi="Arial"/>
          <w:sz w:val="24"/>
          <w:szCs w:val="24"/>
          <w:b w:val="1"/>
          <w:bCs w:val="1"/>
          <w:color w:val="455986"/>
        </w:rPr>
        <w:t>2020 Pay for Performance Compensation Program</w:t>
      </w:r>
    </w:p>
    <w:p>
      <w:pPr>
        <w:spacing w:after="0" w:line="169" w:lineRule="exact"/>
        <w:rPr>
          <w:sz w:val="20"/>
          <w:szCs w:val="20"/>
          <w:color w:val="auto"/>
        </w:rPr>
      </w:pPr>
    </w:p>
    <w:p>
      <w:pPr>
        <w:spacing w:after="0"/>
        <w:rPr>
          <w:sz w:val="20"/>
          <w:szCs w:val="20"/>
          <w:color w:val="auto"/>
        </w:rPr>
      </w:pPr>
      <w:r>
        <w:rPr>
          <w:rFonts w:ascii="Arial" w:cs="Arial" w:eastAsia="Arial" w:hAnsi="Arial"/>
          <w:sz w:val="14"/>
          <w:szCs w:val="14"/>
          <w:color w:val="231F20"/>
        </w:rPr>
        <w:t>Our goal is to continue our pay-for-performance culture throughout our Company. Our compensation program for named executive officers is designed to:</w:t>
      </w:r>
    </w:p>
    <w:p>
      <w:pPr>
        <w:spacing w:after="0" w:line="145" w:lineRule="exact"/>
        <w:rPr>
          <w:sz w:val="20"/>
          <w:szCs w:val="20"/>
          <w:color w:val="auto"/>
        </w:rPr>
      </w:pPr>
    </w:p>
    <w:p>
      <w:pPr>
        <w:ind w:left="160" w:right="80" w:hanging="158"/>
        <w:spacing w:after="0" w:line="265" w:lineRule="auto"/>
        <w:tabs>
          <w:tab w:leader="none" w:pos="160" w:val="left"/>
        </w:tabs>
        <w:numPr>
          <w:ilvl w:val="0"/>
          <w:numId w:val="15"/>
        </w:numPr>
        <w:rPr>
          <w:rFonts w:ascii="Times New Roman" w:cs="Times New Roman" w:eastAsia="Times New Roman" w:hAnsi="Times New Roman"/>
          <w:sz w:val="14"/>
          <w:szCs w:val="14"/>
          <w:color w:val="4395D4"/>
        </w:rPr>
      </w:pPr>
      <w:r>
        <w:rPr>
          <w:rFonts w:ascii="Arial" w:cs="Arial" w:eastAsia="Arial" w:hAnsi="Arial"/>
          <w:sz w:val="14"/>
          <w:szCs w:val="14"/>
          <w:color w:val="231F20"/>
        </w:rPr>
        <w:t>Provide compensation that is competitive with our industry peers and appropriately correlates incentive compensation to the achievement of the Company’s short- and long-term performance for customers and shareholders.</w:t>
      </w:r>
    </w:p>
    <w:p>
      <w:pPr>
        <w:spacing w:after="0" w:line="1" w:lineRule="exact"/>
        <w:rPr>
          <w:rFonts w:ascii="Times New Roman" w:cs="Times New Roman" w:eastAsia="Times New Roman" w:hAnsi="Times New Roman"/>
          <w:sz w:val="14"/>
          <w:szCs w:val="14"/>
          <w:color w:val="4395D4"/>
        </w:rPr>
      </w:pPr>
    </w:p>
    <w:p>
      <w:pPr>
        <w:ind w:left="160" w:hanging="158"/>
        <w:spacing w:after="0"/>
        <w:tabs>
          <w:tab w:leader="none" w:pos="160" w:val="left"/>
        </w:tabs>
        <w:numPr>
          <w:ilvl w:val="0"/>
          <w:numId w:val="15"/>
        </w:numPr>
        <w:rPr>
          <w:rFonts w:ascii="Times New Roman" w:cs="Times New Roman" w:eastAsia="Times New Roman" w:hAnsi="Times New Roman"/>
          <w:sz w:val="14"/>
          <w:szCs w:val="14"/>
          <w:color w:val="4395D4"/>
        </w:rPr>
      </w:pPr>
      <w:r>
        <w:rPr>
          <w:rFonts w:ascii="Arial" w:cs="Arial" w:eastAsia="Arial" w:hAnsi="Arial"/>
          <w:sz w:val="14"/>
          <w:szCs w:val="14"/>
          <w:color w:val="231F20"/>
        </w:rPr>
        <w:t>Provide a total compensation package that is aligned with industry standards and enhances our ability to:</w:t>
      </w:r>
    </w:p>
    <w:p>
      <w:pPr>
        <w:spacing w:after="0" w:line="55" w:lineRule="exact"/>
        <w:rPr>
          <w:rFonts w:ascii="Times New Roman" w:cs="Times New Roman" w:eastAsia="Times New Roman" w:hAnsi="Times New Roman"/>
          <w:sz w:val="14"/>
          <w:szCs w:val="14"/>
          <w:color w:val="4395D4"/>
        </w:rPr>
      </w:pPr>
    </w:p>
    <w:p>
      <w:pPr>
        <w:ind w:left="160"/>
        <w:spacing w:after="0"/>
        <w:rPr>
          <w:rFonts w:ascii="Times New Roman" w:cs="Times New Roman" w:eastAsia="Times New Roman" w:hAnsi="Times New Roman"/>
          <w:sz w:val="14"/>
          <w:szCs w:val="14"/>
          <w:color w:val="4395D4"/>
        </w:rPr>
      </w:pPr>
      <w:r>
        <w:rPr>
          <w:rFonts w:ascii="Arial" w:cs="Arial" w:eastAsia="Arial" w:hAnsi="Arial"/>
          <w:sz w:val="14"/>
          <w:szCs w:val="14"/>
          <w:color w:val="455986"/>
        </w:rPr>
        <w:t xml:space="preserve">– </w:t>
      </w:r>
      <w:r>
        <w:rPr>
          <w:rFonts w:ascii="Arial" w:cs="Arial" w:eastAsia="Arial" w:hAnsi="Arial"/>
          <w:sz w:val="14"/>
          <w:szCs w:val="14"/>
          <w:color w:val="231F20"/>
        </w:rPr>
        <w:t>Motivate and reward our named executive officers for contributions to our financial success;</w:t>
      </w:r>
    </w:p>
    <w:p>
      <w:pPr>
        <w:spacing w:after="0" w:line="55" w:lineRule="exact"/>
        <w:rPr>
          <w:rFonts w:ascii="Times New Roman" w:cs="Times New Roman" w:eastAsia="Times New Roman" w:hAnsi="Times New Roman"/>
          <w:sz w:val="14"/>
          <w:szCs w:val="14"/>
          <w:color w:val="4395D4"/>
        </w:rPr>
      </w:pPr>
    </w:p>
    <w:p>
      <w:pPr>
        <w:ind w:left="160"/>
        <w:spacing w:after="0"/>
        <w:rPr>
          <w:rFonts w:ascii="Times New Roman" w:cs="Times New Roman" w:eastAsia="Times New Roman" w:hAnsi="Times New Roman"/>
          <w:sz w:val="14"/>
          <w:szCs w:val="14"/>
          <w:color w:val="4395D4"/>
        </w:rPr>
      </w:pPr>
      <w:r>
        <w:rPr>
          <w:rFonts w:ascii="Arial" w:cs="Arial" w:eastAsia="Arial" w:hAnsi="Arial"/>
          <w:sz w:val="14"/>
          <w:szCs w:val="14"/>
          <w:color w:val="455986"/>
        </w:rPr>
        <w:t xml:space="preserve">– </w:t>
      </w:r>
      <w:r>
        <w:rPr>
          <w:rFonts w:ascii="Arial" w:cs="Arial" w:eastAsia="Arial" w:hAnsi="Arial"/>
          <w:sz w:val="14"/>
          <w:szCs w:val="14"/>
          <w:color w:val="231F20"/>
        </w:rPr>
        <w:t>Attract and retain talented and experienced named executive officers; and</w:t>
      </w:r>
    </w:p>
    <w:p>
      <w:pPr>
        <w:spacing w:after="0" w:line="68" w:lineRule="exact"/>
        <w:rPr>
          <w:rFonts w:ascii="Times New Roman" w:cs="Times New Roman" w:eastAsia="Times New Roman" w:hAnsi="Times New Roman"/>
          <w:sz w:val="14"/>
          <w:szCs w:val="14"/>
          <w:color w:val="4395D4"/>
        </w:rPr>
      </w:pPr>
    </w:p>
    <w:p>
      <w:pPr>
        <w:ind w:left="160"/>
        <w:spacing w:after="0"/>
        <w:rPr>
          <w:rFonts w:ascii="Times New Roman" w:cs="Times New Roman" w:eastAsia="Times New Roman" w:hAnsi="Times New Roman"/>
          <w:sz w:val="14"/>
          <w:szCs w:val="14"/>
          <w:color w:val="4395D4"/>
        </w:rPr>
      </w:pPr>
      <w:r>
        <w:rPr>
          <w:rFonts w:ascii="Arial" w:cs="Arial" w:eastAsia="Arial" w:hAnsi="Arial"/>
          <w:sz w:val="14"/>
          <w:szCs w:val="14"/>
          <w:color w:val="455986"/>
        </w:rPr>
        <w:t xml:space="preserve">– </w:t>
      </w:r>
      <w:r>
        <w:rPr>
          <w:rFonts w:ascii="Arial" w:cs="Arial" w:eastAsia="Arial" w:hAnsi="Arial"/>
          <w:sz w:val="14"/>
          <w:szCs w:val="14"/>
          <w:color w:val="231F20"/>
        </w:rPr>
        <w:t>Ensure a significant portion of pay is performance based to better align pay with the successful achievement of our business objectives.</w:t>
      </w:r>
    </w:p>
    <w:p>
      <w:pPr>
        <w:spacing w:after="0" w:line="43" w:lineRule="exact"/>
        <w:rPr>
          <w:rFonts w:ascii="Times New Roman" w:cs="Times New Roman" w:eastAsia="Times New Roman" w:hAnsi="Times New Roman"/>
          <w:sz w:val="14"/>
          <w:szCs w:val="14"/>
          <w:color w:val="4395D4"/>
        </w:rPr>
      </w:pPr>
    </w:p>
    <w:p>
      <w:pPr>
        <w:ind w:left="160" w:hanging="158"/>
        <w:spacing w:after="0"/>
        <w:tabs>
          <w:tab w:leader="none" w:pos="160" w:val="left"/>
        </w:tabs>
        <w:numPr>
          <w:ilvl w:val="0"/>
          <w:numId w:val="15"/>
        </w:numPr>
        <w:rPr>
          <w:rFonts w:ascii="Times New Roman" w:cs="Times New Roman" w:eastAsia="Times New Roman" w:hAnsi="Times New Roman"/>
          <w:sz w:val="14"/>
          <w:szCs w:val="14"/>
          <w:color w:val="4395D4"/>
        </w:rPr>
      </w:pPr>
      <w:r>
        <w:rPr>
          <w:rFonts w:ascii="Arial" w:cs="Arial" w:eastAsia="Arial" w:hAnsi="Arial"/>
          <w:sz w:val="14"/>
          <w:szCs w:val="14"/>
          <w:color w:val="231F20"/>
        </w:rPr>
        <w:t>Reward our named executive officers for leadership excellence and contribution to the organization’s success.</w:t>
      </w:r>
    </w:p>
    <w:p>
      <w:pPr>
        <w:spacing w:after="0" w:line="55" w:lineRule="exact"/>
        <w:rPr>
          <w:rFonts w:ascii="Times New Roman" w:cs="Times New Roman" w:eastAsia="Times New Roman" w:hAnsi="Times New Roman"/>
          <w:sz w:val="14"/>
          <w:szCs w:val="14"/>
          <w:color w:val="4395D4"/>
        </w:rPr>
      </w:pPr>
    </w:p>
    <w:p>
      <w:pPr>
        <w:ind w:left="160" w:hanging="158"/>
        <w:spacing w:after="0"/>
        <w:tabs>
          <w:tab w:leader="none" w:pos="160" w:val="left"/>
        </w:tabs>
        <w:numPr>
          <w:ilvl w:val="0"/>
          <w:numId w:val="15"/>
        </w:numPr>
        <w:rPr>
          <w:rFonts w:ascii="Times New Roman" w:cs="Times New Roman" w:eastAsia="Times New Roman" w:hAnsi="Times New Roman"/>
          <w:sz w:val="14"/>
          <w:szCs w:val="14"/>
          <w:color w:val="4395D4"/>
        </w:rPr>
      </w:pPr>
      <w:r>
        <w:rPr>
          <w:rFonts w:ascii="Arial" w:cs="Arial" w:eastAsia="Arial" w:hAnsi="Arial"/>
          <w:sz w:val="14"/>
          <w:szCs w:val="14"/>
          <w:color w:val="231F20"/>
        </w:rPr>
        <w:t>Maintain an important focus on environmental, social, and governance issues while building shareholder value.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105410</wp:posOffset>
            </wp:positionV>
            <wp:extent cx="5389245" cy="218821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389245" cy="2188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24"/>
          <w:szCs w:val="24"/>
          <w:b w:val="1"/>
          <w:bCs w:val="1"/>
          <w:color w:val="455986"/>
        </w:rPr>
        <w:t>Shareholder Outreach and Results of 2020 Advisory Vote to Approve Executive Compensation</w:t>
      </w:r>
    </w:p>
    <w:p>
      <w:pPr>
        <w:spacing w:after="0" w:line="169" w:lineRule="exact"/>
        <w:rPr>
          <w:sz w:val="20"/>
          <w:szCs w:val="20"/>
          <w:color w:val="auto"/>
        </w:rPr>
      </w:pPr>
    </w:p>
    <w:p>
      <w:pPr>
        <w:ind w:right="320"/>
        <w:spacing w:after="0" w:line="253" w:lineRule="auto"/>
        <w:rPr>
          <w:sz w:val="20"/>
          <w:szCs w:val="20"/>
          <w:color w:val="auto"/>
        </w:rPr>
      </w:pPr>
      <w:r>
        <w:rPr>
          <w:rFonts w:ascii="Arial" w:cs="Arial" w:eastAsia="Arial" w:hAnsi="Arial"/>
          <w:sz w:val="14"/>
          <w:szCs w:val="14"/>
          <w:color w:val="231F20"/>
        </w:rPr>
        <w:t>At our 2020 annual meeting of shareholders, our shareholders overwhelmingly supported our compensation program, with 96% in agreement with the Company’s compensation design. We believe the high level of support recognized the thoughtfulness and consideration the Executive Compensation Committee and the management team spent in redesigning the program to more closely align with driving shareholder value.</w:t>
      </w:r>
    </w:p>
    <w:p>
      <w:pPr>
        <w:spacing w:after="0" w:line="103" w:lineRule="exact"/>
        <w:rPr>
          <w:sz w:val="20"/>
          <w:szCs w:val="20"/>
          <w:color w:val="auto"/>
        </w:rPr>
      </w:pPr>
    </w:p>
    <w:p>
      <w:pPr>
        <w:ind w:right="80"/>
        <w:spacing w:after="0" w:line="278" w:lineRule="auto"/>
        <w:rPr>
          <w:sz w:val="20"/>
          <w:szCs w:val="20"/>
          <w:color w:val="auto"/>
        </w:rPr>
      </w:pPr>
      <w:r>
        <w:rPr>
          <w:rFonts w:ascii="Arial" w:cs="Arial" w:eastAsia="Arial" w:hAnsi="Arial"/>
          <w:sz w:val="14"/>
          <w:szCs w:val="14"/>
          <w:color w:val="231F20"/>
        </w:rPr>
        <w:t>Over the course of 2020, management held over 300 meetings with investors. We engaged with every shareholder who accepted our offer to meet. During these meetings and calls, we discussed numerous topics, including strategic, executive compensation, and environmental, social and governance issues.</w:t>
      </w:r>
    </w:p>
    <w:p>
      <w:pPr>
        <w:spacing w:after="0" w:line="86" w:lineRule="exact"/>
        <w:rPr>
          <w:sz w:val="20"/>
          <w:szCs w:val="20"/>
          <w:color w:val="auto"/>
        </w:rPr>
      </w:pPr>
    </w:p>
    <w:p>
      <w:pPr>
        <w:ind w:right="560"/>
        <w:spacing w:after="0" w:line="278" w:lineRule="auto"/>
        <w:rPr>
          <w:sz w:val="20"/>
          <w:szCs w:val="20"/>
          <w:color w:val="auto"/>
        </w:rPr>
      </w:pPr>
      <w:r>
        <w:rPr>
          <w:rFonts w:ascii="Arial" w:cs="Arial" w:eastAsia="Arial" w:hAnsi="Arial"/>
          <w:sz w:val="14"/>
          <w:szCs w:val="14"/>
          <w:color w:val="231F20"/>
        </w:rPr>
        <w:t>As a direct result of these meetings and calls, the Company incorporated their feedback and moved to include supplier and employee diversity metrics in the short-term incentive program.</w:t>
      </w:r>
    </w:p>
    <w:p>
      <w:pPr>
        <w:spacing w:after="0" w:line="88" w:lineRule="exact"/>
        <w:rPr>
          <w:sz w:val="20"/>
          <w:szCs w:val="20"/>
          <w:color w:val="auto"/>
        </w:rPr>
      </w:pPr>
    </w:p>
    <w:p>
      <w:pPr>
        <w:ind w:right="580"/>
        <w:spacing w:after="0" w:line="275" w:lineRule="auto"/>
        <w:rPr>
          <w:sz w:val="20"/>
          <w:szCs w:val="20"/>
          <w:color w:val="auto"/>
        </w:rPr>
      </w:pPr>
      <w:r>
        <w:rPr>
          <w:rFonts w:ascii="Arial" w:cs="Arial" w:eastAsia="Arial" w:hAnsi="Arial"/>
          <w:sz w:val="14"/>
          <w:szCs w:val="14"/>
          <w:i w:val="1"/>
          <w:iCs w:val="1"/>
          <w:color w:val="auto"/>
        </w:rPr>
        <w:t>For more information on our shareholder engagement program, investor feedback and the actions taken in response to that feedback, please see page 45 in this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93980</wp:posOffset>
            </wp:positionV>
            <wp:extent cx="713994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9940" cy="8255"/>
                    </a:xfrm>
                    <a:prstGeom prst="rect">
                      <a:avLst/>
                    </a:prstGeom>
                    <a:noFill/>
                  </pic:spPr>
                </pic:pic>
              </a:graphicData>
            </a:graphic>
          </wp:anchor>
        </w:drawing>
      </w:r>
    </w:p>
    <w:p>
      <w:pPr>
        <w:spacing w:after="0" w:line="174" w:lineRule="exact"/>
        <w:rPr>
          <w:sz w:val="20"/>
          <w:szCs w:val="20"/>
          <w:color w:val="auto"/>
        </w:rPr>
      </w:pPr>
    </w:p>
    <w:p>
      <w:pPr>
        <w:jc w:val="right"/>
        <w:spacing w:after="0"/>
        <w:tabs>
          <w:tab w:leader="none" w:pos="60" w:val="left"/>
        </w:tabs>
        <w:rPr>
          <w:sz w:val="20"/>
          <w:szCs w:val="20"/>
          <w:color w:val="auto"/>
        </w:rPr>
      </w:pPr>
      <w:r>
        <w:rPr>
          <w:rFonts w:ascii="Arial" w:cs="Arial" w:eastAsia="Arial" w:hAnsi="Arial"/>
          <w:sz w:val="12"/>
          <w:szCs w:val="12"/>
          <w:color w:val="4395D4"/>
        </w:rPr>
        <w:t xml:space="preserve">ESSENTIAL UTILITIES, INC. </w:t>
      </w:r>
      <w:r>
        <w:rPr>
          <w:rFonts w:ascii="Arial" w:cs="Arial" w:eastAsia="Arial" w:hAnsi="Arial"/>
          <w:sz w:val="12"/>
          <w:szCs w:val="12"/>
          <w:color w:val="455986"/>
        </w:rPr>
        <w:t>2021 PROXY STATEMENT</w:t>
      </w:r>
      <w:r>
        <w:rPr>
          <w:sz w:val="20"/>
          <w:szCs w:val="20"/>
          <w:color w:val="auto"/>
        </w:rPr>
        <w:tab/>
      </w:r>
      <w:r>
        <w:rPr>
          <w:rFonts w:ascii="Arial" w:cs="Arial" w:eastAsia="Arial" w:hAnsi="Arial"/>
          <w:sz w:val="14"/>
          <w:szCs w:val="14"/>
          <w:color w:val="455986"/>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346710</wp:posOffset>
            </wp:positionV>
            <wp:extent cx="7139940" cy="2413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9940" cy="24130"/>
                    </a:xfrm>
                    <a:prstGeom prst="rect">
                      <a:avLst/>
                    </a:prstGeom>
                    <a:noFill/>
                  </pic:spPr>
                </pic:pic>
              </a:graphicData>
            </a:graphic>
          </wp:anchor>
        </w:drawing>
      </w:r>
    </w:p>
    <w:p>
      <w:pPr>
        <w:sectPr>
          <w:pgSz w:w="11900" w:h="16838" w:orient="portrait"/>
          <w:cols w:equalWidth="0" w:num="1">
            <w:col w:w="11240"/>
          </w:cols>
          <w:pgMar w:left="320" w:top="637" w:right="339" w:bottom="1440" w:gutter="0" w:footer="0" w:header="0"/>
        </w:sectPr>
      </w:pPr>
    </w:p>
    <w:bookmarkStart w:id="12" w:name="page13"/>
    <w:bookmarkEnd w:id="12"/>
    <w:p>
      <w:pPr>
        <w:spacing w:after="0"/>
        <w:rPr>
          <w:sz w:val="20"/>
          <w:szCs w:val="20"/>
          <w:color w:val="auto"/>
        </w:rPr>
      </w:pPr>
      <w:r>
        <w:rPr>
          <w:rFonts w:ascii="Arial" w:cs="Arial" w:eastAsia="Arial" w:hAnsi="Arial"/>
          <w:sz w:val="48"/>
          <w:szCs w:val="48"/>
          <w:color w:val="4395D4"/>
        </w:rPr>
        <w:t>Proposal 1:</w:t>
      </w:r>
    </w:p>
    <w:p>
      <w:pPr>
        <w:spacing w:after="0" w:line="59" w:lineRule="exact"/>
        <w:rPr>
          <w:sz w:val="20"/>
          <w:szCs w:val="20"/>
          <w:color w:val="auto"/>
        </w:rPr>
      </w:pPr>
    </w:p>
    <w:p>
      <w:pPr>
        <w:spacing w:after="0"/>
        <w:rPr>
          <w:sz w:val="20"/>
          <w:szCs w:val="20"/>
          <w:color w:val="auto"/>
        </w:rPr>
      </w:pPr>
      <w:r>
        <w:rPr>
          <w:rFonts w:ascii="Arial" w:cs="Arial" w:eastAsia="Arial" w:hAnsi="Arial"/>
          <w:sz w:val="48"/>
          <w:szCs w:val="48"/>
          <w:b w:val="1"/>
          <w:bCs w:val="1"/>
          <w:color w:val="455986"/>
        </w:rPr>
        <w:t>Election of Directors</w:t>
      </w:r>
    </w:p>
    <w:p>
      <w:pPr>
        <w:spacing w:after="0" w:line="164" w:lineRule="exact"/>
        <w:rPr>
          <w:sz w:val="20"/>
          <w:szCs w:val="20"/>
          <w:color w:val="auto"/>
        </w:rPr>
      </w:pPr>
    </w:p>
    <w:p>
      <w:pPr>
        <w:ind w:right="60"/>
        <w:spacing w:after="0"/>
        <w:rPr>
          <w:sz w:val="20"/>
          <w:szCs w:val="20"/>
          <w:color w:val="auto"/>
        </w:rPr>
      </w:pPr>
      <w:r>
        <w:rPr>
          <w:rFonts w:ascii="Arial" w:cs="Arial" w:eastAsia="Arial" w:hAnsi="Arial"/>
          <w:sz w:val="14"/>
          <w:szCs w:val="14"/>
          <w:color w:val="231F20"/>
        </w:rPr>
        <w:t>All of the director nominees who are elected, will be elected for a one-year term expiring at the 2022 Annual Meeting of Shareholders, and until their successors are duly elected and qualified. The Corporate Governance Committee reviewed the qualifications of the directors in relation to the candidate nomination criteria under the Company’s Corporate Governance Guidelines. The Corporate Governance Committee voted to recommend to the Board of Directors, and the Board of Directors approved, the nomination of Ms. Amato, Mr. Franklin, Mr. Hilferty, Mr. Idehen, Ms. Kelly, Ms. Ruff, Mr. Stewart, and Mr. Womack for election as directors at the 2021 Annual Meeting, with each nominee abstaining from the vote with respect to his or her nomination, as applicable.</w:t>
      </w:r>
    </w:p>
    <w:p>
      <w:pPr>
        <w:spacing w:after="0" w:line="114" w:lineRule="exact"/>
        <w:rPr>
          <w:sz w:val="20"/>
          <w:szCs w:val="20"/>
          <w:color w:val="auto"/>
        </w:rPr>
      </w:pPr>
    </w:p>
    <w:p>
      <w:pPr>
        <w:spacing w:after="0"/>
        <w:rPr>
          <w:sz w:val="20"/>
          <w:szCs w:val="20"/>
          <w:color w:val="auto"/>
        </w:rPr>
      </w:pPr>
      <w:r>
        <w:rPr>
          <w:rFonts w:ascii="Arial" w:cs="Arial" w:eastAsia="Arial" w:hAnsi="Arial"/>
          <w:sz w:val="14"/>
          <w:szCs w:val="14"/>
          <w:color w:val="231F20"/>
        </w:rPr>
        <w:t>Therefore, eight nominees will stand for election by a plurality of the votes cast at the 2021 Annual Meeting. At the Annual Meeting, proxies in the accompanying form, properly executed, will be voted for the election of the eight nominees listed below, unless authority to do so has been withheld in the manner specified in the instructions on the proxy card or the record holder does not have discretionary voting power under NYSE rules. Discretionary authority is reserved to cast votes for the election of a substitute should any nominee be unable or become unwilling to serve as a director. Each nominee has stated his or her willingness to serve and the Company believes that the nominees will be available to serve.</w:t>
      </w:r>
    </w:p>
    <w:p>
      <w:pPr>
        <w:spacing w:after="0" w:line="302" w:lineRule="exact"/>
        <w:rPr>
          <w:sz w:val="20"/>
          <w:szCs w:val="20"/>
          <w:color w:val="auto"/>
        </w:rPr>
      </w:pPr>
    </w:p>
    <w:p>
      <w:pPr>
        <w:spacing w:after="0"/>
        <w:rPr>
          <w:sz w:val="20"/>
          <w:szCs w:val="20"/>
          <w:color w:val="auto"/>
        </w:rPr>
      </w:pPr>
      <w:r>
        <w:rPr>
          <w:rFonts w:ascii="Arial" w:cs="Arial" w:eastAsia="Arial" w:hAnsi="Arial"/>
          <w:sz w:val="24"/>
          <w:szCs w:val="24"/>
          <w:b w:val="1"/>
          <w:bCs w:val="1"/>
          <w:color w:val="455986"/>
        </w:rPr>
        <w:t>Director Independence</w:t>
      </w:r>
    </w:p>
    <w:p>
      <w:pPr>
        <w:spacing w:after="0" w:line="208" w:lineRule="exact"/>
        <w:rPr>
          <w:sz w:val="20"/>
          <w:szCs w:val="20"/>
          <w:color w:val="auto"/>
        </w:rPr>
      </w:pPr>
    </w:p>
    <w:p>
      <w:pPr>
        <w:ind w:right="60"/>
        <w:spacing w:after="0" w:line="245" w:lineRule="auto"/>
        <w:rPr>
          <w:sz w:val="20"/>
          <w:szCs w:val="20"/>
          <w:color w:val="auto"/>
        </w:rPr>
      </w:pPr>
      <w:r>
        <w:rPr>
          <w:rFonts w:ascii="Arial" w:cs="Arial" w:eastAsia="Arial" w:hAnsi="Arial"/>
          <w:sz w:val="14"/>
          <w:szCs w:val="14"/>
          <w:color w:val="231F20"/>
        </w:rPr>
        <w:t xml:space="preserve">Based on a review applying the standards in the Company’s Corporate Governance Guidelines, including a review of the applicable NYSE, SEC, and Company standards, and considering the relevant facts and circumstances of any transactions, relationships, and arrangements between the directors and the Company, the Board of Directors has affirmatively determined that each director and nominee for director is independent, other than Mr. Franklin, the Company’s Chairman, President, and Chief Executive Officer. </w:t>
      </w:r>
      <w:r>
        <w:rPr>
          <w:rFonts w:ascii="Arial" w:cs="Arial" w:eastAsia="Arial" w:hAnsi="Arial"/>
          <w:sz w:val="14"/>
          <w:szCs w:val="14"/>
          <w:i w:val="1"/>
          <w:iCs w:val="1"/>
          <w:color w:val="231F20"/>
        </w:rPr>
        <w:t>For more information, see Governance Practices &amp; Policies beginning on page 31 for our Director Independence Standards and Related Persons Transaction Policy.</w:t>
      </w:r>
    </w:p>
    <w:p>
      <w:pPr>
        <w:spacing w:after="0" w:line="135" w:lineRule="exact"/>
        <w:rPr>
          <w:sz w:val="20"/>
          <w:szCs w:val="20"/>
          <w:color w:val="auto"/>
        </w:rPr>
      </w:pPr>
    </w:p>
    <w:p>
      <w:pPr>
        <w:spacing w:after="0"/>
        <w:rPr>
          <w:sz w:val="20"/>
          <w:szCs w:val="20"/>
          <w:color w:val="auto"/>
        </w:rPr>
      </w:pPr>
      <w:r>
        <w:rPr>
          <w:rFonts w:ascii="Arial" w:cs="Arial" w:eastAsia="Arial" w:hAnsi="Arial"/>
          <w:sz w:val="24"/>
          <w:szCs w:val="24"/>
          <w:b w:val="1"/>
          <w:bCs w:val="1"/>
          <w:color w:val="455986"/>
        </w:rPr>
        <w:t>Age and Term Limits</w:t>
      </w:r>
    </w:p>
    <w:p>
      <w:pPr>
        <w:spacing w:after="0" w:line="208" w:lineRule="exact"/>
        <w:rPr>
          <w:sz w:val="20"/>
          <w:szCs w:val="20"/>
          <w:color w:val="auto"/>
        </w:rPr>
      </w:pPr>
    </w:p>
    <w:p>
      <w:pPr>
        <w:ind w:right="60"/>
        <w:spacing w:after="0"/>
        <w:rPr>
          <w:sz w:val="20"/>
          <w:szCs w:val="20"/>
          <w:color w:val="auto"/>
        </w:rPr>
      </w:pPr>
      <w:r>
        <w:rPr>
          <w:rFonts w:ascii="Arial" w:cs="Arial" w:eastAsia="Arial" w:hAnsi="Arial"/>
          <w:sz w:val="14"/>
          <w:szCs w:val="14"/>
          <w:color w:val="231F20"/>
        </w:rPr>
        <w:t>The Board believes that term limits are an important element of good governance. However, it also believes that it must strike the appropriate balance between the contribution of directors who have developed, over a period, meaningful insight into the Company and its operations, and therefore can provide an increasing contribution to the Board as a whole. In 2015, the Board established that upon the fifteenth anniversary of a director accepting an initial appointment or election to the Board of Directors, the director will tender his or her resignation to the Board (the Term Limit Policy). The Term Limit Policy does not apply to directors who were elected on or before December 1, 2015. As of the date of this proxy statement, only two directors, including our CEO, were first elected prior to or in 2015.</w:t>
      </w:r>
    </w:p>
    <w:p>
      <w:pPr>
        <w:spacing w:after="0" w:line="114" w:lineRule="exact"/>
        <w:rPr>
          <w:sz w:val="20"/>
          <w:szCs w:val="20"/>
          <w:color w:val="auto"/>
        </w:rPr>
      </w:pPr>
    </w:p>
    <w:p>
      <w:pPr>
        <w:ind w:right="100"/>
        <w:spacing w:after="0" w:line="248" w:lineRule="auto"/>
        <w:rPr>
          <w:sz w:val="20"/>
          <w:szCs w:val="20"/>
          <w:color w:val="auto"/>
        </w:rPr>
      </w:pPr>
      <w:r>
        <w:rPr>
          <w:rFonts w:ascii="Arial" w:cs="Arial" w:eastAsia="Arial" w:hAnsi="Arial"/>
          <w:sz w:val="14"/>
          <w:szCs w:val="14"/>
          <w:color w:val="231F20"/>
        </w:rPr>
        <w:t>Following extensive research, including conducting an outreach program to the Company’s largest shareholders to seek their opinion, the Board determined that 75 years of age was the appropriate age for a director to submit his or her resignation from the Board of Directors. All directors are now required to submit their resignation from the Board</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231F20"/>
        </w:rPr>
        <w:t>effective as of their 75</w:t>
      </w:r>
      <w:r>
        <w:rPr>
          <w:rFonts w:ascii="Arial" w:cs="Arial" w:eastAsia="Arial" w:hAnsi="Arial"/>
          <w:sz w:val="24"/>
          <w:szCs w:val="24"/>
          <w:color w:val="231F20"/>
          <w:vertAlign w:val="superscript"/>
        </w:rPr>
        <w:t>th</w:t>
      </w:r>
      <w:r>
        <w:rPr>
          <w:rFonts w:ascii="Arial" w:cs="Arial" w:eastAsia="Arial" w:hAnsi="Arial"/>
          <w:sz w:val="14"/>
          <w:szCs w:val="14"/>
          <w:color w:val="231F20"/>
        </w:rPr>
        <w:t xml:space="preserve"> birthday.</w:t>
      </w:r>
    </w:p>
    <w:p>
      <w:pPr>
        <w:spacing w:after="0" w:line="69" w:lineRule="exact"/>
        <w:rPr>
          <w:sz w:val="20"/>
          <w:szCs w:val="20"/>
          <w:color w:val="auto"/>
        </w:rPr>
      </w:pPr>
    </w:p>
    <w:p>
      <w:pPr>
        <w:spacing w:after="0"/>
        <w:rPr>
          <w:sz w:val="20"/>
          <w:szCs w:val="20"/>
          <w:color w:val="auto"/>
        </w:rPr>
      </w:pPr>
      <w:r>
        <w:rPr>
          <w:rFonts w:ascii="Arial" w:cs="Arial" w:eastAsia="Arial" w:hAnsi="Arial"/>
          <w:sz w:val="24"/>
          <w:szCs w:val="24"/>
          <w:b w:val="1"/>
          <w:bCs w:val="1"/>
          <w:color w:val="455986"/>
        </w:rPr>
        <w:t>Information About Our Director Nominees</w:t>
      </w:r>
    </w:p>
    <w:p>
      <w:pPr>
        <w:spacing w:after="0" w:line="208" w:lineRule="exact"/>
        <w:rPr>
          <w:sz w:val="20"/>
          <w:szCs w:val="20"/>
          <w:color w:val="auto"/>
        </w:rPr>
      </w:pPr>
    </w:p>
    <w:p>
      <w:pPr>
        <w:ind w:right="100"/>
        <w:spacing w:after="0" w:line="245" w:lineRule="auto"/>
        <w:rPr>
          <w:sz w:val="20"/>
          <w:szCs w:val="20"/>
          <w:color w:val="auto"/>
        </w:rPr>
      </w:pPr>
      <w:r>
        <w:rPr>
          <w:rFonts w:ascii="Arial" w:cs="Arial" w:eastAsia="Arial" w:hAnsi="Arial"/>
          <w:sz w:val="14"/>
          <w:szCs w:val="14"/>
          <w:color w:val="231F20"/>
        </w:rPr>
        <w:t>For each of the eight nominees for election as directors at the 2021 Annual Meeting, we have included information on the following pages about the positions and offices with the Company held by each, the principal occupation of each during at least the past five years, the directorships of public companies and other organizations held by each and the experience, qualifications, attributes or skills that, in the opinion of the Corporate Governance Committee and the Board of Directors, make the individual qualified to serve as a director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98425</wp:posOffset>
            </wp:positionV>
            <wp:extent cx="713994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9940" cy="8255"/>
                    </a:xfrm>
                    <a:prstGeom prst="rect">
                      <a:avLst/>
                    </a:prstGeom>
                    <a:noFill/>
                  </pic:spPr>
                </pic:pic>
              </a:graphicData>
            </a:graphic>
          </wp:anchor>
        </w:drawing>
      </w:r>
    </w:p>
    <w:p>
      <w:pPr>
        <w:spacing w:after="0" w:line="205" w:lineRule="exact"/>
        <w:rPr>
          <w:sz w:val="20"/>
          <w:szCs w:val="20"/>
          <w:color w:val="auto"/>
        </w:rPr>
      </w:pPr>
    </w:p>
    <w:p>
      <w:pPr>
        <w:ind w:left="300" w:hanging="298"/>
        <w:spacing w:after="0"/>
        <w:tabs>
          <w:tab w:leader="none" w:pos="300" w:val="left"/>
        </w:tabs>
        <w:numPr>
          <w:ilvl w:val="0"/>
          <w:numId w:val="16"/>
        </w:numPr>
        <w:rPr>
          <w:rFonts w:ascii="Arial" w:cs="Arial" w:eastAsia="Arial" w:hAnsi="Arial"/>
          <w:sz w:val="15"/>
          <w:szCs w:val="15"/>
          <w:color w:val="455986"/>
        </w:rPr>
      </w:pPr>
      <w:r>
        <w:rPr>
          <w:rFonts w:ascii="Arial" w:cs="Arial" w:eastAsia="Arial" w:hAnsi="Arial"/>
          <w:sz w:val="12"/>
          <w:szCs w:val="12"/>
          <w:color w:val="4395D4"/>
        </w:rPr>
        <w:t xml:space="preserve">ESSENTIAL UTILITIES, INC. </w:t>
      </w:r>
      <w:r>
        <w:rPr>
          <w:rFonts w:ascii="Arial" w:cs="Arial" w:eastAsia="Arial" w:hAnsi="Arial"/>
          <w:sz w:val="12"/>
          <w:szCs w:val="12"/>
          <w:color w:val="455986"/>
        </w:rPr>
        <w:t>2021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324485</wp:posOffset>
            </wp:positionV>
            <wp:extent cx="7139940" cy="2413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9940" cy="24130"/>
                    </a:xfrm>
                    <a:prstGeom prst="rect">
                      <a:avLst/>
                    </a:prstGeom>
                    <a:noFill/>
                  </pic:spPr>
                </pic:pic>
              </a:graphicData>
            </a:graphic>
          </wp:anchor>
        </w:drawing>
      </w:r>
    </w:p>
    <w:p>
      <w:pPr>
        <w:sectPr>
          <w:pgSz w:w="11900" w:h="16838" w:orient="portrait"/>
          <w:cols w:equalWidth="0" w:num="1">
            <w:col w:w="11240"/>
          </w:cols>
          <w:pgMar w:left="320" w:top="591" w:right="339" w:bottom="1440" w:gutter="0" w:footer="0" w:header="0"/>
        </w:sectPr>
      </w:pPr>
    </w:p>
    <w:bookmarkStart w:id="13" w:name="page14"/>
    <w:bookmarkEnd w:id="13"/>
    <w:p>
      <w:pPr>
        <w:spacing w:after="0"/>
        <w:rPr>
          <w:sz w:val="20"/>
          <w:szCs w:val="20"/>
          <w:color w:val="auto"/>
        </w:rPr>
      </w:pPr>
      <w:r>
        <w:rPr>
          <w:rFonts w:ascii="Arial" w:cs="Arial" w:eastAsia="Arial" w:hAnsi="Arial"/>
          <w:sz w:val="14"/>
          <w:szCs w:val="14"/>
          <w:b w:val="1"/>
          <w:bCs w:val="1"/>
          <w:color w:val="455986"/>
        </w:rPr>
        <w:t>Proposal 1: Election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27940</wp:posOffset>
            </wp:positionV>
            <wp:extent cx="713994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9940" cy="8255"/>
                    </a:xfrm>
                    <a:prstGeom prst="rect">
                      <a:avLst/>
                    </a:prstGeom>
                    <a:noFill/>
                  </pic:spPr>
                </pic:pic>
              </a:graphicData>
            </a:graphic>
          </wp:anchor>
        </w:drawing>
      </w:r>
    </w:p>
    <w:p>
      <w:pPr>
        <w:spacing w:after="0" w:line="76" w:lineRule="exact"/>
        <w:rPr>
          <w:sz w:val="20"/>
          <w:szCs w:val="20"/>
          <w:color w:val="auto"/>
        </w:rPr>
      </w:pPr>
    </w:p>
    <w:p>
      <w:pPr>
        <w:spacing w:after="0"/>
        <w:rPr>
          <w:sz w:val="20"/>
          <w:szCs w:val="20"/>
          <w:color w:val="auto"/>
        </w:rPr>
      </w:pPr>
      <w:r>
        <w:rPr>
          <w:rFonts w:ascii="Arial" w:cs="Arial" w:eastAsia="Arial" w:hAnsi="Arial"/>
          <w:sz w:val="14"/>
          <w:szCs w:val="14"/>
          <w:color w:val="231F20"/>
        </w:rPr>
        <w:t>Information About Our Director Nominees</w:t>
      </w:r>
    </w:p>
    <w:p>
      <w:pPr>
        <w:spacing w:after="0" w:line="161" w:lineRule="exact"/>
        <w:rPr>
          <w:sz w:val="20"/>
          <w:szCs w:val="20"/>
          <w:color w:val="auto"/>
        </w:rPr>
      </w:pPr>
    </w:p>
    <w:p>
      <w:pPr>
        <w:spacing w:after="0"/>
        <w:rPr>
          <w:sz w:val="20"/>
          <w:szCs w:val="20"/>
          <w:color w:val="auto"/>
        </w:rPr>
      </w:pPr>
      <w:r>
        <w:rPr>
          <w:rFonts w:ascii="Arial" w:cs="Arial" w:eastAsia="Arial" w:hAnsi="Arial"/>
          <w:sz w:val="20"/>
          <w:szCs w:val="20"/>
          <w:b w:val="1"/>
          <w:bCs w:val="1"/>
          <w:color w:val="231F20"/>
        </w:rPr>
        <w:t>Director Experience, Qualifications, Attributes and Skills Criteria</w:t>
      </w:r>
    </w:p>
    <w:p>
      <w:pPr>
        <w:spacing w:after="0" w:line="191" w:lineRule="exact"/>
        <w:rPr>
          <w:sz w:val="20"/>
          <w:szCs w:val="20"/>
          <w:color w:val="auto"/>
        </w:rPr>
      </w:pPr>
    </w:p>
    <w:p>
      <w:pPr>
        <w:spacing w:after="0"/>
        <w:rPr>
          <w:sz w:val="20"/>
          <w:szCs w:val="20"/>
          <w:color w:val="auto"/>
        </w:rPr>
      </w:pPr>
      <w:r>
        <w:rPr>
          <w:rFonts w:ascii="Arial" w:cs="Arial" w:eastAsia="Arial" w:hAnsi="Arial"/>
          <w:sz w:val="14"/>
          <w:szCs w:val="14"/>
          <w:color w:val="231F20"/>
        </w:rPr>
        <w:t>The chart below summarizes the experience, qualifications, attributes, and skills of each of the nominees:</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980" w:type="dxa"/>
            <w:vAlign w:val="bottom"/>
          </w:tcPr>
          <w:p>
            <w:pPr>
              <w:spacing w:after="0"/>
              <w:rPr>
                <w:sz w:val="20"/>
                <w:szCs w:val="20"/>
                <w:color w:val="auto"/>
              </w:rPr>
            </w:pPr>
            <w:r>
              <w:rPr>
                <w:rFonts w:ascii="Arial" w:cs="Arial" w:eastAsia="Arial" w:hAnsi="Arial"/>
                <w:sz w:val="14"/>
                <w:szCs w:val="14"/>
                <w:b w:val="1"/>
                <w:bCs w:val="1"/>
                <w:color w:val="4395D4"/>
              </w:rPr>
              <w:t>Experience,</w:t>
            </w:r>
          </w:p>
        </w:tc>
        <w:tc>
          <w:tcPr>
            <w:tcW w:w="1360" w:type="dxa"/>
            <w:vAlign w:val="bottom"/>
            <w:vMerge w:val="restart"/>
          </w:tcPr>
          <w:p>
            <w:pPr>
              <w:jc w:val="center"/>
              <w:ind w:left="248"/>
              <w:spacing w:after="0"/>
              <w:rPr>
                <w:sz w:val="20"/>
                <w:szCs w:val="20"/>
                <w:color w:val="auto"/>
              </w:rPr>
            </w:pPr>
            <w:r>
              <w:rPr>
                <w:rFonts w:ascii="Arial" w:cs="Arial" w:eastAsia="Arial" w:hAnsi="Arial"/>
                <w:sz w:val="14"/>
                <w:szCs w:val="14"/>
                <w:color w:val="455986"/>
              </w:rPr>
              <w:t>Utility</w:t>
            </w:r>
          </w:p>
        </w:tc>
        <w:tc>
          <w:tcPr>
            <w:tcW w:w="12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0" w:type="dxa"/>
            <w:vAlign w:val="bottom"/>
            <w:vMerge w:val="restart"/>
          </w:tcPr>
          <w:p>
            <w:pPr>
              <w:jc w:val="center"/>
              <w:spacing w:after="0"/>
              <w:rPr>
                <w:sz w:val="20"/>
                <w:szCs w:val="20"/>
                <w:color w:val="auto"/>
              </w:rPr>
            </w:pPr>
            <w:r>
              <w:rPr>
                <w:rFonts w:ascii="Arial" w:cs="Arial" w:eastAsia="Arial" w:hAnsi="Arial"/>
                <w:sz w:val="14"/>
                <w:szCs w:val="14"/>
                <w:color w:val="455986"/>
                <w:w w:val="99"/>
              </w:rPr>
              <w:t>Legal/</w:t>
            </w:r>
          </w:p>
        </w:tc>
        <w:tc>
          <w:tcPr>
            <w:tcW w:w="1080" w:type="dxa"/>
            <w:vAlign w:val="bottom"/>
          </w:tcPr>
          <w:p>
            <w:pPr>
              <w:spacing w:after="0"/>
              <w:rPr>
                <w:sz w:val="14"/>
                <w:szCs w:val="14"/>
                <w:color w:val="auto"/>
              </w:rPr>
            </w:pPr>
          </w:p>
        </w:tc>
        <w:tc>
          <w:tcPr>
            <w:tcW w:w="1140" w:type="dxa"/>
            <w:vAlign w:val="bottom"/>
            <w:vMerge w:val="restart"/>
          </w:tcPr>
          <w:p>
            <w:pPr>
              <w:jc w:val="center"/>
              <w:spacing w:after="0"/>
              <w:rPr>
                <w:sz w:val="20"/>
                <w:szCs w:val="20"/>
                <w:color w:val="auto"/>
              </w:rPr>
            </w:pPr>
            <w:r>
              <w:rPr>
                <w:rFonts w:ascii="Arial" w:cs="Arial" w:eastAsia="Arial" w:hAnsi="Arial"/>
                <w:sz w:val="14"/>
                <w:szCs w:val="14"/>
                <w:color w:val="455986"/>
              </w:rPr>
              <w:t>Mergers &amp;</w:t>
            </w:r>
          </w:p>
        </w:tc>
        <w:tc>
          <w:tcPr>
            <w:tcW w:w="1120" w:type="dxa"/>
            <w:vAlign w:val="bottom"/>
            <w:vMerge w:val="restart"/>
          </w:tcPr>
          <w:p>
            <w:pPr>
              <w:jc w:val="center"/>
              <w:spacing w:after="0"/>
              <w:rPr>
                <w:sz w:val="20"/>
                <w:szCs w:val="20"/>
                <w:color w:val="auto"/>
              </w:rPr>
            </w:pPr>
            <w:r>
              <w:rPr>
                <w:rFonts w:ascii="Arial" w:cs="Arial" w:eastAsia="Arial" w:hAnsi="Arial"/>
                <w:sz w:val="14"/>
                <w:szCs w:val="14"/>
                <w:color w:val="455986"/>
              </w:rPr>
              <w:t>Geographic</w:t>
            </w:r>
          </w:p>
        </w:tc>
        <w:tc>
          <w:tcPr>
            <w:tcW w:w="1120" w:type="dxa"/>
            <w:vAlign w:val="bottom"/>
            <w:vMerge w:val="restart"/>
          </w:tcPr>
          <w:p>
            <w:pPr>
              <w:jc w:val="center"/>
              <w:spacing w:after="0"/>
              <w:rPr>
                <w:sz w:val="20"/>
                <w:szCs w:val="20"/>
                <w:color w:val="auto"/>
              </w:rPr>
            </w:pPr>
            <w:r>
              <w:rPr>
                <w:rFonts w:ascii="Arial" w:cs="Arial" w:eastAsia="Arial" w:hAnsi="Arial"/>
                <w:sz w:val="14"/>
                <w:szCs w:val="14"/>
                <w:color w:val="455986"/>
              </w:rPr>
              <w:t>C-Suite</w:t>
            </w:r>
          </w:p>
        </w:tc>
        <w:tc>
          <w:tcPr>
            <w:tcW w:w="0" w:type="dxa"/>
            <w:vAlign w:val="bottom"/>
          </w:tcPr>
          <w:p>
            <w:pPr>
              <w:spacing w:after="0"/>
              <w:rPr>
                <w:sz w:val="1"/>
                <w:szCs w:val="1"/>
                <w:color w:val="auto"/>
              </w:rPr>
            </w:pPr>
          </w:p>
        </w:tc>
      </w:tr>
      <w:tr>
        <w:trPr>
          <w:trHeight w:val="153"/>
        </w:trPr>
        <w:tc>
          <w:tcPr>
            <w:tcW w:w="1980" w:type="dxa"/>
            <w:vAlign w:val="bottom"/>
          </w:tcPr>
          <w:p>
            <w:pPr>
              <w:spacing w:after="0" w:line="153" w:lineRule="exact"/>
              <w:rPr>
                <w:sz w:val="20"/>
                <w:szCs w:val="20"/>
                <w:color w:val="auto"/>
              </w:rPr>
            </w:pPr>
            <w:r>
              <w:rPr>
                <w:rFonts w:ascii="Arial" w:cs="Arial" w:eastAsia="Arial" w:hAnsi="Arial"/>
                <w:sz w:val="14"/>
                <w:szCs w:val="14"/>
                <w:b w:val="1"/>
                <w:bCs w:val="1"/>
                <w:color w:val="4395D4"/>
              </w:rPr>
              <w:t>Qualifications,</w:t>
            </w:r>
          </w:p>
        </w:tc>
        <w:tc>
          <w:tcPr>
            <w:tcW w:w="1360" w:type="dxa"/>
            <w:vAlign w:val="bottom"/>
            <w:vMerge w:val="continue"/>
          </w:tcPr>
          <w:p>
            <w:pPr>
              <w:spacing w:after="0"/>
              <w:rPr>
                <w:sz w:val="13"/>
                <w:szCs w:val="13"/>
                <w:color w:val="auto"/>
              </w:rPr>
            </w:pPr>
          </w:p>
        </w:tc>
        <w:tc>
          <w:tcPr>
            <w:tcW w:w="1200" w:type="dxa"/>
            <w:vAlign w:val="bottom"/>
            <w:vMerge w:val="restart"/>
          </w:tcPr>
          <w:p>
            <w:pPr>
              <w:jc w:val="center"/>
              <w:spacing w:after="0"/>
              <w:rPr>
                <w:sz w:val="20"/>
                <w:szCs w:val="20"/>
                <w:color w:val="auto"/>
              </w:rPr>
            </w:pPr>
            <w:r>
              <w:rPr>
                <w:rFonts w:ascii="Arial" w:cs="Arial" w:eastAsia="Arial" w:hAnsi="Arial"/>
                <w:sz w:val="14"/>
                <w:szCs w:val="14"/>
                <w:color w:val="455986"/>
              </w:rPr>
              <w:t>Regulatory</w:t>
            </w:r>
          </w:p>
        </w:tc>
        <w:tc>
          <w:tcPr>
            <w:tcW w:w="1040" w:type="dxa"/>
            <w:vAlign w:val="bottom"/>
            <w:vMerge w:val="restart"/>
          </w:tcPr>
          <w:p>
            <w:pPr>
              <w:jc w:val="center"/>
              <w:spacing w:after="0"/>
              <w:rPr>
                <w:sz w:val="20"/>
                <w:szCs w:val="20"/>
                <w:color w:val="auto"/>
              </w:rPr>
            </w:pPr>
            <w:r>
              <w:rPr>
                <w:rFonts w:ascii="Arial" w:cs="Arial" w:eastAsia="Arial" w:hAnsi="Arial"/>
                <w:sz w:val="14"/>
                <w:szCs w:val="14"/>
                <w:color w:val="455986"/>
              </w:rPr>
              <w:t>Financial</w:t>
            </w:r>
          </w:p>
        </w:tc>
        <w:tc>
          <w:tcPr>
            <w:tcW w:w="1200" w:type="dxa"/>
            <w:vAlign w:val="bottom"/>
            <w:vMerge w:val="continue"/>
          </w:tcPr>
          <w:p>
            <w:pPr>
              <w:spacing w:after="0"/>
              <w:rPr>
                <w:sz w:val="13"/>
                <w:szCs w:val="13"/>
                <w:color w:val="auto"/>
              </w:rPr>
            </w:pPr>
          </w:p>
        </w:tc>
        <w:tc>
          <w:tcPr>
            <w:tcW w:w="1080" w:type="dxa"/>
            <w:vAlign w:val="bottom"/>
            <w:vMerge w:val="restart"/>
          </w:tcPr>
          <w:p>
            <w:pPr>
              <w:jc w:val="center"/>
              <w:spacing w:after="0"/>
              <w:rPr>
                <w:sz w:val="20"/>
                <w:szCs w:val="20"/>
                <w:color w:val="auto"/>
              </w:rPr>
            </w:pPr>
            <w:r>
              <w:rPr>
                <w:rFonts w:ascii="Arial" w:cs="Arial" w:eastAsia="Arial" w:hAnsi="Arial"/>
                <w:sz w:val="14"/>
                <w:szCs w:val="14"/>
                <w:color w:val="455986"/>
              </w:rPr>
              <w:t>Leadership</w:t>
            </w:r>
          </w:p>
        </w:tc>
        <w:tc>
          <w:tcPr>
            <w:tcW w:w="1140" w:type="dxa"/>
            <w:vAlign w:val="bottom"/>
            <w:vMerge w:val="continue"/>
          </w:tcPr>
          <w:p>
            <w:pPr>
              <w:spacing w:after="0"/>
              <w:rPr>
                <w:sz w:val="13"/>
                <w:szCs w:val="13"/>
                <w:color w:val="auto"/>
              </w:rPr>
            </w:pPr>
          </w:p>
        </w:tc>
        <w:tc>
          <w:tcPr>
            <w:tcW w:w="1120" w:type="dxa"/>
            <w:vAlign w:val="bottom"/>
            <w:vMerge w:val="continue"/>
          </w:tcPr>
          <w:p>
            <w:pPr>
              <w:spacing w:after="0"/>
              <w:rPr>
                <w:sz w:val="13"/>
                <w:szCs w:val="13"/>
                <w:color w:val="auto"/>
              </w:rPr>
            </w:pPr>
          </w:p>
        </w:tc>
        <w:tc>
          <w:tcPr>
            <w:tcW w:w="11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2"/>
        </w:trPr>
        <w:tc>
          <w:tcPr>
            <w:tcW w:w="1980" w:type="dxa"/>
            <w:vAlign w:val="bottom"/>
            <w:tcBorders>
              <w:bottom w:val="single" w:sz="8" w:color="4395D4"/>
            </w:tcBorders>
          </w:tcPr>
          <w:p>
            <w:pPr>
              <w:spacing w:after="0"/>
              <w:rPr>
                <w:sz w:val="20"/>
                <w:szCs w:val="20"/>
                <w:color w:val="auto"/>
              </w:rPr>
            </w:pPr>
            <w:r>
              <w:rPr>
                <w:rFonts w:ascii="Arial" w:cs="Arial" w:eastAsia="Arial" w:hAnsi="Arial"/>
                <w:sz w:val="14"/>
                <w:szCs w:val="14"/>
                <w:b w:val="1"/>
                <w:bCs w:val="1"/>
                <w:color w:val="4395D4"/>
              </w:rPr>
              <w:t>Attributes and Skills</w:t>
            </w:r>
          </w:p>
        </w:tc>
        <w:tc>
          <w:tcPr>
            <w:tcW w:w="1360" w:type="dxa"/>
            <w:vAlign w:val="bottom"/>
            <w:tcBorders>
              <w:bottom w:val="single" w:sz="8" w:color="4395D4"/>
            </w:tcBorders>
          </w:tcPr>
          <w:p>
            <w:pPr>
              <w:jc w:val="center"/>
              <w:ind w:left="248"/>
              <w:spacing w:after="0"/>
              <w:rPr>
                <w:sz w:val="20"/>
                <w:szCs w:val="20"/>
                <w:color w:val="auto"/>
              </w:rPr>
            </w:pPr>
            <w:r>
              <w:rPr>
                <w:rFonts w:ascii="Arial" w:cs="Arial" w:eastAsia="Arial" w:hAnsi="Arial"/>
                <w:sz w:val="14"/>
                <w:szCs w:val="14"/>
                <w:color w:val="455986"/>
              </w:rPr>
              <w:t>Industry</w:t>
            </w:r>
          </w:p>
        </w:tc>
        <w:tc>
          <w:tcPr>
            <w:tcW w:w="1200" w:type="dxa"/>
            <w:vAlign w:val="bottom"/>
            <w:tcBorders>
              <w:bottom w:val="single" w:sz="8" w:color="4395D4"/>
            </w:tcBorders>
            <w:vMerge w:val="continue"/>
          </w:tcPr>
          <w:p>
            <w:pPr>
              <w:spacing w:after="0"/>
              <w:rPr>
                <w:sz w:val="17"/>
                <w:szCs w:val="17"/>
                <w:color w:val="auto"/>
              </w:rPr>
            </w:pPr>
          </w:p>
        </w:tc>
        <w:tc>
          <w:tcPr>
            <w:tcW w:w="1040" w:type="dxa"/>
            <w:vAlign w:val="bottom"/>
            <w:tcBorders>
              <w:bottom w:val="single" w:sz="8" w:color="4395D4"/>
            </w:tcBorders>
            <w:vMerge w:val="continue"/>
          </w:tcPr>
          <w:p>
            <w:pPr>
              <w:spacing w:after="0"/>
              <w:rPr>
                <w:sz w:val="17"/>
                <w:szCs w:val="17"/>
                <w:color w:val="auto"/>
              </w:rPr>
            </w:pPr>
          </w:p>
        </w:tc>
        <w:tc>
          <w:tcPr>
            <w:tcW w:w="1200" w:type="dxa"/>
            <w:vAlign w:val="bottom"/>
            <w:tcBorders>
              <w:bottom w:val="single" w:sz="8" w:color="4395D4"/>
            </w:tcBorders>
          </w:tcPr>
          <w:p>
            <w:pPr>
              <w:jc w:val="center"/>
              <w:spacing w:after="0"/>
              <w:rPr>
                <w:sz w:val="20"/>
                <w:szCs w:val="20"/>
                <w:color w:val="auto"/>
              </w:rPr>
            </w:pPr>
            <w:r>
              <w:rPr>
                <w:rFonts w:ascii="Arial" w:cs="Arial" w:eastAsia="Arial" w:hAnsi="Arial"/>
                <w:sz w:val="14"/>
                <w:szCs w:val="14"/>
                <w:color w:val="455986"/>
              </w:rPr>
              <w:t>Government</w:t>
            </w:r>
          </w:p>
        </w:tc>
        <w:tc>
          <w:tcPr>
            <w:tcW w:w="1080" w:type="dxa"/>
            <w:vAlign w:val="bottom"/>
            <w:tcBorders>
              <w:bottom w:val="single" w:sz="8" w:color="4395D4"/>
            </w:tcBorders>
            <w:vMerge w:val="continue"/>
          </w:tcPr>
          <w:p>
            <w:pPr>
              <w:spacing w:after="0"/>
              <w:rPr>
                <w:sz w:val="17"/>
                <w:szCs w:val="17"/>
                <w:color w:val="auto"/>
              </w:rPr>
            </w:pPr>
          </w:p>
        </w:tc>
        <w:tc>
          <w:tcPr>
            <w:tcW w:w="1140" w:type="dxa"/>
            <w:vAlign w:val="bottom"/>
            <w:tcBorders>
              <w:bottom w:val="single" w:sz="8" w:color="4395D4"/>
            </w:tcBorders>
          </w:tcPr>
          <w:p>
            <w:pPr>
              <w:jc w:val="center"/>
              <w:spacing w:after="0"/>
              <w:rPr>
                <w:sz w:val="20"/>
                <w:szCs w:val="20"/>
                <w:color w:val="auto"/>
              </w:rPr>
            </w:pPr>
            <w:r>
              <w:rPr>
                <w:rFonts w:ascii="Arial" w:cs="Arial" w:eastAsia="Arial" w:hAnsi="Arial"/>
                <w:sz w:val="14"/>
                <w:szCs w:val="14"/>
                <w:color w:val="455986"/>
              </w:rPr>
              <w:t>Acquisitions</w:t>
            </w:r>
          </w:p>
        </w:tc>
        <w:tc>
          <w:tcPr>
            <w:tcW w:w="1120" w:type="dxa"/>
            <w:vAlign w:val="bottom"/>
            <w:tcBorders>
              <w:bottom w:val="single" w:sz="8" w:color="4395D4"/>
            </w:tcBorders>
          </w:tcPr>
          <w:p>
            <w:pPr>
              <w:jc w:val="center"/>
              <w:spacing w:after="0"/>
              <w:rPr>
                <w:sz w:val="20"/>
                <w:szCs w:val="20"/>
                <w:color w:val="auto"/>
              </w:rPr>
            </w:pPr>
            <w:r>
              <w:rPr>
                <w:rFonts w:ascii="Arial" w:cs="Arial" w:eastAsia="Arial" w:hAnsi="Arial"/>
                <w:sz w:val="14"/>
                <w:szCs w:val="14"/>
                <w:color w:val="455986"/>
              </w:rPr>
              <w:t>Diversity</w:t>
            </w:r>
          </w:p>
        </w:tc>
        <w:tc>
          <w:tcPr>
            <w:tcW w:w="1120" w:type="dxa"/>
            <w:vAlign w:val="bottom"/>
            <w:tcBorders>
              <w:bottom w:val="single" w:sz="8" w:color="4395D4"/>
            </w:tcBorders>
          </w:tcPr>
          <w:p>
            <w:pPr>
              <w:jc w:val="center"/>
              <w:spacing w:after="0"/>
              <w:rPr>
                <w:sz w:val="20"/>
                <w:szCs w:val="20"/>
                <w:color w:val="auto"/>
              </w:rPr>
            </w:pPr>
            <w:r>
              <w:rPr>
                <w:rFonts w:ascii="Arial" w:cs="Arial" w:eastAsia="Arial" w:hAnsi="Arial"/>
                <w:sz w:val="14"/>
                <w:szCs w:val="14"/>
                <w:color w:val="455986"/>
              </w:rPr>
              <w:t>Experience</w:t>
            </w:r>
          </w:p>
        </w:tc>
        <w:tc>
          <w:tcPr>
            <w:tcW w:w="0" w:type="dxa"/>
            <w:vAlign w:val="bottom"/>
          </w:tcPr>
          <w:p>
            <w:pPr>
              <w:spacing w:after="0"/>
              <w:rPr>
                <w:sz w:val="1"/>
                <w:szCs w:val="1"/>
                <w:color w:val="auto"/>
              </w:rPr>
            </w:pPr>
          </w:p>
        </w:tc>
      </w:tr>
      <w:tr>
        <w:trPr>
          <w:trHeight w:val="197"/>
        </w:trPr>
        <w:tc>
          <w:tcPr>
            <w:tcW w:w="1980" w:type="dxa"/>
            <w:vAlign w:val="bottom"/>
            <w:tcBorders>
              <w:bottom w:val="single" w:sz="8" w:color="231F20"/>
            </w:tcBorders>
          </w:tcPr>
          <w:p>
            <w:pPr>
              <w:ind w:left="20"/>
              <w:spacing w:after="0"/>
              <w:rPr>
                <w:sz w:val="20"/>
                <w:szCs w:val="20"/>
                <w:color w:val="auto"/>
              </w:rPr>
            </w:pPr>
            <w:r>
              <w:rPr>
                <w:rFonts w:ascii="Arial" w:cs="Arial" w:eastAsia="Arial" w:hAnsi="Arial"/>
                <w:sz w:val="14"/>
                <w:szCs w:val="14"/>
                <w:b w:val="1"/>
                <w:bCs w:val="1"/>
                <w:color w:val="455986"/>
              </w:rPr>
              <w:t>Amato</w:t>
            </w:r>
          </w:p>
        </w:tc>
        <w:tc>
          <w:tcPr>
            <w:tcW w:w="1360" w:type="dxa"/>
            <w:vAlign w:val="bottom"/>
            <w:tcBorders>
              <w:bottom w:val="single" w:sz="8" w:color="231F20"/>
            </w:tcBorders>
          </w:tcPr>
          <w:p>
            <w:pPr>
              <w:spacing w:after="0"/>
              <w:rPr>
                <w:sz w:val="17"/>
                <w:szCs w:val="17"/>
                <w:color w:val="auto"/>
              </w:rPr>
            </w:pPr>
          </w:p>
        </w:tc>
        <w:tc>
          <w:tcPr>
            <w:tcW w:w="1200" w:type="dxa"/>
            <w:vAlign w:val="bottom"/>
            <w:tcBorders>
              <w:bottom w:val="single" w:sz="8" w:color="231F20"/>
            </w:tcBorders>
          </w:tcPr>
          <w:p>
            <w:pPr>
              <w:spacing w:after="0"/>
              <w:rPr>
                <w:sz w:val="17"/>
                <w:szCs w:val="17"/>
                <w:color w:val="auto"/>
              </w:rPr>
            </w:pPr>
          </w:p>
        </w:tc>
        <w:tc>
          <w:tcPr>
            <w:tcW w:w="1040" w:type="dxa"/>
            <w:vAlign w:val="bottom"/>
            <w:tcBorders>
              <w:bottom w:val="single" w:sz="8" w:color="231F20"/>
            </w:tcBorders>
          </w:tcPr>
          <w:p>
            <w:pPr>
              <w:spacing w:after="0"/>
              <w:rPr>
                <w:sz w:val="17"/>
                <w:szCs w:val="17"/>
                <w:color w:val="auto"/>
              </w:rPr>
            </w:pPr>
          </w:p>
        </w:tc>
        <w:tc>
          <w:tcPr>
            <w:tcW w:w="1200" w:type="dxa"/>
            <w:vAlign w:val="bottom"/>
            <w:tcBorders>
              <w:bottom w:val="single" w:sz="8" w:color="231F20"/>
            </w:tcBorders>
          </w:tcPr>
          <w:p>
            <w:pPr>
              <w:jc w:val="center"/>
              <w:spacing w:after="0"/>
              <w:rPr>
                <w:sz w:val="20"/>
                <w:szCs w:val="20"/>
                <w:color w:val="auto"/>
              </w:rPr>
            </w:pPr>
            <w:r>
              <w:rPr>
                <w:rFonts w:ascii="Arial" w:cs="Arial" w:eastAsia="Arial" w:hAnsi="Arial"/>
                <w:sz w:val="14"/>
                <w:szCs w:val="14"/>
                <w:color w:val="455986"/>
              </w:rPr>
              <w:t>●</w:t>
            </w:r>
          </w:p>
        </w:tc>
        <w:tc>
          <w:tcPr>
            <w:tcW w:w="1080" w:type="dxa"/>
            <w:vAlign w:val="bottom"/>
            <w:tcBorders>
              <w:bottom w:val="single" w:sz="8" w:color="231F20"/>
            </w:tcBorders>
          </w:tcPr>
          <w:p>
            <w:pPr>
              <w:jc w:val="center"/>
              <w:spacing w:after="0"/>
              <w:rPr>
                <w:sz w:val="20"/>
                <w:szCs w:val="20"/>
                <w:color w:val="auto"/>
              </w:rPr>
            </w:pPr>
            <w:r>
              <w:rPr>
                <w:rFonts w:ascii="Arial" w:cs="Arial" w:eastAsia="Arial" w:hAnsi="Arial"/>
                <w:sz w:val="14"/>
                <w:szCs w:val="14"/>
                <w:color w:val="455986"/>
                <w:w w:val="94"/>
              </w:rPr>
              <w:t>●</w:t>
            </w:r>
          </w:p>
        </w:tc>
        <w:tc>
          <w:tcPr>
            <w:tcW w:w="1140" w:type="dxa"/>
            <w:vAlign w:val="bottom"/>
            <w:tcBorders>
              <w:bottom w:val="single" w:sz="8" w:color="231F20"/>
            </w:tcBorders>
          </w:tcPr>
          <w:p>
            <w:pPr>
              <w:jc w:val="center"/>
              <w:spacing w:after="0"/>
              <w:rPr>
                <w:sz w:val="20"/>
                <w:szCs w:val="20"/>
                <w:color w:val="auto"/>
              </w:rPr>
            </w:pPr>
            <w:r>
              <w:rPr>
                <w:rFonts w:ascii="Arial" w:cs="Arial" w:eastAsia="Arial" w:hAnsi="Arial"/>
                <w:sz w:val="14"/>
                <w:szCs w:val="14"/>
                <w:color w:val="455986"/>
                <w:w w:val="94"/>
              </w:rPr>
              <w:t>●</w:t>
            </w:r>
          </w:p>
        </w:tc>
        <w:tc>
          <w:tcPr>
            <w:tcW w:w="1120" w:type="dxa"/>
            <w:vAlign w:val="bottom"/>
            <w:tcBorders>
              <w:bottom w:val="single" w:sz="8" w:color="231F20"/>
            </w:tcBorders>
          </w:tcPr>
          <w:p>
            <w:pPr>
              <w:jc w:val="center"/>
              <w:spacing w:after="0"/>
              <w:rPr>
                <w:sz w:val="20"/>
                <w:szCs w:val="20"/>
                <w:color w:val="auto"/>
              </w:rPr>
            </w:pPr>
            <w:r>
              <w:rPr>
                <w:rFonts w:ascii="Arial" w:cs="Arial" w:eastAsia="Arial" w:hAnsi="Arial"/>
                <w:sz w:val="14"/>
                <w:szCs w:val="14"/>
                <w:color w:val="455986"/>
                <w:w w:val="94"/>
              </w:rPr>
              <w:t>●</w:t>
            </w:r>
          </w:p>
        </w:tc>
        <w:tc>
          <w:tcPr>
            <w:tcW w:w="1120" w:type="dxa"/>
            <w:vAlign w:val="bottom"/>
            <w:tcBorders>
              <w:bottom w:val="single" w:sz="8" w:color="231F20"/>
            </w:tcBorders>
          </w:tcPr>
          <w:p>
            <w:pPr>
              <w:jc w:val="center"/>
              <w:spacing w:after="0"/>
              <w:rPr>
                <w:sz w:val="20"/>
                <w:szCs w:val="20"/>
                <w:color w:val="auto"/>
              </w:rPr>
            </w:pPr>
            <w:r>
              <w:rPr>
                <w:rFonts w:ascii="Arial" w:cs="Arial" w:eastAsia="Arial" w:hAnsi="Arial"/>
                <w:sz w:val="14"/>
                <w:szCs w:val="14"/>
                <w:color w:val="455986"/>
                <w:w w:val="94"/>
              </w:rPr>
              <w:t>●</w:t>
            </w:r>
          </w:p>
        </w:tc>
        <w:tc>
          <w:tcPr>
            <w:tcW w:w="0" w:type="dxa"/>
            <w:vAlign w:val="bottom"/>
          </w:tcPr>
          <w:p>
            <w:pPr>
              <w:spacing w:after="0"/>
              <w:rPr>
                <w:sz w:val="1"/>
                <w:szCs w:val="1"/>
                <w:color w:val="auto"/>
              </w:rPr>
            </w:pPr>
          </w:p>
        </w:tc>
      </w:tr>
      <w:tr>
        <w:trPr>
          <w:trHeight w:val="197"/>
        </w:trPr>
        <w:tc>
          <w:tcPr>
            <w:tcW w:w="1980" w:type="dxa"/>
            <w:vAlign w:val="bottom"/>
            <w:tcBorders>
              <w:bottom w:val="single" w:sz="8" w:color="231F20"/>
            </w:tcBorders>
          </w:tcPr>
          <w:p>
            <w:pPr>
              <w:ind w:left="20"/>
              <w:spacing w:after="0"/>
              <w:rPr>
                <w:sz w:val="20"/>
                <w:szCs w:val="20"/>
                <w:color w:val="auto"/>
              </w:rPr>
            </w:pPr>
            <w:r>
              <w:rPr>
                <w:rFonts w:ascii="Arial" w:cs="Arial" w:eastAsia="Arial" w:hAnsi="Arial"/>
                <w:sz w:val="14"/>
                <w:szCs w:val="14"/>
                <w:b w:val="1"/>
                <w:bCs w:val="1"/>
                <w:color w:val="455986"/>
              </w:rPr>
              <w:t>Franklin</w:t>
            </w:r>
          </w:p>
        </w:tc>
        <w:tc>
          <w:tcPr>
            <w:tcW w:w="1360" w:type="dxa"/>
            <w:vAlign w:val="bottom"/>
            <w:tcBorders>
              <w:bottom w:val="single" w:sz="8" w:color="231F20"/>
            </w:tcBorders>
          </w:tcPr>
          <w:p>
            <w:pPr>
              <w:jc w:val="center"/>
              <w:ind w:left="248"/>
              <w:spacing w:after="0"/>
              <w:rPr>
                <w:sz w:val="20"/>
                <w:szCs w:val="20"/>
                <w:color w:val="auto"/>
              </w:rPr>
            </w:pPr>
            <w:r>
              <w:rPr>
                <w:rFonts w:ascii="Arial" w:cs="Arial" w:eastAsia="Arial" w:hAnsi="Arial"/>
                <w:sz w:val="14"/>
                <w:szCs w:val="14"/>
                <w:color w:val="455986"/>
                <w:w w:val="94"/>
              </w:rPr>
              <w:t>●</w:t>
            </w:r>
          </w:p>
        </w:tc>
        <w:tc>
          <w:tcPr>
            <w:tcW w:w="1200" w:type="dxa"/>
            <w:vAlign w:val="bottom"/>
            <w:tcBorders>
              <w:bottom w:val="single" w:sz="8" w:color="231F20"/>
            </w:tcBorders>
          </w:tcPr>
          <w:p>
            <w:pPr>
              <w:jc w:val="center"/>
              <w:spacing w:after="0"/>
              <w:rPr>
                <w:sz w:val="20"/>
                <w:szCs w:val="20"/>
                <w:color w:val="auto"/>
              </w:rPr>
            </w:pPr>
            <w:r>
              <w:rPr>
                <w:rFonts w:ascii="Arial" w:cs="Arial" w:eastAsia="Arial" w:hAnsi="Arial"/>
                <w:sz w:val="14"/>
                <w:szCs w:val="14"/>
                <w:color w:val="455986"/>
                <w:w w:val="94"/>
              </w:rPr>
              <w:t>●</w:t>
            </w:r>
          </w:p>
        </w:tc>
        <w:tc>
          <w:tcPr>
            <w:tcW w:w="1040" w:type="dxa"/>
            <w:vAlign w:val="bottom"/>
            <w:tcBorders>
              <w:bottom w:val="single" w:sz="8" w:color="231F20"/>
            </w:tcBorders>
          </w:tcPr>
          <w:p>
            <w:pPr>
              <w:jc w:val="center"/>
              <w:spacing w:after="0"/>
              <w:rPr>
                <w:sz w:val="20"/>
                <w:szCs w:val="20"/>
                <w:color w:val="auto"/>
              </w:rPr>
            </w:pPr>
            <w:r>
              <w:rPr>
                <w:rFonts w:ascii="Arial" w:cs="Arial" w:eastAsia="Arial" w:hAnsi="Arial"/>
                <w:sz w:val="14"/>
                <w:szCs w:val="14"/>
                <w:color w:val="455986"/>
              </w:rPr>
              <w:t>●</w:t>
            </w:r>
          </w:p>
        </w:tc>
        <w:tc>
          <w:tcPr>
            <w:tcW w:w="1200" w:type="dxa"/>
            <w:vAlign w:val="bottom"/>
            <w:tcBorders>
              <w:bottom w:val="single" w:sz="8" w:color="231F20"/>
            </w:tcBorders>
          </w:tcPr>
          <w:p>
            <w:pPr>
              <w:jc w:val="center"/>
              <w:spacing w:after="0"/>
              <w:rPr>
                <w:sz w:val="20"/>
                <w:szCs w:val="20"/>
                <w:color w:val="auto"/>
              </w:rPr>
            </w:pPr>
            <w:r>
              <w:rPr>
                <w:rFonts w:ascii="Arial" w:cs="Arial" w:eastAsia="Arial" w:hAnsi="Arial"/>
                <w:sz w:val="14"/>
                <w:szCs w:val="14"/>
                <w:color w:val="455986"/>
              </w:rPr>
              <w:t>●</w:t>
            </w:r>
          </w:p>
        </w:tc>
        <w:tc>
          <w:tcPr>
            <w:tcW w:w="1080" w:type="dxa"/>
            <w:vAlign w:val="bottom"/>
            <w:tcBorders>
              <w:bottom w:val="single" w:sz="8" w:color="231F20"/>
            </w:tcBorders>
          </w:tcPr>
          <w:p>
            <w:pPr>
              <w:jc w:val="center"/>
              <w:spacing w:after="0"/>
              <w:rPr>
                <w:sz w:val="20"/>
                <w:szCs w:val="20"/>
                <w:color w:val="auto"/>
              </w:rPr>
            </w:pPr>
            <w:r>
              <w:rPr>
                <w:rFonts w:ascii="Arial" w:cs="Arial" w:eastAsia="Arial" w:hAnsi="Arial"/>
                <w:sz w:val="14"/>
                <w:szCs w:val="14"/>
                <w:color w:val="455986"/>
                <w:w w:val="94"/>
              </w:rPr>
              <w:t>●</w:t>
            </w:r>
          </w:p>
        </w:tc>
        <w:tc>
          <w:tcPr>
            <w:tcW w:w="1140" w:type="dxa"/>
            <w:vAlign w:val="bottom"/>
            <w:tcBorders>
              <w:bottom w:val="single" w:sz="8" w:color="231F20"/>
            </w:tcBorders>
          </w:tcPr>
          <w:p>
            <w:pPr>
              <w:jc w:val="center"/>
              <w:spacing w:after="0"/>
              <w:rPr>
                <w:sz w:val="20"/>
                <w:szCs w:val="20"/>
                <w:color w:val="auto"/>
              </w:rPr>
            </w:pPr>
            <w:r>
              <w:rPr>
                <w:rFonts w:ascii="Arial" w:cs="Arial" w:eastAsia="Arial" w:hAnsi="Arial"/>
                <w:sz w:val="14"/>
                <w:szCs w:val="14"/>
                <w:color w:val="455986"/>
                <w:w w:val="94"/>
              </w:rPr>
              <w:t>●</w:t>
            </w:r>
          </w:p>
        </w:tc>
        <w:tc>
          <w:tcPr>
            <w:tcW w:w="1120" w:type="dxa"/>
            <w:vAlign w:val="bottom"/>
            <w:tcBorders>
              <w:bottom w:val="single" w:sz="8" w:color="231F20"/>
            </w:tcBorders>
          </w:tcPr>
          <w:p>
            <w:pPr>
              <w:spacing w:after="0"/>
              <w:rPr>
                <w:sz w:val="17"/>
                <w:szCs w:val="17"/>
                <w:color w:val="auto"/>
              </w:rPr>
            </w:pPr>
          </w:p>
        </w:tc>
        <w:tc>
          <w:tcPr>
            <w:tcW w:w="1120" w:type="dxa"/>
            <w:vAlign w:val="bottom"/>
            <w:tcBorders>
              <w:bottom w:val="single" w:sz="8" w:color="231F20"/>
            </w:tcBorders>
          </w:tcPr>
          <w:p>
            <w:pPr>
              <w:jc w:val="center"/>
              <w:spacing w:after="0"/>
              <w:rPr>
                <w:sz w:val="20"/>
                <w:szCs w:val="20"/>
                <w:color w:val="auto"/>
              </w:rPr>
            </w:pPr>
            <w:r>
              <w:rPr>
                <w:rFonts w:ascii="Arial" w:cs="Arial" w:eastAsia="Arial" w:hAnsi="Arial"/>
                <w:sz w:val="14"/>
                <w:szCs w:val="14"/>
                <w:color w:val="455986"/>
                <w:w w:val="94"/>
              </w:rPr>
              <w:t>●</w:t>
            </w:r>
          </w:p>
        </w:tc>
        <w:tc>
          <w:tcPr>
            <w:tcW w:w="0" w:type="dxa"/>
            <w:vAlign w:val="bottom"/>
          </w:tcPr>
          <w:p>
            <w:pPr>
              <w:spacing w:after="0"/>
              <w:rPr>
                <w:sz w:val="1"/>
                <w:szCs w:val="1"/>
                <w:color w:val="auto"/>
              </w:rPr>
            </w:pPr>
          </w:p>
        </w:tc>
      </w:tr>
      <w:tr>
        <w:trPr>
          <w:trHeight w:val="197"/>
        </w:trPr>
        <w:tc>
          <w:tcPr>
            <w:tcW w:w="1980" w:type="dxa"/>
            <w:vAlign w:val="bottom"/>
            <w:tcBorders>
              <w:bottom w:val="single" w:sz="8" w:color="231F20"/>
            </w:tcBorders>
          </w:tcPr>
          <w:p>
            <w:pPr>
              <w:ind w:left="20"/>
              <w:spacing w:after="0"/>
              <w:rPr>
                <w:sz w:val="20"/>
                <w:szCs w:val="20"/>
                <w:color w:val="auto"/>
              </w:rPr>
            </w:pPr>
            <w:r>
              <w:rPr>
                <w:rFonts w:ascii="Arial" w:cs="Arial" w:eastAsia="Arial" w:hAnsi="Arial"/>
                <w:sz w:val="14"/>
                <w:szCs w:val="14"/>
                <w:b w:val="1"/>
                <w:bCs w:val="1"/>
                <w:color w:val="455986"/>
              </w:rPr>
              <w:t>Hilferty</w:t>
            </w:r>
          </w:p>
        </w:tc>
        <w:tc>
          <w:tcPr>
            <w:tcW w:w="1360" w:type="dxa"/>
            <w:vAlign w:val="bottom"/>
            <w:tcBorders>
              <w:bottom w:val="single" w:sz="8" w:color="231F20"/>
            </w:tcBorders>
          </w:tcPr>
          <w:p>
            <w:pPr>
              <w:spacing w:after="0"/>
              <w:rPr>
                <w:sz w:val="17"/>
                <w:szCs w:val="17"/>
                <w:color w:val="auto"/>
              </w:rPr>
            </w:pPr>
          </w:p>
        </w:tc>
        <w:tc>
          <w:tcPr>
            <w:tcW w:w="1200" w:type="dxa"/>
            <w:vAlign w:val="bottom"/>
            <w:tcBorders>
              <w:bottom w:val="single" w:sz="8" w:color="231F20"/>
            </w:tcBorders>
          </w:tcPr>
          <w:p>
            <w:pPr>
              <w:jc w:val="center"/>
              <w:spacing w:after="0"/>
              <w:rPr>
                <w:sz w:val="20"/>
                <w:szCs w:val="20"/>
                <w:color w:val="auto"/>
              </w:rPr>
            </w:pPr>
            <w:r>
              <w:rPr>
                <w:rFonts w:ascii="Arial" w:cs="Arial" w:eastAsia="Arial" w:hAnsi="Arial"/>
                <w:sz w:val="14"/>
                <w:szCs w:val="14"/>
                <w:color w:val="455986"/>
                <w:w w:val="94"/>
              </w:rPr>
              <w:t>●</w:t>
            </w:r>
          </w:p>
        </w:tc>
        <w:tc>
          <w:tcPr>
            <w:tcW w:w="1040" w:type="dxa"/>
            <w:vAlign w:val="bottom"/>
            <w:tcBorders>
              <w:bottom w:val="single" w:sz="8" w:color="231F20"/>
            </w:tcBorders>
          </w:tcPr>
          <w:p>
            <w:pPr>
              <w:jc w:val="center"/>
              <w:spacing w:after="0"/>
              <w:rPr>
                <w:sz w:val="20"/>
                <w:szCs w:val="20"/>
                <w:color w:val="auto"/>
              </w:rPr>
            </w:pPr>
            <w:r>
              <w:rPr>
                <w:rFonts w:ascii="Arial" w:cs="Arial" w:eastAsia="Arial" w:hAnsi="Arial"/>
                <w:sz w:val="14"/>
                <w:szCs w:val="14"/>
                <w:color w:val="455986"/>
              </w:rPr>
              <w:t>●</w:t>
            </w:r>
          </w:p>
        </w:tc>
        <w:tc>
          <w:tcPr>
            <w:tcW w:w="1200" w:type="dxa"/>
            <w:vAlign w:val="bottom"/>
            <w:tcBorders>
              <w:bottom w:val="single" w:sz="8" w:color="231F20"/>
            </w:tcBorders>
          </w:tcPr>
          <w:p>
            <w:pPr>
              <w:spacing w:after="0"/>
              <w:rPr>
                <w:sz w:val="17"/>
                <w:szCs w:val="17"/>
                <w:color w:val="auto"/>
              </w:rPr>
            </w:pPr>
          </w:p>
        </w:tc>
        <w:tc>
          <w:tcPr>
            <w:tcW w:w="1080" w:type="dxa"/>
            <w:vAlign w:val="bottom"/>
            <w:tcBorders>
              <w:bottom w:val="single" w:sz="8" w:color="231F20"/>
            </w:tcBorders>
          </w:tcPr>
          <w:p>
            <w:pPr>
              <w:jc w:val="center"/>
              <w:spacing w:after="0"/>
              <w:rPr>
                <w:sz w:val="20"/>
                <w:szCs w:val="20"/>
                <w:color w:val="auto"/>
              </w:rPr>
            </w:pPr>
            <w:r>
              <w:rPr>
                <w:rFonts w:ascii="Arial" w:cs="Arial" w:eastAsia="Arial" w:hAnsi="Arial"/>
                <w:sz w:val="14"/>
                <w:szCs w:val="14"/>
                <w:color w:val="455986"/>
                <w:w w:val="94"/>
              </w:rPr>
              <w:t>●</w:t>
            </w:r>
          </w:p>
        </w:tc>
        <w:tc>
          <w:tcPr>
            <w:tcW w:w="1140" w:type="dxa"/>
            <w:vAlign w:val="bottom"/>
            <w:tcBorders>
              <w:bottom w:val="single" w:sz="8" w:color="231F20"/>
            </w:tcBorders>
          </w:tcPr>
          <w:p>
            <w:pPr>
              <w:jc w:val="center"/>
              <w:spacing w:after="0"/>
              <w:rPr>
                <w:sz w:val="20"/>
                <w:szCs w:val="20"/>
                <w:color w:val="auto"/>
              </w:rPr>
            </w:pPr>
            <w:r>
              <w:rPr>
                <w:rFonts w:ascii="Arial" w:cs="Arial" w:eastAsia="Arial" w:hAnsi="Arial"/>
                <w:sz w:val="14"/>
                <w:szCs w:val="14"/>
                <w:color w:val="455986"/>
                <w:w w:val="94"/>
              </w:rPr>
              <w:t>●</w:t>
            </w:r>
          </w:p>
        </w:tc>
        <w:tc>
          <w:tcPr>
            <w:tcW w:w="1120" w:type="dxa"/>
            <w:vAlign w:val="bottom"/>
            <w:tcBorders>
              <w:bottom w:val="single" w:sz="8" w:color="231F20"/>
            </w:tcBorders>
          </w:tcPr>
          <w:p>
            <w:pPr>
              <w:spacing w:after="0"/>
              <w:rPr>
                <w:sz w:val="17"/>
                <w:szCs w:val="17"/>
                <w:color w:val="auto"/>
              </w:rPr>
            </w:pPr>
          </w:p>
        </w:tc>
        <w:tc>
          <w:tcPr>
            <w:tcW w:w="1120" w:type="dxa"/>
            <w:vAlign w:val="bottom"/>
            <w:tcBorders>
              <w:bottom w:val="single" w:sz="8" w:color="231F20"/>
            </w:tcBorders>
          </w:tcPr>
          <w:p>
            <w:pPr>
              <w:jc w:val="center"/>
              <w:spacing w:after="0"/>
              <w:rPr>
                <w:sz w:val="20"/>
                <w:szCs w:val="20"/>
                <w:color w:val="auto"/>
              </w:rPr>
            </w:pPr>
            <w:r>
              <w:rPr>
                <w:rFonts w:ascii="Arial" w:cs="Arial" w:eastAsia="Arial" w:hAnsi="Arial"/>
                <w:sz w:val="14"/>
                <w:szCs w:val="14"/>
                <w:color w:val="455986"/>
                <w:w w:val="94"/>
              </w:rPr>
              <w:t>●</w:t>
            </w:r>
          </w:p>
        </w:tc>
        <w:tc>
          <w:tcPr>
            <w:tcW w:w="0" w:type="dxa"/>
            <w:vAlign w:val="bottom"/>
          </w:tcPr>
          <w:p>
            <w:pPr>
              <w:spacing w:after="0"/>
              <w:rPr>
                <w:sz w:val="1"/>
                <w:szCs w:val="1"/>
                <w:color w:val="auto"/>
              </w:rPr>
            </w:pPr>
          </w:p>
        </w:tc>
      </w:tr>
      <w:tr>
        <w:trPr>
          <w:trHeight w:val="197"/>
        </w:trPr>
        <w:tc>
          <w:tcPr>
            <w:tcW w:w="1980" w:type="dxa"/>
            <w:vAlign w:val="bottom"/>
            <w:tcBorders>
              <w:bottom w:val="single" w:sz="8" w:color="231F20"/>
            </w:tcBorders>
          </w:tcPr>
          <w:p>
            <w:pPr>
              <w:ind w:left="20"/>
              <w:spacing w:after="0"/>
              <w:rPr>
                <w:sz w:val="20"/>
                <w:szCs w:val="20"/>
                <w:color w:val="auto"/>
              </w:rPr>
            </w:pPr>
            <w:r>
              <w:rPr>
                <w:rFonts w:ascii="Arial" w:cs="Arial" w:eastAsia="Arial" w:hAnsi="Arial"/>
                <w:sz w:val="14"/>
                <w:szCs w:val="14"/>
                <w:b w:val="1"/>
                <w:bCs w:val="1"/>
                <w:color w:val="455986"/>
              </w:rPr>
              <w:t>Idehen</w:t>
            </w:r>
          </w:p>
        </w:tc>
        <w:tc>
          <w:tcPr>
            <w:tcW w:w="1360" w:type="dxa"/>
            <w:vAlign w:val="bottom"/>
            <w:tcBorders>
              <w:bottom w:val="single" w:sz="8" w:color="231F20"/>
            </w:tcBorders>
          </w:tcPr>
          <w:p>
            <w:pPr>
              <w:jc w:val="center"/>
              <w:ind w:left="248"/>
              <w:spacing w:after="0"/>
              <w:rPr>
                <w:sz w:val="20"/>
                <w:szCs w:val="20"/>
                <w:color w:val="auto"/>
              </w:rPr>
            </w:pPr>
            <w:r>
              <w:rPr>
                <w:rFonts w:ascii="Arial" w:cs="Arial" w:eastAsia="Arial" w:hAnsi="Arial"/>
                <w:sz w:val="14"/>
                <w:szCs w:val="14"/>
                <w:color w:val="455986"/>
                <w:w w:val="94"/>
              </w:rPr>
              <w:t>●</w:t>
            </w:r>
          </w:p>
        </w:tc>
        <w:tc>
          <w:tcPr>
            <w:tcW w:w="1200" w:type="dxa"/>
            <w:vAlign w:val="bottom"/>
            <w:tcBorders>
              <w:bottom w:val="single" w:sz="8" w:color="231F20"/>
            </w:tcBorders>
          </w:tcPr>
          <w:p>
            <w:pPr>
              <w:jc w:val="center"/>
              <w:spacing w:after="0"/>
              <w:rPr>
                <w:sz w:val="20"/>
                <w:szCs w:val="20"/>
                <w:color w:val="auto"/>
              </w:rPr>
            </w:pPr>
            <w:r>
              <w:rPr>
                <w:rFonts w:ascii="Arial" w:cs="Arial" w:eastAsia="Arial" w:hAnsi="Arial"/>
                <w:sz w:val="14"/>
                <w:szCs w:val="14"/>
                <w:color w:val="455986"/>
                <w:w w:val="94"/>
              </w:rPr>
              <w:t>●</w:t>
            </w:r>
          </w:p>
        </w:tc>
        <w:tc>
          <w:tcPr>
            <w:tcW w:w="1040" w:type="dxa"/>
            <w:vAlign w:val="bottom"/>
            <w:tcBorders>
              <w:bottom w:val="single" w:sz="8" w:color="231F20"/>
            </w:tcBorders>
          </w:tcPr>
          <w:p>
            <w:pPr>
              <w:jc w:val="center"/>
              <w:spacing w:after="0"/>
              <w:rPr>
                <w:sz w:val="20"/>
                <w:szCs w:val="20"/>
                <w:color w:val="auto"/>
              </w:rPr>
            </w:pPr>
            <w:r>
              <w:rPr>
                <w:rFonts w:ascii="Arial" w:cs="Arial" w:eastAsia="Arial" w:hAnsi="Arial"/>
                <w:sz w:val="14"/>
                <w:szCs w:val="14"/>
                <w:color w:val="455986"/>
              </w:rPr>
              <w:t>●</w:t>
            </w:r>
          </w:p>
        </w:tc>
        <w:tc>
          <w:tcPr>
            <w:tcW w:w="1200" w:type="dxa"/>
            <w:vAlign w:val="bottom"/>
            <w:tcBorders>
              <w:bottom w:val="single" w:sz="8" w:color="231F20"/>
            </w:tcBorders>
          </w:tcPr>
          <w:p>
            <w:pPr>
              <w:spacing w:after="0"/>
              <w:rPr>
                <w:sz w:val="17"/>
                <w:szCs w:val="17"/>
                <w:color w:val="auto"/>
              </w:rPr>
            </w:pPr>
          </w:p>
        </w:tc>
        <w:tc>
          <w:tcPr>
            <w:tcW w:w="1080" w:type="dxa"/>
            <w:vAlign w:val="bottom"/>
            <w:tcBorders>
              <w:bottom w:val="single" w:sz="8" w:color="231F20"/>
            </w:tcBorders>
          </w:tcPr>
          <w:p>
            <w:pPr>
              <w:jc w:val="center"/>
              <w:spacing w:after="0"/>
              <w:rPr>
                <w:sz w:val="20"/>
                <w:szCs w:val="20"/>
                <w:color w:val="auto"/>
              </w:rPr>
            </w:pPr>
            <w:r>
              <w:rPr>
                <w:rFonts w:ascii="Arial" w:cs="Arial" w:eastAsia="Arial" w:hAnsi="Arial"/>
                <w:sz w:val="14"/>
                <w:szCs w:val="14"/>
                <w:color w:val="455986"/>
                <w:w w:val="94"/>
              </w:rPr>
              <w:t>●</w:t>
            </w:r>
          </w:p>
        </w:tc>
        <w:tc>
          <w:tcPr>
            <w:tcW w:w="1140" w:type="dxa"/>
            <w:vAlign w:val="bottom"/>
            <w:tcBorders>
              <w:bottom w:val="single" w:sz="8" w:color="231F20"/>
            </w:tcBorders>
          </w:tcPr>
          <w:p>
            <w:pPr>
              <w:jc w:val="center"/>
              <w:spacing w:after="0"/>
              <w:rPr>
                <w:sz w:val="20"/>
                <w:szCs w:val="20"/>
                <w:color w:val="auto"/>
              </w:rPr>
            </w:pPr>
            <w:r>
              <w:rPr>
                <w:rFonts w:ascii="Arial" w:cs="Arial" w:eastAsia="Arial" w:hAnsi="Arial"/>
                <w:sz w:val="14"/>
                <w:szCs w:val="14"/>
                <w:color w:val="455986"/>
                <w:w w:val="94"/>
              </w:rPr>
              <w:t>●</w:t>
            </w:r>
          </w:p>
        </w:tc>
        <w:tc>
          <w:tcPr>
            <w:tcW w:w="1120" w:type="dxa"/>
            <w:vAlign w:val="bottom"/>
            <w:tcBorders>
              <w:bottom w:val="single" w:sz="8" w:color="231F20"/>
            </w:tcBorders>
          </w:tcPr>
          <w:p>
            <w:pPr>
              <w:jc w:val="center"/>
              <w:spacing w:after="0"/>
              <w:rPr>
                <w:sz w:val="20"/>
                <w:szCs w:val="20"/>
                <w:color w:val="auto"/>
              </w:rPr>
            </w:pPr>
            <w:r>
              <w:rPr>
                <w:rFonts w:ascii="Arial" w:cs="Arial" w:eastAsia="Arial" w:hAnsi="Arial"/>
                <w:sz w:val="14"/>
                <w:szCs w:val="14"/>
                <w:color w:val="455986"/>
                <w:w w:val="94"/>
              </w:rPr>
              <w:t>●</w:t>
            </w:r>
          </w:p>
        </w:tc>
        <w:tc>
          <w:tcPr>
            <w:tcW w:w="1120" w:type="dxa"/>
            <w:vAlign w:val="bottom"/>
            <w:tcBorders>
              <w:bottom w:val="single" w:sz="8" w:color="231F20"/>
            </w:tcBorders>
          </w:tcPr>
          <w:p>
            <w:pPr>
              <w:jc w:val="center"/>
              <w:spacing w:after="0"/>
              <w:rPr>
                <w:sz w:val="20"/>
                <w:szCs w:val="20"/>
                <w:color w:val="auto"/>
              </w:rPr>
            </w:pPr>
            <w:r>
              <w:rPr>
                <w:rFonts w:ascii="Arial" w:cs="Arial" w:eastAsia="Arial" w:hAnsi="Arial"/>
                <w:sz w:val="14"/>
                <w:szCs w:val="14"/>
                <w:color w:val="455986"/>
                <w:w w:val="94"/>
              </w:rPr>
              <w:t>●</w:t>
            </w:r>
          </w:p>
        </w:tc>
        <w:tc>
          <w:tcPr>
            <w:tcW w:w="0" w:type="dxa"/>
            <w:vAlign w:val="bottom"/>
          </w:tcPr>
          <w:p>
            <w:pPr>
              <w:spacing w:after="0"/>
              <w:rPr>
                <w:sz w:val="1"/>
                <w:szCs w:val="1"/>
                <w:color w:val="auto"/>
              </w:rPr>
            </w:pPr>
          </w:p>
        </w:tc>
      </w:tr>
      <w:tr>
        <w:trPr>
          <w:trHeight w:val="197"/>
        </w:trPr>
        <w:tc>
          <w:tcPr>
            <w:tcW w:w="1980" w:type="dxa"/>
            <w:vAlign w:val="bottom"/>
            <w:tcBorders>
              <w:bottom w:val="single" w:sz="8" w:color="231F20"/>
            </w:tcBorders>
          </w:tcPr>
          <w:p>
            <w:pPr>
              <w:ind w:left="20"/>
              <w:spacing w:after="0"/>
              <w:rPr>
                <w:sz w:val="20"/>
                <w:szCs w:val="20"/>
                <w:color w:val="auto"/>
              </w:rPr>
            </w:pPr>
            <w:r>
              <w:rPr>
                <w:rFonts w:ascii="Arial" w:cs="Arial" w:eastAsia="Arial" w:hAnsi="Arial"/>
                <w:sz w:val="14"/>
                <w:szCs w:val="14"/>
                <w:b w:val="1"/>
                <w:bCs w:val="1"/>
                <w:color w:val="455986"/>
              </w:rPr>
              <w:t>Kelly</w:t>
            </w:r>
          </w:p>
        </w:tc>
        <w:tc>
          <w:tcPr>
            <w:tcW w:w="1360" w:type="dxa"/>
            <w:vAlign w:val="bottom"/>
            <w:tcBorders>
              <w:bottom w:val="single" w:sz="8" w:color="231F20"/>
            </w:tcBorders>
          </w:tcPr>
          <w:p>
            <w:pPr>
              <w:jc w:val="center"/>
              <w:ind w:left="248"/>
              <w:spacing w:after="0"/>
              <w:rPr>
                <w:sz w:val="20"/>
                <w:szCs w:val="20"/>
                <w:color w:val="auto"/>
              </w:rPr>
            </w:pPr>
            <w:r>
              <w:rPr>
                <w:rFonts w:ascii="Arial" w:cs="Arial" w:eastAsia="Arial" w:hAnsi="Arial"/>
                <w:sz w:val="14"/>
                <w:szCs w:val="14"/>
                <w:color w:val="455986"/>
                <w:w w:val="94"/>
              </w:rPr>
              <w:t>●</w:t>
            </w:r>
          </w:p>
        </w:tc>
        <w:tc>
          <w:tcPr>
            <w:tcW w:w="1200" w:type="dxa"/>
            <w:vAlign w:val="bottom"/>
            <w:tcBorders>
              <w:bottom w:val="single" w:sz="8" w:color="231F20"/>
            </w:tcBorders>
          </w:tcPr>
          <w:p>
            <w:pPr>
              <w:spacing w:after="0"/>
              <w:rPr>
                <w:sz w:val="17"/>
                <w:szCs w:val="17"/>
                <w:color w:val="auto"/>
              </w:rPr>
            </w:pPr>
          </w:p>
        </w:tc>
        <w:tc>
          <w:tcPr>
            <w:tcW w:w="1040" w:type="dxa"/>
            <w:vAlign w:val="bottom"/>
            <w:tcBorders>
              <w:bottom w:val="single" w:sz="8" w:color="231F20"/>
            </w:tcBorders>
          </w:tcPr>
          <w:p>
            <w:pPr>
              <w:jc w:val="center"/>
              <w:spacing w:after="0"/>
              <w:rPr>
                <w:sz w:val="20"/>
                <w:szCs w:val="20"/>
                <w:color w:val="auto"/>
              </w:rPr>
            </w:pPr>
            <w:r>
              <w:rPr>
                <w:rFonts w:ascii="Arial" w:cs="Arial" w:eastAsia="Arial" w:hAnsi="Arial"/>
                <w:sz w:val="14"/>
                <w:szCs w:val="14"/>
                <w:color w:val="455986"/>
              </w:rPr>
              <w:t>●</w:t>
            </w:r>
          </w:p>
        </w:tc>
        <w:tc>
          <w:tcPr>
            <w:tcW w:w="1200" w:type="dxa"/>
            <w:vAlign w:val="bottom"/>
            <w:tcBorders>
              <w:bottom w:val="single" w:sz="8" w:color="231F20"/>
            </w:tcBorders>
          </w:tcPr>
          <w:p>
            <w:pPr>
              <w:spacing w:after="0"/>
              <w:rPr>
                <w:sz w:val="17"/>
                <w:szCs w:val="17"/>
                <w:color w:val="auto"/>
              </w:rPr>
            </w:pPr>
          </w:p>
        </w:tc>
        <w:tc>
          <w:tcPr>
            <w:tcW w:w="1080" w:type="dxa"/>
            <w:vAlign w:val="bottom"/>
            <w:tcBorders>
              <w:bottom w:val="single" w:sz="8" w:color="231F20"/>
            </w:tcBorders>
          </w:tcPr>
          <w:p>
            <w:pPr>
              <w:jc w:val="center"/>
              <w:spacing w:after="0"/>
              <w:rPr>
                <w:sz w:val="20"/>
                <w:szCs w:val="20"/>
                <w:color w:val="auto"/>
              </w:rPr>
            </w:pPr>
            <w:r>
              <w:rPr>
                <w:rFonts w:ascii="Arial" w:cs="Arial" w:eastAsia="Arial" w:hAnsi="Arial"/>
                <w:sz w:val="14"/>
                <w:szCs w:val="14"/>
                <w:color w:val="455986"/>
                <w:w w:val="94"/>
              </w:rPr>
              <w:t>●</w:t>
            </w:r>
          </w:p>
        </w:tc>
        <w:tc>
          <w:tcPr>
            <w:tcW w:w="1140" w:type="dxa"/>
            <w:vAlign w:val="bottom"/>
            <w:tcBorders>
              <w:bottom w:val="single" w:sz="8" w:color="231F20"/>
            </w:tcBorders>
          </w:tcPr>
          <w:p>
            <w:pPr>
              <w:jc w:val="center"/>
              <w:spacing w:after="0"/>
              <w:rPr>
                <w:sz w:val="20"/>
                <w:szCs w:val="20"/>
                <w:color w:val="auto"/>
              </w:rPr>
            </w:pPr>
            <w:r>
              <w:rPr>
                <w:rFonts w:ascii="Arial" w:cs="Arial" w:eastAsia="Arial" w:hAnsi="Arial"/>
                <w:sz w:val="14"/>
                <w:szCs w:val="14"/>
                <w:color w:val="455986"/>
                <w:w w:val="94"/>
              </w:rPr>
              <w:t>●</w:t>
            </w:r>
          </w:p>
        </w:tc>
        <w:tc>
          <w:tcPr>
            <w:tcW w:w="1120" w:type="dxa"/>
            <w:vAlign w:val="bottom"/>
            <w:tcBorders>
              <w:bottom w:val="single" w:sz="8" w:color="231F20"/>
            </w:tcBorders>
          </w:tcPr>
          <w:p>
            <w:pPr>
              <w:jc w:val="center"/>
              <w:spacing w:after="0"/>
              <w:rPr>
                <w:sz w:val="20"/>
                <w:szCs w:val="20"/>
                <w:color w:val="auto"/>
              </w:rPr>
            </w:pPr>
            <w:r>
              <w:rPr>
                <w:rFonts w:ascii="Arial" w:cs="Arial" w:eastAsia="Arial" w:hAnsi="Arial"/>
                <w:sz w:val="14"/>
                <w:szCs w:val="14"/>
                <w:color w:val="455986"/>
                <w:w w:val="94"/>
              </w:rPr>
              <w:t>●</w:t>
            </w:r>
          </w:p>
        </w:tc>
        <w:tc>
          <w:tcPr>
            <w:tcW w:w="1120" w:type="dxa"/>
            <w:vAlign w:val="bottom"/>
            <w:tcBorders>
              <w:bottom w:val="single" w:sz="8" w:color="231F20"/>
            </w:tcBorders>
          </w:tcPr>
          <w:p>
            <w:pPr>
              <w:jc w:val="center"/>
              <w:spacing w:after="0"/>
              <w:rPr>
                <w:sz w:val="20"/>
                <w:szCs w:val="20"/>
                <w:color w:val="auto"/>
              </w:rPr>
            </w:pPr>
            <w:r>
              <w:rPr>
                <w:rFonts w:ascii="Arial" w:cs="Arial" w:eastAsia="Arial" w:hAnsi="Arial"/>
                <w:sz w:val="14"/>
                <w:szCs w:val="14"/>
                <w:color w:val="455986"/>
                <w:w w:val="94"/>
              </w:rPr>
              <w:t>●</w:t>
            </w:r>
          </w:p>
        </w:tc>
        <w:tc>
          <w:tcPr>
            <w:tcW w:w="0" w:type="dxa"/>
            <w:vAlign w:val="bottom"/>
          </w:tcPr>
          <w:p>
            <w:pPr>
              <w:spacing w:after="0"/>
              <w:rPr>
                <w:sz w:val="1"/>
                <w:szCs w:val="1"/>
                <w:color w:val="auto"/>
              </w:rPr>
            </w:pPr>
          </w:p>
        </w:tc>
      </w:tr>
      <w:tr>
        <w:trPr>
          <w:trHeight w:val="197"/>
        </w:trPr>
        <w:tc>
          <w:tcPr>
            <w:tcW w:w="1980" w:type="dxa"/>
            <w:vAlign w:val="bottom"/>
            <w:tcBorders>
              <w:bottom w:val="single" w:sz="8" w:color="231F20"/>
            </w:tcBorders>
          </w:tcPr>
          <w:p>
            <w:pPr>
              <w:ind w:left="20"/>
              <w:spacing w:after="0"/>
              <w:rPr>
                <w:sz w:val="20"/>
                <w:szCs w:val="20"/>
                <w:color w:val="auto"/>
              </w:rPr>
            </w:pPr>
            <w:r>
              <w:rPr>
                <w:rFonts w:ascii="Arial" w:cs="Arial" w:eastAsia="Arial" w:hAnsi="Arial"/>
                <w:sz w:val="14"/>
                <w:szCs w:val="14"/>
                <w:b w:val="1"/>
                <w:bCs w:val="1"/>
                <w:color w:val="455986"/>
              </w:rPr>
              <w:t>Ruff</w:t>
            </w:r>
          </w:p>
        </w:tc>
        <w:tc>
          <w:tcPr>
            <w:tcW w:w="1360" w:type="dxa"/>
            <w:vAlign w:val="bottom"/>
            <w:tcBorders>
              <w:bottom w:val="single" w:sz="8" w:color="231F20"/>
            </w:tcBorders>
          </w:tcPr>
          <w:p>
            <w:pPr>
              <w:jc w:val="center"/>
              <w:ind w:left="248"/>
              <w:spacing w:after="0"/>
              <w:rPr>
                <w:sz w:val="20"/>
                <w:szCs w:val="20"/>
                <w:color w:val="auto"/>
              </w:rPr>
            </w:pPr>
            <w:r>
              <w:rPr>
                <w:rFonts w:ascii="Arial" w:cs="Arial" w:eastAsia="Arial" w:hAnsi="Arial"/>
                <w:sz w:val="14"/>
                <w:szCs w:val="14"/>
                <w:color w:val="455986"/>
                <w:w w:val="94"/>
              </w:rPr>
              <w:t>●</w:t>
            </w:r>
          </w:p>
        </w:tc>
        <w:tc>
          <w:tcPr>
            <w:tcW w:w="1200" w:type="dxa"/>
            <w:vAlign w:val="bottom"/>
            <w:tcBorders>
              <w:bottom w:val="single" w:sz="8" w:color="231F20"/>
            </w:tcBorders>
          </w:tcPr>
          <w:p>
            <w:pPr>
              <w:jc w:val="center"/>
              <w:spacing w:after="0"/>
              <w:rPr>
                <w:sz w:val="20"/>
                <w:szCs w:val="20"/>
                <w:color w:val="auto"/>
              </w:rPr>
            </w:pPr>
            <w:r>
              <w:rPr>
                <w:rFonts w:ascii="Arial" w:cs="Arial" w:eastAsia="Arial" w:hAnsi="Arial"/>
                <w:sz w:val="14"/>
                <w:szCs w:val="14"/>
                <w:color w:val="455986"/>
                <w:w w:val="94"/>
              </w:rPr>
              <w:t>●</w:t>
            </w:r>
          </w:p>
        </w:tc>
        <w:tc>
          <w:tcPr>
            <w:tcW w:w="1040" w:type="dxa"/>
            <w:vAlign w:val="bottom"/>
            <w:tcBorders>
              <w:bottom w:val="single" w:sz="8" w:color="231F20"/>
            </w:tcBorders>
          </w:tcPr>
          <w:p>
            <w:pPr>
              <w:spacing w:after="0"/>
              <w:rPr>
                <w:sz w:val="17"/>
                <w:szCs w:val="17"/>
                <w:color w:val="auto"/>
              </w:rPr>
            </w:pPr>
          </w:p>
        </w:tc>
        <w:tc>
          <w:tcPr>
            <w:tcW w:w="1200" w:type="dxa"/>
            <w:vAlign w:val="bottom"/>
            <w:tcBorders>
              <w:bottom w:val="single" w:sz="8" w:color="231F20"/>
            </w:tcBorders>
          </w:tcPr>
          <w:p>
            <w:pPr>
              <w:jc w:val="center"/>
              <w:spacing w:after="0"/>
              <w:rPr>
                <w:sz w:val="20"/>
                <w:szCs w:val="20"/>
                <w:color w:val="auto"/>
              </w:rPr>
            </w:pPr>
            <w:r>
              <w:rPr>
                <w:rFonts w:ascii="Arial" w:cs="Arial" w:eastAsia="Arial" w:hAnsi="Arial"/>
                <w:sz w:val="14"/>
                <w:szCs w:val="14"/>
                <w:color w:val="455986"/>
              </w:rPr>
              <w:t>●</w:t>
            </w:r>
          </w:p>
        </w:tc>
        <w:tc>
          <w:tcPr>
            <w:tcW w:w="1080" w:type="dxa"/>
            <w:vAlign w:val="bottom"/>
            <w:tcBorders>
              <w:bottom w:val="single" w:sz="8" w:color="231F20"/>
            </w:tcBorders>
          </w:tcPr>
          <w:p>
            <w:pPr>
              <w:jc w:val="center"/>
              <w:spacing w:after="0"/>
              <w:rPr>
                <w:sz w:val="20"/>
                <w:szCs w:val="20"/>
                <w:color w:val="auto"/>
              </w:rPr>
            </w:pPr>
            <w:r>
              <w:rPr>
                <w:rFonts w:ascii="Arial" w:cs="Arial" w:eastAsia="Arial" w:hAnsi="Arial"/>
                <w:sz w:val="14"/>
                <w:szCs w:val="14"/>
                <w:color w:val="455986"/>
                <w:w w:val="94"/>
              </w:rPr>
              <w:t>●</w:t>
            </w:r>
          </w:p>
        </w:tc>
        <w:tc>
          <w:tcPr>
            <w:tcW w:w="1140" w:type="dxa"/>
            <w:vAlign w:val="bottom"/>
            <w:tcBorders>
              <w:bottom w:val="single" w:sz="8" w:color="231F20"/>
            </w:tcBorders>
          </w:tcPr>
          <w:p>
            <w:pPr>
              <w:jc w:val="center"/>
              <w:spacing w:after="0"/>
              <w:rPr>
                <w:sz w:val="20"/>
                <w:szCs w:val="20"/>
                <w:color w:val="auto"/>
              </w:rPr>
            </w:pPr>
            <w:r>
              <w:rPr>
                <w:rFonts w:ascii="Arial" w:cs="Arial" w:eastAsia="Arial" w:hAnsi="Arial"/>
                <w:sz w:val="14"/>
                <w:szCs w:val="14"/>
                <w:color w:val="455986"/>
                <w:w w:val="94"/>
              </w:rPr>
              <w:t>●</w:t>
            </w:r>
          </w:p>
        </w:tc>
        <w:tc>
          <w:tcPr>
            <w:tcW w:w="1120" w:type="dxa"/>
            <w:vAlign w:val="bottom"/>
            <w:tcBorders>
              <w:bottom w:val="single" w:sz="8" w:color="231F20"/>
            </w:tcBorders>
          </w:tcPr>
          <w:p>
            <w:pPr>
              <w:jc w:val="center"/>
              <w:spacing w:after="0"/>
              <w:rPr>
                <w:sz w:val="20"/>
                <w:szCs w:val="20"/>
                <w:color w:val="auto"/>
              </w:rPr>
            </w:pPr>
            <w:r>
              <w:rPr>
                <w:rFonts w:ascii="Arial" w:cs="Arial" w:eastAsia="Arial" w:hAnsi="Arial"/>
                <w:sz w:val="14"/>
                <w:szCs w:val="14"/>
                <w:color w:val="455986"/>
                <w:w w:val="94"/>
              </w:rPr>
              <w:t>●</w:t>
            </w:r>
          </w:p>
        </w:tc>
        <w:tc>
          <w:tcPr>
            <w:tcW w:w="1120" w:type="dxa"/>
            <w:vAlign w:val="bottom"/>
            <w:tcBorders>
              <w:bottom w:val="single" w:sz="8" w:color="231F20"/>
            </w:tcBorders>
          </w:tcPr>
          <w:p>
            <w:pPr>
              <w:jc w:val="center"/>
              <w:spacing w:after="0"/>
              <w:rPr>
                <w:sz w:val="20"/>
                <w:szCs w:val="20"/>
                <w:color w:val="auto"/>
              </w:rPr>
            </w:pPr>
            <w:r>
              <w:rPr>
                <w:rFonts w:ascii="Arial" w:cs="Arial" w:eastAsia="Arial" w:hAnsi="Arial"/>
                <w:sz w:val="14"/>
                <w:szCs w:val="14"/>
                <w:color w:val="455986"/>
                <w:w w:val="94"/>
              </w:rPr>
              <w:t>●</w:t>
            </w:r>
          </w:p>
        </w:tc>
        <w:tc>
          <w:tcPr>
            <w:tcW w:w="0" w:type="dxa"/>
            <w:vAlign w:val="bottom"/>
          </w:tcPr>
          <w:p>
            <w:pPr>
              <w:spacing w:after="0"/>
              <w:rPr>
                <w:sz w:val="1"/>
                <w:szCs w:val="1"/>
                <w:color w:val="auto"/>
              </w:rPr>
            </w:pPr>
          </w:p>
        </w:tc>
      </w:tr>
      <w:tr>
        <w:trPr>
          <w:trHeight w:val="197"/>
        </w:trPr>
        <w:tc>
          <w:tcPr>
            <w:tcW w:w="1980" w:type="dxa"/>
            <w:vAlign w:val="bottom"/>
            <w:tcBorders>
              <w:bottom w:val="single" w:sz="8" w:color="231F20"/>
            </w:tcBorders>
          </w:tcPr>
          <w:p>
            <w:pPr>
              <w:ind w:left="20"/>
              <w:spacing w:after="0"/>
              <w:rPr>
                <w:sz w:val="20"/>
                <w:szCs w:val="20"/>
                <w:color w:val="auto"/>
              </w:rPr>
            </w:pPr>
            <w:r>
              <w:rPr>
                <w:rFonts w:ascii="Arial" w:cs="Arial" w:eastAsia="Arial" w:hAnsi="Arial"/>
                <w:sz w:val="14"/>
                <w:szCs w:val="14"/>
                <w:b w:val="1"/>
                <w:bCs w:val="1"/>
                <w:color w:val="455986"/>
              </w:rPr>
              <w:t>Stewart</w:t>
            </w:r>
          </w:p>
        </w:tc>
        <w:tc>
          <w:tcPr>
            <w:tcW w:w="1360" w:type="dxa"/>
            <w:vAlign w:val="bottom"/>
            <w:tcBorders>
              <w:bottom w:val="single" w:sz="8" w:color="231F20"/>
            </w:tcBorders>
          </w:tcPr>
          <w:p>
            <w:pPr>
              <w:jc w:val="center"/>
              <w:ind w:left="248"/>
              <w:spacing w:after="0"/>
              <w:rPr>
                <w:sz w:val="20"/>
                <w:szCs w:val="20"/>
                <w:color w:val="auto"/>
              </w:rPr>
            </w:pPr>
            <w:r>
              <w:rPr>
                <w:rFonts w:ascii="Arial" w:cs="Arial" w:eastAsia="Arial" w:hAnsi="Arial"/>
                <w:sz w:val="14"/>
                <w:szCs w:val="14"/>
                <w:color w:val="455986"/>
                <w:w w:val="94"/>
              </w:rPr>
              <w:t>●</w:t>
            </w:r>
          </w:p>
        </w:tc>
        <w:tc>
          <w:tcPr>
            <w:tcW w:w="1200" w:type="dxa"/>
            <w:vAlign w:val="bottom"/>
            <w:tcBorders>
              <w:bottom w:val="single" w:sz="8" w:color="231F20"/>
            </w:tcBorders>
          </w:tcPr>
          <w:p>
            <w:pPr>
              <w:jc w:val="center"/>
              <w:spacing w:after="0"/>
              <w:rPr>
                <w:sz w:val="20"/>
                <w:szCs w:val="20"/>
                <w:color w:val="auto"/>
              </w:rPr>
            </w:pPr>
            <w:r>
              <w:rPr>
                <w:rFonts w:ascii="Arial" w:cs="Arial" w:eastAsia="Arial" w:hAnsi="Arial"/>
                <w:sz w:val="14"/>
                <w:szCs w:val="14"/>
                <w:color w:val="455986"/>
                <w:w w:val="94"/>
              </w:rPr>
              <w:t>●</w:t>
            </w:r>
          </w:p>
        </w:tc>
        <w:tc>
          <w:tcPr>
            <w:tcW w:w="1040" w:type="dxa"/>
            <w:vAlign w:val="bottom"/>
            <w:tcBorders>
              <w:bottom w:val="single" w:sz="8" w:color="231F20"/>
            </w:tcBorders>
          </w:tcPr>
          <w:p>
            <w:pPr>
              <w:jc w:val="center"/>
              <w:spacing w:after="0"/>
              <w:rPr>
                <w:sz w:val="20"/>
                <w:szCs w:val="20"/>
                <w:color w:val="auto"/>
              </w:rPr>
            </w:pPr>
            <w:r>
              <w:rPr>
                <w:rFonts w:ascii="Arial" w:cs="Arial" w:eastAsia="Arial" w:hAnsi="Arial"/>
                <w:sz w:val="14"/>
                <w:szCs w:val="14"/>
                <w:color w:val="455986"/>
              </w:rPr>
              <w:t>●</w:t>
            </w:r>
          </w:p>
        </w:tc>
        <w:tc>
          <w:tcPr>
            <w:tcW w:w="1200" w:type="dxa"/>
            <w:vAlign w:val="bottom"/>
            <w:tcBorders>
              <w:bottom w:val="single" w:sz="8" w:color="231F20"/>
            </w:tcBorders>
          </w:tcPr>
          <w:p>
            <w:pPr>
              <w:spacing w:after="0"/>
              <w:rPr>
                <w:sz w:val="17"/>
                <w:szCs w:val="17"/>
                <w:color w:val="auto"/>
              </w:rPr>
            </w:pPr>
          </w:p>
        </w:tc>
        <w:tc>
          <w:tcPr>
            <w:tcW w:w="1080" w:type="dxa"/>
            <w:vAlign w:val="bottom"/>
            <w:tcBorders>
              <w:bottom w:val="single" w:sz="8" w:color="231F20"/>
            </w:tcBorders>
          </w:tcPr>
          <w:p>
            <w:pPr>
              <w:jc w:val="center"/>
              <w:spacing w:after="0"/>
              <w:rPr>
                <w:sz w:val="20"/>
                <w:szCs w:val="20"/>
                <w:color w:val="auto"/>
              </w:rPr>
            </w:pPr>
            <w:r>
              <w:rPr>
                <w:rFonts w:ascii="Arial" w:cs="Arial" w:eastAsia="Arial" w:hAnsi="Arial"/>
                <w:sz w:val="14"/>
                <w:szCs w:val="14"/>
                <w:color w:val="455986"/>
                <w:w w:val="94"/>
              </w:rPr>
              <w:t>●</w:t>
            </w:r>
          </w:p>
        </w:tc>
        <w:tc>
          <w:tcPr>
            <w:tcW w:w="1140" w:type="dxa"/>
            <w:vAlign w:val="bottom"/>
            <w:tcBorders>
              <w:bottom w:val="single" w:sz="8" w:color="231F20"/>
            </w:tcBorders>
          </w:tcPr>
          <w:p>
            <w:pPr>
              <w:jc w:val="center"/>
              <w:spacing w:after="0"/>
              <w:rPr>
                <w:sz w:val="20"/>
                <w:szCs w:val="20"/>
                <w:color w:val="auto"/>
              </w:rPr>
            </w:pPr>
            <w:r>
              <w:rPr>
                <w:rFonts w:ascii="Arial" w:cs="Arial" w:eastAsia="Arial" w:hAnsi="Arial"/>
                <w:sz w:val="14"/>
                <w:szCs w:val="14"/>
                <w:color w:val="455986"/>
                <w:w w:val="94"/>
              </w:rPr>
              <w:t>●</w:t>
            </w:r>
          </w:p>
        </w:tc>
        <w:tc>
          <w:tcPr>
            <w:tcW w:w="1120" w:type="dxa"/>
            <w:vAlign w:val="bottom"/>
            <w:tcBorders>
              <w:bottom w:val="single" w:sz="8" w:color="231F20"/>
            </w:tcBorders>
          </w:tcPr>
          <w:p>
            <w:pPr>
              <w:jc w:val="center"/>
              <w:spacing w:after="0"/>
              <w:rPr>
                <w:sz w:val="20"/>
                <w:szCs w:val="20"/>
                <w:color w:val="auto"/>
              </w:rPr>
            </w:pPr>
            <w:r>
              <w:rPr>
                <w:rFonts w:ascii="Arial" w:cs="Arial" w:eastAsia="Arial" w:hAnsi="Arial"/>
                <w:sz w:val="14"/>
                <w:szCs w:val="14"/>
                <w:color w:val="455986"/>
                <w:w w:val="94"/>
              </w:rPr>
              <w:t>●</w:t>
            </w:r>
          </w:p>
        </w:tc>
        <w:tc>
          <w:tcPr>
            <w:tcW w:w="1120" w:type="dxa"/>
            <w:vAlign w:val="bottom"/>
            <w:tcBorders>
              <w:bottom w:val="single" w:sz="8" w:color="231F20"/>
            </w:tcBorders>
          </w:tcPr>
          <w:p>
            <w:pPr>
              <w:jc w:val="center"/>
              <w:spacing w:after="0"/>
              <w:rPr>
                <w:sz w:val="20"/>
                <w:szCs w:val="20"/>
                <w:color w:val="auto"/>
              </w:rPr>
            </w:pPr>
            <w:r>
              <w:rPr>
                <w:rFonts w:ascii="Arial" w:cs="Arial" w:eastAsia="Arial" w:hAnsi="Arial"/>
                <w:sz w:val="14"/>
                <w:szCs w:val="14"/>
                <w:color w:val="455986"/>
                <w:w w:val="94"/>
              </w:rPr>
              <w:t>●</w:t>
            </w:r>
          </w:p>
        </w:tc>
        <w:tc>
          <w:tcPr>
            <w:tcW w:w="0" w:type="dxa"/>
            <w:vAlign w:val="bottom"/>
          </w:tcPr>
          <w:p>
            <w:pPr>
              <w:spacing w:after="0"/>
              <w:rPr>
                <w:sz w:val="1"/>
                <w:szCs w:val="1"/>
                <w:color w:val="auto"/>
              </w:rPr>
            </w:pPr>
          </w:p>
        </w:tc>
      </w:tr>
      <w:tr>
        <w:trPr>
          <w:trHeight w:val="197"/>
        </w:trPr>
        <w:tc>
          <w:tcPr>
            <w:tcW w:w="1980" w:type="dxa"/>
            <w:vAlign w:val="bottom"/>
            <w:tcBorders>
              <w:bottom w:val="single" w:sz="8" w:color="455986"/>
            </w:tcBorders>
          </w:tcPr>
          <w:p>
            <w:pPr>
              <w:ind w:left="20"/>
              <w:spacing w:after="0"/>
              <w:rPr>
                <w:sz w:val="20"/>
                <w:szCs w:val="20"/>
                <w:color w:val="auto"/>
              </w:rPr>
            </w:pPr>
            <w:r>
              <w:rPr>
                <w:rFonts w:ascii="Arial" w:cs="Arial" w:eastAsia="Arial" w:hAnsi="Arial"/>
                <w:sz w:val="14"/>
                <w:szCs w:val="14"/>
                <w:b w:val="1"/>
                <w:bCs w:val="1"/>
                <w:color w:val="455986"/>
              </w:rPr>
              <w:t>Womack</w:t>
            </w:r>
          </w:p>
        </w:tc>
        <w:tc>
          <w:tcPr>
            <w:tcW w:w="1360" w:type="dxa"/>
            <w:vAlign w:val="bottom"/>
            <w:tcBorders>
              <w:bottom w:val="single" w:sz="8" w:color="455986"/>
            </w:tcBorders>
          </w:tcPr>
          <w:p>
            <w:pPr>
              <w:jc w:val="center"/>
              <w:ind w:left="248"/>
              <w:spacing w:after="0"/>
              <w:rPr>
                <w:sz w:val="20"/>
                <w:szCs w:val="20"/>
                <w:color w:val="auto"/>
              </w:rPr>
            </w:pPr>
            <w:r>
              <w:rPr>
                <w:rFonts w:ascii="Arial" w:cs="Arial" w:eastAsia="Arial" w:hAnsi="Arial"/>
                <w:sz w:val="14"/>
                <w:szCs w:val="14"/>
                <w:color w:val="455986"/>
                <w:w w:val="94"/>
              </w:rPr>
              <w:t>●</w:t>
            </w:r>
          </w:p>
        </w:tc>
        <w:tc>
          <w:tcPr>
            <w:tcW w:w="1200" w:type="dxa"/>
            <w:vAlign w:val="bottom"/>
            <w:tcBorders>
              <w:bottom w:val="single" w:sz="8" w:color="455986"/>
            </w:tcBorders>
          </w:tcPr>
          <w:p>
            <w:pPr>
              <w:jc w:val="center"/>
              <w:spacing w:after="0"/>
              <w:rPr>
                <w:sz w:val="20"/>
                <w:szCs w:val="20"/>
                <w:color w:val="auto"/>
              </w:rPr>
            </w:pPr>
            <w:r>
              <w:rPr>
                <w:rFonts w:ascii="Arial" w:cs="Arial" w:eastAsia="Arial" w:hAnsi="Arial"/>
                <w:sz w:val="14"/>
                <w:szCs w:val="14"/>
                <w:color w:val="455986"/>
                <w:w w:val="94"/>
              </w:rPr>
              <w:t>●</w:t>
            </w:r>
          </w:p>
        </w:tc>
        <w:tc>
          <w:tcPr>
            <w:tcW w:w="1040" w:type="dxa"/>
            <w:vAlign w:val="bottom"/>
            <w:tcBorders>
              <w:bottom w:val="single" w:sz="8" w:color="455986"/>
            </w:tcBorders>
          </w:tcPr>
          <w:p>
            <w:pPr>
              <w:spacing w:after="0"/>
              <w:rPr>
                <w:sz w:val="17"/>
                <w:szCs w:val="17"/>
                <w:color w:val="auto"/>
              </w:rPr>
            </w:pPr>
          </w:p>
        </w:tc>
        <w:tc>
          <w:tcPr>
            <w:tcW w:w="1200" w:type="dxa"/>
            <w:vAlign w:val="bottom"/>
            <w:tcBorders>
              <w:bottom w:val="single" w:sz="8" w:color="455986"/>
            </w:tcBorders>
          </w:tcPr>
          <w:p>
            <w:pPr>
              <w:jc w:val="center"/>
              <w:spacing w:after="0"/>
              <w:rPr>
                <w:sz w:val="20"/>
                <w:szCs w:val="20"/>
                <w:color w:val="auto"/>
              </w:rPr>
            </w:pPr>
            <w:r>
              <w:rPr>
                <w:rFonts w:ascii="Arial" w:cs="Arial" w:eastAsia="Arial" w:hAnsi="Arial"/>
                <w:sz w:val="14"/>
                <w:szCs w:val="14"/>
                <w:color w:val="455986"/>
              </w:rPr>
              <w:t>●</w:t>
            </w:r>
          </w:p>
        </w:tc>
        <w:tc>
          <w:tcPr>
            <w:tcW w:w="1080" w:type="dxa"/>
            <w:vAlign w:val="bottom"/>
            <w:tcBorders>
              <w:bottom w:val="single" w:sz="8" w:color="455986"/>
            </w:tcBorders>
          </w:tcPr>
          <w:p>
            <w:pPr>
              <w:jc w:val="center"/>
              <w:spacing w:after="0"/>
              <w:rPr>
                <w:sz w:val="20"/>
                <w:szCs w:val="20"/>
                <w:color w:val="auto"/>
              </w:rPr>
            </w:pPr>
            <w:r>
              <w:rPr>
                <w:rFonts w:ascii="Arial" w:cs="Arial" w:eastAsia="Arial" w:hAnsi="Arial"/>
                <w:sz w:val="14"/>
                <w:szCs w:val="14"/>
                <w:color w:val="455986"/>
                <w:w w:val="94"/>
              </w:rPr>
              <w:t>●</w:t>
            </w:r>
          </w:p>
        </w:tc>
        <w:tc>
          <w:tcPr>
            <w:tcW w:w="1140" w:type="dxa"/>
            <w:vAlign w:val="bottom"/>
            <w:tcBorders>
              <w:bottom w:val="single" w:sz="8" w:color="455986"/>
            </w:tcBorders>
          </w:tcPr>
          <w:p>
            <w:pPr>
              <w:jc w:val="center"/>
              <w:spacing w:after="0"/>
              <w:rPr>
                <w:sz w:val="20"/>
                <w:szCs w:val="20"/>
                <w:color w:val="auto"/>
              </w:rPr>
            </w:pPr>
            <w:r>
              <w:rPr>
                <w:rFonts w:ascii="Arial" w:cs="Arial" w:eastAsia="Arial" w:hAnsi="Arial"/>
                <w:sz w:val="14"/>
                <w:szCs w:val="14"/>
                <w:color w:val="455986"/>
                <w:w w:val="94"/>
              </w:rPr>
              <w:t>●</w:t>
            </w:r>
          </w:p>
        </w:tc>
        <w:tc>
          <w:tcPr>
            <w:tcW w:w="1120" w:type="dxa"/>
            <w:vAlign w:val="bottom"/>
            <w:tcBorders>
              <w:bottom w:val="single" w:sz="8" w:color="455986"/>
            </w:tcBorders>
          </w:tcPr>
          <w:p>
            <w:pPr>
              <w:jc w:val="center"/>
              <w:spacing w:after="0"/>
              <w:rPr>
                <w:sz w:val="20"/>
                <w:szCs w:val="20"/>
                <w:color w:val="auto"/>
              </w:rPr>
            </w:pPr>
            <w:r>
              <w:rPr>
                <w:rFonts w:ascii="Arial" w:cs="Arial" w:eastAsia="Arial" w:hAnsi="Arial"/>
                <w:sz w:val="14"/>
                <w:szCs w:val="14"/>
                <w:color w:val="455986"/>
                <w:w w:val="94"/>
              </w:rPr>
              <w:t>●</w:t>
            </w:r>
          </w:p>
        </w:tc>
        <w:tc>
          <w:tcPr>
            <w:tcW w:w="1120" w:type="dxa"/>
            <w:vAlign w:val="bottom"/>
            <w:tcBorders>
              <w:bottom w:val="single" w:sz="8" w:color="455986"/>
            </w:tcBorders>
          </w:tcPr>
          <w:p>
            <w:pPr>
              <w:jc w:val="center"/>
              <w:spacing w:after="0"/>
              <w:rPr>
                <w:sz w:val="20"/>
                <w:szCs w:val="20"/>
                <w:color w:val="auto"/>
              </w:rPr>
            </w:pPr>
            <w:r>
              <w:rPr>
                <w:rFonts w:ascii="Arial" w:cs="Arial" w:eastAsia="Arial" w:hAnsi="Arial"/>
                <w:sz w:val="14"/>
                <w:szCs w:val="14"/>
                <w:color w:val="455986"/>
                <w:w w:val="94"/>
              </w:rPr>
              <w:t>●</w:t>
            </w:r>
          </w:p>
        </w:tc>
        <w:tc>
          <w:tcPr>
            <w:tcW w:w="0" w:type="dxa"/>
            <w:vAlign w:val="bottom"/>
          </w:tcPr>
          <w:p>
            <w:pPr>
              <w:spacing w:after="0"/>
              <w:rPr>
                <w:sz w:val="1"/>
                <w:szCs w:val="1"/>
                <w:color w:val="auto"/>
              </w:rPr>
            </w:pPr>
          </w:p>
        </w:tc>
      </w:tr>
    </w:tbl>
    <w:p>
      <w:pPr>
        <w:spacing w:after="0" w:line="157" w:lineRule="exact"/>
        <w:rPr>
          <w:sz w:val="20"/>
          <w:szCs w:val="20"/>
          <w:color w:val="auto"/>
        </w:rPr>
      </w:pPr>
    </w:p>
    <w:p>
      <w:pPr>
        <w:spacing w:after="0"/>
        <w:rPr>
          <w:sz w:val="20"/>
          <w:szCs w:val="20"/>
          <w:color w:val="auto"/>
        </w:rPr>
      </w:pPr>
      <w:r>
        <w:rPr>
          <w:rFonts w:ascii="Arial" w:cs="Arial" w:eastAsia="Arial" w:hAnsi="Arial"/>
          <w:sz w:val="14"/>
          <w:szCs w:val="14"/>
          <w:color w:val="231F20"/>
        </w:rPr>
        <w:t>Based upon these qualifications, attributes, and skills, the Board of Directors determined that the following members are best suited for service on the following Committees:</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2700" w:type="dxa"/>
            <w:vAlign w:val="bottom"/>
            <w:tcBorders>
              <w:bottom w:val="single" w:sz="8" w:color="4395D4"/>
            </w:tcBorders>
          </w:tcPr>
          <w:p>
            <w:pPr>
              <w:spacing w:after="0"/>
              <w:rPr>
                <w:sz w:val="20"/>
                <w:szCs w:val="20"/>
                <w:color w:val="auto"/>
              </w:rPr>
            </w:pPr>
            <w:r>
              <w:rPr>
                <w:rFonts w:ascii="Arial" w:cs="Arial" w:eastAsia="Arial" w:hAnsi="Arial"/>
                <w:sz w:val="14"/>
                <w:szCs w:val="14"/>
                <w:color w:val="455986"/>
              </w:rPr>
              <w:t>Committee</w:t>
            </w:r>
          </w:p>
        </w:tc>
        <w:tc>
          <w:tcPr>
            <w:tcW w:w="2400" w:type="dxa"/>
            <w:vAlign w:val="bottom"/>
            <w:tcBorders>
              <w:bottom w:val="single" w:sz="8" w:color="4395D4"/>
            </w:tcBorders>
          </w:tcPr>
          <w:p>
            <w:pPr>
              <w:ind w:left="120"/>
              <w:spacing w:after="0"/>
              <w:rPr>
                <w:sz w:val="20"/>
                <w:szCs w:val="20"/>
                <w:color w:val="auto"/>
              </w:rPr>
            </w:pPr>
            <w:r>
              <w:rPr>
                <w:rFonts w:ascii="Arial" w:cs="Arial" w:eastAsia="Arial" w:hAnsi="Arial"/>
                <w:sz w:val="14"/>
                <w:szCs w:val="14"/>
                <w:color w:val="455986"/>
              </w:rPr>
              <w:t>Chair</w:t>
            </w:r>
          </w:p>
        </w:tc>
        <w:tc>
          <w:tcPr>
            <w:tcW w:w="6140" w:type="dxa"/>
            <w:vAlign w:val="bottom"/>
            <w:tcBorders>
              <w:bottom w:val="single" w:sz="8" w:color="4395D4"/>
            </w:tcBorders>
          </w:tcPr>
          <w:p>
            <w:pPr>
              <w:ind w:left="540"/>
              <w:spacing w:after="0"/>
              <w:rPr>
                <w:sz w:val="20"/>
                <w:szCs w:val="20"/>
                <w:color w:val="auto"/>
              </w:rPr>
            </w:pPr>
            <w:r>
              <w:rPr>
                <w:rFonts w:ascii="Arial" w:cs="Arial" w:eastAsia="Arial" w:hAnsi="Arial"/>
                <w:sz w:val="14"/>
                <w:szCs w:val="14"/>
                <w:color w:val="455986"/>
              </w:rPr>
              <w:t>Other Members</w:t>
            </w:r>
          </w:p>
        </w:tc>
      </w:tr>
      <w:tr>
        <w:trPr>
          <w:trHeight w:val="199"/>
        </w:trPr>
        <w:tc>
          <w:tcPr>
            <w:tcW w:w="2700" w:type="dxa"/>
            <w:vAlign w:val="bottom"/>
            <w:tcBorders>
              <w:bottom w:val="single" w:sz="8" w:color="231F20"/>
            </w:tcBorders>
          </w:tcPr>
          <w:p>
            <w:pPr>
              <w:spacing w:after="0"/>
              <w:rPr>
                <w:sz w:val="20"/>
                <w:szCs w:val="20"/>
                <w:color w:val="auto"/>
              </w:rPr>
            </w:pPr>
            <w:r>
              <w:rPr>
                <w:rFonts w:ascii="Arial" w:cs="Arial" w:eastAsia="Arial" w:hAnsi="Arial"/>
                <w:sz w:val="14"/>
                <w:szCs w:val="14"/>
                <w:b w:val="1"/>
                <w:bCs w:val="1"/>
                <w:color w:val="455986"/>
              </w:rPr>
              <w:t>Audit</w:t>
            </w:r>
          </w:p>
        </w:tc>
        <w:tc>
          <w:tcPr>
            <w:tcW w:w="2400" w:type="dxa"/>
            <w:vAlign w:val="bottom"/>
            <w:tcBorders>
              <w:bottom w:val="single" w:sz="8" w:color="231F20"/>
            </w:tcBorders>
          </w:tcPr>
          <w:p>
            <w:pPr>
              <w:ind w:left="120"/>
              <w:spacing w:after="0"/>
              <w:rPr>
                <w:sz w:val="20"/>
                <w:szCs w:val="20"/>
                <w:color w:val="auto"/>
              </w:rPr>
            </w:pPr>
            <w:r>
              <w:rPr>
                <w:rFonts w:ascii="Arial" w:cs="Arial" w:eastAsia="Arial" w:hAnsi="Arial"/>
                <w:sz w:val="14"/>
                <w:szCs w:val="14"/>
                <w:b w:val="1"/>
                <w:bCs w:val="1"/>
                <w:color w:val="4395D4"/>
              </w:rPr>
              <w:t>Lee C. Stewart*</w:t>
            </w:r>
          </w:p>
        </w:tc>
        <w:tc>
          <w:tcPr>
            <w:tcW w:w="6140" w:type="dxa"/>
            <w:vAlign w:val="bottom"/>
            <w:tcBorders>
              <w:bottom w:val="single" w:sz="8" w:color="231F20"/>
            </w:tcBorders>
          </w:tcPr>
          <w:p>
            <w:pPr>
              <w:ind w:left="540"/>
              <w:spacing w:after="0"/>
              <w:rPr>
                <w:sz w:val="20"/>
                <w:szCs w:val="20"/>
                <w:color w:val="auto"/>
              </w:rPr>
            </w:pPr>
            <w:r>
              <w:rPr>
                <w:rFonts w:ascii="Arial" w:cs="Arial" w:eastAsia="Arial" w:hAnsi="Arial"/>
                <w:sz w:val="14"/>
                <w:szCs w:val="14"/>
                <w:color w:val="231F20"/>
              </w:rPr>
              <w:t>Francis O. Idehen*, Edwina Kelly**</w:t>
            </w:r>
          </w:p>
        </w:tc>
      </w:tr>
      <w:tr>
        <w:trPr>
          <w:trHeight w:val="197"/>
        </w:trPr>
        <w:tc>
          <w:tcPr>
            <w:tcW w:w="2700" w:type="dxa"/>
            <w:vAlign w:val="bottom"/>
            <w:tcBorders>
              <w:bottom w:val="single" w:sz="8" w:color="231F20"/>
            </w:tcBorders>
          </w:tcPr>
          <w:p>
            <w:pPr>
              <w:spacing w:after="0"/>
              <w:rPr>
                <w:sz w:val="20"/>
                <w:szCs w:val="20"/>
                <w:color w:val="auto"/>
              </w:rPr>
            </w:pPr>
            <w:r>
              <w:rPr>
                <w:rFonts w:ascii="Arial" w:cs="Arial" w:eastAsia="Arial" w:hAnsi="Arial"/>
                <w:sz w:val="14"/>
                <w:szCs w:val="14"/>
                <w:b w:val="1"/>
                <w:bCs w:val="1"/>
                <w:color w:val="455986"/>
              </w:rPr>
              <w:t>Corporate Governance</w:t>
            </w:r>
          </w:p>
        </w:tc>
        <w:tc>
          <w:tcPr>
            <w:tcW w:w="2400" w:type="dxa"/>
            <w:vAlign w:val="bottom"/>
            <w:tcBorders>
              <w:bottom w:val="single" w:sz="8" w:color="231F20"/>
            </w:tcBorders>
          </w:tcPr>
          <w:p>
            <w:pPr>
              <w:ind w:left="120"/>
              <w:spacing w:after="0"/>
              <w:rPr>
                <w:sz w:val="20"/>
                <w:szCs w:val="20"/>
                <w:color w:val="auto"/>
              </w:rPr>
            </w:pPr>
            <w:r>
              <w:rPr>
                <w:rFonts w:ascii="Arial" w:cs="Arial" w:eastAsia="Arial" w:hAnsi="Arial"/>
                <w:sz w:val="14"/>
                <w:szCs w:val="14"/>
                <w:b w:val="1"/>
                <w:bCs w:val="1"/>
                <w:color w:val="4395D4"/>
              </w:rPr>
              <w:t>Elizabeth B. Amato</w:t>
            </w:r>
          </w:p>
        </w:tc>
        <w:tc>
          <w:tcPr>
            <w:tcW w:w="6140" w:type="dxa"/>
            <w:vAlign w:val="bottom"/>
            <w:tcBorders>
              <w:bottom w:val="single" w:sz="8" w:color="231F20"/>
            </w:tcBorders>
          </w:tcPr>
          <w:p>
            <w:pPr>
              <w:ind w:left="540"/>
              <w:spacing w:after="0"/>
              <w:rPr>
                <w:sz w:val="20"/>
                <w:szCs w:val="20"/>
                <w:color w:val="auto"/>
              </w:rPr>
            </w:pPr>
            <w:r>
              <w:rPr>
                <w:rFonts w:ascii="Arial" w:cs="Arial" w:eastAsia="Arial" w:hAnsi="Arial"/>
                <w:sz w:val="14"/>
                <w:szCs w:val="14"/>
                <w:color w:val="231F20"/>
              </w:rPr>
              <w:t>Daniel J. Hilferty, Francis O. Idehen, Ellen T. Ruff, Christopher C. Womack</w:t>
            </w:r>
          </w:p>
        </w:tc>
      </w:tr>
      <w:tr>
        <w:trPr>
          <w:trHeight w:val="197"/>
        </w:trPr>
        <w:tc>
          <w:tcPr>
            <w:tcW w:w="2700" w:type="dxa"/>
            <w:vAlign w:val="bottom"/>
            <w:tcBorders>
              <w:bottom w:val="single" w:sz="8" w:color="231F20"/>
            </w:tcBorders>
          </w:tcPr>
          <w:p>
            <w:pPr>
              <w:spacing w:after="0"/>
              <w:rPr>
                <w:sz w:val="20"/>
                <w:szCs w:val="20"/>
                <w:color w:val="auto"/>
              </w:rPr>
            </w:pPr>
            <w:r>
              <w:rPr>
                <w:rFonts w:ascii="Arial" w:cs="Arial" w:eastAsia="Arial" w:hAnsi="Arial"/>
                <w:sz w:val="14"/>
                <w:szCs w:val="14"/>
                <w:b w:val="1"/>
                <w:bCs w:val="1"/>
                <w:color w:val="455986"/>
              </w:rPr>
              <w:t>Executive Compensation</w:t>
            </w:r>
          </w:p>
        </w:tc>
        <w:tc>
          <w:tcPr>
            <w:tcW w:w="2400" w:type="dxa"/>
            <w:vAlign w:val="bottom"/>
            <w:tcBorders>
              <w:bottom w:val="single" w:sz="8" w:color="231F20"/>
            </w:tcBorders>
          </w:tcPr>
          <w:p>
            <w:pPr>
              <w:ind w:left="120"/>
              <w:spacing w:after="0"/>
              <w:rPr>
                <w:sz w:val="20"/>
                <w:szCs w:val="20"/>
                <w:color w:val="auto"/>
              </w:rPr>
            </w:pPr>
            <w:r>
              <w:rPr>
                <w:rFonts w:ascii="Arial" w:cs="Arial" w:eastAsia="Arial" w:hAnsi="Arial"/>
                <w:sz w:val="14"/>
                <w:szCs w:val="14"/>
                <w:b w:val="1"/>
                <w:bCs w:val="1"/>
                <w:color w:val="4395D4"/>
              </w:rPr>
              <w:t>Daniel J. Hilferty</w:t>
            </w:r>
          </w:p>
        </w:tc>
        <w:tc>
          <w:tcPr>
            <w:tcW w:w="6140" w:type="dxa"/>
            <w:vAlign w:val="bottom"/>
            <w:tcBorders>
              <w:bottom w:val="single" w:sz="8" w:color="231F20"/>
            </w:tcBorders>
          </w:tcPr>
          <w:p>
            <w:pPr>
              <w:ind w:left="540"/>
              <w:spacing w:after="0"/>
              <w:rPr>
                <w:sz w:val="20"/>
                <w:szCs w:val="20"/>
                <w:color w:val="auto"/>
              </w:rPr>
            </w:pPr>
            <w:r>
              <w:rPr>
                <w:rFonts w:ascii="Arial" w:cs="Arial" w:eastAsia="Arial" w:hAnsi="Arial"/>
                <w:sz w:val="14"/>
                <w:szCs w:val="14"/>
                <w:color w:val="231F20"/>
              </w:rPr>
              <w:t>Elizabeth B. Amato, Ellen T. Ruff, Lee C. Stewart</w:t>
            </w:r>
          </w:p>
        </w:tc>
      </w:tr>
      <w:tr>
        <w:trPr>
          <w:trHeight w:val="197"/>
        </w:trPr>
        <w:tc>
          <w:tcPr>
            <w:tcW w:w="2700" w:type="dxa"/>
            <w:vAlign w:val="bottom"/>
            <w:tcBorders>
              <w:bottom w:val="single" w:sz="8" w:color="231F20"/>
            </w:tcBorders>
          </w:tcPr>
          <w:p>
            <w:pPr>
              <w:spacing w:after="0"/>
              <w:rPr>
                <w:sz w:val="20"/>
                <w:szCs w:val="20"/>
                <w:color w:val="auto"/>
              </w:rPr>
            </w:pPr>
            <w:r>
              <w:rPr>
                <w:rFonts w:ascii="Arial" w:cs="Arial" w:eastAsia="Arial" w:hAnsi="Arial"/>
                <w:sz w:val="14"/>
                <w:szCs w:val="14"/>
                <w:b w:val="1"/>
                <w:bCs w:val="1"/>
                <w:color w:val="455986"/>
              </w:rPr>
              <w:t>Executive</w:t>
            </w:r>
          </w:p>
        </w:tc>
        <w:tc>
          <w:tcPr>
            <w:tcW w:w="2400" w:type="dxa"/>
            <w:vAlign w:val="bottom"/>
            <w:tcBorders>
              <w:bottom w:val="single" w:sz="8" w:color="231F20"/>
            </w:tcBorders>
          </w:tcPr>
          <w:p>
            <w:pPr>
              <w:ind w:left="120"/>
              <w:spacing w:after="0"/>
              <w:rPr>
                <w:sz w:val="20"/>
                <w:szCs w:val="20"/>
                <w:color w:val="auto"/>
              </w:rPr>
            </w:pPr>
            <w:r>
              <w:rPr>
                <w:rFonts w:ascii="Arial" w:cs="Arial" w:eastAsia="Arial" w:hAnsi="Arial"/>
                <w:sz w:val="14"/>
                <w:szCs w:val="14"/>
                <w:b w:val="1"/>
                <w:bCs w:val="1"/>
                <w:color w:val="4395D4"/>
              </w:rPr>
              <w:t>Christopher H. Franklin</w:t>
            </w:r>
          </w:p>
        </w:tc>
        <w:tc>
          <w:tcPr>
            <w:tcW w:w="6140" w:type="dxa"/>
            <w:vAlign w:val="bottom"/>
            <w:tcBorders>
              <w:bottom w:val="single" w:sz="8" w:color="231F20"/>
            </w:tcBorders>
          </w:tcPr>
          <w:p>
            <w:pPr>
              <w:ind w:left="540"/>
              <w:spacing w:after="0"/>
              <w:rPr>
                <w:sz w:val="20"/>
                <w:szCs w:val="20"/>
                <w:color w:val="auto"/>
              </w:rPr>
            </w:pPr>
            <w:r>
              <w:rPr>
                <w:rFonts w:ascii="Arial" w:cs="Arial" w:eastAsia="Arial" w:hAnsi="Arial"/>
                <w:sz w:val="14"/>
                <w:szCs w:val="14"/>
                <w:color w:val="231F20"/>
              </w:rPr>
              <w:t>Daniel J. Hilferty, Lee C. Stewart, Ellen T. Ruff</w:t>
            </w:r>
          </w:p>
        </w:tc>
      </w:tr>
      <w:tr>
        <w:trPr>
          <w:trHeight w:val="197"/>
        </w:trPr>
        <w:tc>
          <w:tcPr>
            <w:tcW w:w="2700" w:type="dxa"/>
            <w:vAlign w:val="bottom"/>
            <w:tcBorders>
              <w:bottom w:val="single" w:sz="8" w:color="455986"/>
            </w:tcBorders>
          </w:tcPr>
          <w:p>
            <w:pPr>
              <w:spacing w:after="0"/>
              <w:rPr>
                <w:sz w:val="20"/>
                <w:szCs w:val="20"/>
                <w:color w:val="auto"/>
              </w:rPr>
            </w:pPr>
            <w:r>
              <w:rPr>
                <w:rFonts w:ascii="Arial" w:cs="Arial" w:eastAsia="Arial" w:hAnsi="Arial"/>
                <w:sz w:val="14"/>
                <w:szCs w:val="14"/>
                <w:b w:val="1"/>
                <w:bCs w:val="1"/>
                <w:color w:val="455986"/>
              </w:rPr>
              <w:t>Risk Mitigation and Investment Policy</w:t>
            </w:r>
          </w:p>
        </w:tc>
        <w:tc>
          <w:tcPr>
            <w:tcW w:w="2400" w:type="dxa"/>
            <w:vAlign w:val="bottom"/>
            <w:tcBorders>
              <w:bottom w:val="single" w:sz="8" w:color="455986"/>
            </w:tcBorders>
          </w:tcPr>
          <w:p>
            <w:pPr>
              <w:ind w:left="120"/>
              <w:spacing w:after="0"/>
              <w:rPr>
                <w:sz w:val="20"/>
                <w:szCs w:val="20"/>
                <w:color w:val="auto"/>
              </w:rPr>
            </w:pPr>
            <w:r>
              <w:rPr>
                <w:rFonts w:ascii="Arial" w:cs="Arial" w:eastAsia="Arial" w:hAnsi="Arial"/>
                <w:sz w:val="14"/>
                <w:szCs w:val="14"/>
                <w:b w:val="1"/>
                <w:bCs w:val="1"/>
                <w:color w:val="4395D4"/>
              </w:rPr>
              <w:t>Nicholas DeBenedictis***</w:t>
            </w:r>
          </w:p>
        </w:tc>
        <w:tc>
          <w:tcPr>
            <w:tcW w:w="6140" w:type="dxa"/>
            <w:vAlign w:val="bottom"/>
            <w:tcBorders>
              <w:bottom w:val="single" w:sz="8" w:color="455986"/>
            </w:tcBorders>
          </w:tcPr>
          <w:p>
            <w:pPr>
              <w:ind w:left="540"/>
              <w:spacing w:after="0"/>
              <w:rPr>
                <w:sz w:val="20"/>
                <w:szCs w:val="20"/>
                <w:color w:val="auto"/>
              </w:rPr>
            </w:pPr>
            <w:r>
              <w:rPr>
                <w:rFonts w:ascii="Arial" w:cs="Arial" w:eastAsia="Arial" w:hAnsi="Arial"/>
                <w:sz w:val="14"/>
                <w:szCs w:val="14"/>
                <w:color w:val="231F20"/>
              </w:rPr>
              <w:t>Christopher H. Franklin, Edwina Kelly**, Christopher C. Womack</w:t>
            </w:r>
          </w:p>
        </w:tc>
      </w:tr>
    </w:tbl>
    <w:p>
      <w:pPr>
        <w:spacing w:after="0" w:line="47" w:lineRule="exact"/>
        <w:rPr>
          <w:sz w:val="20"/>
          <w:szCs w:val="20"/>
          <w:color w:val="auto"/>
        </w:rPr>
      </w:pPr>
    </w:p>
    <w:p>
      <w:pPr>
        <w:ind w:left="200" w:hanging="198"/>
        <w:spacing w:after="0"/>
        <w:tabs>
          <w:tab w:leader="none" w:pos="200" w:val="left"/>
        </w:tabs>
        <w:numPr>
          <w:ilvl w:val="0"/>
          <w:numId w:val="17"/>
        </w:numPr>
        <w:rPr>
          <w:rFonts w:ascii="Arial" w:cs="Arial" w:eastAsia="Arial" w:hAnsi="Arial"/>
          <w:sz w:val="13"/>
          <w:szCs w:val="13"/>
          <w:color w:val="231F20"/>
        </w:rPr>
      </w:pPr>
      <w:r>
        <w:rPr>
          <w:rFonts w:ascii="Arial" w:cs="Arial" w:eastAsia="Arial" w:hAnsi="Arial"/>
          <w:sz w:val="13"/>
          <w:szCs w:val="13"/>
          <w:color w:val="231F20"/>
        </w:rPr>
        <w:t>Audit Committee Financial Expert</w:t>
      </w:r>
    </w:p>
    <w:p>
      <w:pPr>
        <w:spacing w:after="0" w:line="67" w:lineRule="exact"/>
        <w:rPr>
          <w:sz w:val="20"/>
          <w:szCs w:val="20"/>
          <w:color w:val="auto"/>
        </w:rPr>
      </w:pPr>
    </w:p>
    <w:p>
      <w:pPr>
        <w:ind w:left="200" w:right="480" w:hanging="198"/>
        <w:spacing w:after="0" w:line="260" w:lineRule="auto"/>
        <w:tabs>
          <w:tab w:leader="none" w:pos="200" w:val="left"/>
        </w:tabs>
        <w:numPr>
          <w:ilvl w:val="0"/>
          <w:numId w:val="18"/>
        </w:numPr>
        <w:rPr>
          <w:rFonts w:ascii="Arial" w:cs="Arial" w:eastAsia="Arial" w:hAnsi="Arial"/>
          <w:sz w:val="13"/>
          <w:szCs w:val="13"/>
          <w:color w:val="231F20"/>
        </w:rPr>
      </w:pPr>
      <w:r>
        <w:rPr>
          <w:rFonts w:ascii="Arial" w:cs="Arial" w:eastAsia="Arial" w:hAnsi="Arial"/>
          <w:sz w:val="13"/>
          <w:szCs w:val="13"/>
          <w:color w:val="231F20"/>
        </w:rPr>
        <w:t>Currently, Wendy Franks serves on our Audit and Risk Mitigation &amp; Investment Policy Committees. If Ms. Kelly is elected as a Director, it is anticipated that she will replace Ms. Franks as a member of the Company’s Audit and Risk Mitigation and Investment Policy Committees.</w:t>
      </w:r>
    </w:p>
    <w:p>
      <w:pPr>
        <w:spacing w:after="0" w:line="46" w:lineRule="exact"/>
        <w:rPr>
          <w:rFonts w:ascii="Arial" w:cs="Arial" w:eastAsia="Arial" w:hAnsi="Arial"/>
          <w:sz w:val="13"/>
          <w:szCs w:val="13"/>
          <w:color w:val="231F20"/>
        </w:rPr>
      </w:pPr>
    </w:p>
    <w:p>
      <w:pPr>
        <w:ind w:left="200" w:hanging="198"/>
        <w:spacing w:after="0"/>
        <w:tabs>
          <w:tab w:leader="none" w:pos="200" w:val="left"/>
        </w:tabs>
        <w:numPr>
          <w:ilvl w:val="0"/>
          <w:numId w:val="19"/>
        </w:numPr>
        <w:rPr>
          <w:rFonts w:ascii="Arial" w:cs="Arial" w:eastAsia="Arial" w:hAnsi="Arial"/>
          <w:sz w:val="13"/>
          <w:szCs w:val="13"/>
          <w:color w:val="auto"/>
        </w:rPr>
      </w:pPr>
      <w:r>
        <w:rPr>
          <w:rFonts w:ascii="Arial" w:cs="Arial" w:eastAsia="Arial" w:hAnsi="Arial"/>
          <w:sz w:val="13"/>
          <w:szCs w:val="13"/>
          <w:color w:val="auto"/>
        </w:rPr>
        <w:t>The present Chair of the Risk Mitigation and Investment Policy Committee, Nicholas DeBenedictis is retiring. The New Chair will be appointed following the Annual Meeting.</w:t>
      </w:r>
    </w:p>
    <w:p>
      <w:pPr>
        <w:spacing w:after="0" w:line="139" w:lineRule="exact"/>
        <w:rPr>
          <w:sz w:val="20"/>
          <w:szCs w:val="20"/>
          <w:color w:val="auto"/>
        </w:rPr>
      </w:pPr>
    </w:p>
    <w:p>
      <w:pPr>
        <w:ind w:right="280"/>
        <w:spacing w:after="0" w:line="278" w:lineRule="auto"/>
        <w:rPr>
          <w:sz w:val="20"/>
          <w:szCs w:val="20"/>
          <w:color w:val="auto"/>
        </w:rPr>
      </w:pPr>
      <w:r>
        <w:rPr>
          <w:rFonts w:ascii="Arial" w:cs="Arial" w:eastAsia="Arial" w:hAnsi="Arial"/>
          <w:sz w:val="14"/>
          <w:szCs w:val="14"/>
          <w:color w:val="231F20"/>
        </w:rPr>
        <w:t>Annually, the Corporate Governance Committee and the Board of Directors review the membership of the individuals on the Committees and re-organize the Committees, if necessary.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894715</wp:posOffset>
            </wp:positionV>
            <wp:extent cx="713994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9940" cy="825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84455</wp:posOffset>
            </wp:positionV>
            <wp:extent cx="5948680" cy="68072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948680" cy="6807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7960"/>
        <w:spacing w:after="0"/>
        <w:tabs>
          <w:tab w:leader="none" w:pos="11060" w:val="left"/>
        </w:tabs>
        <w:rPr>
          <w:sz w:val="20"/>
          <w:szCs w:val="20"/>
          <w:color w:val="auto"/>
        </w:rPr>
      </w:pPr>
      <w:r>
        <w:rPr>
          <w:rFonts w:ascii="Arial" w:cs="Arial" w:eastAsia="Arial" w:hAnsi="Arial"/>
          <w:sz w:val="12"/>
          <w:szCs w:val="12"/>
          <w:color w:val="4395D4"/>
        </w:rPr>
        <w:t xml:space="preserve">ESSENTIAL UTILITIES, INC. </w:t>
      </w:r>
      <w:r>
        <w:rPr>
          <w:rFonts w:ascii="Arial" w:cs="Arial" w:eastAsia="Arial" w:hAnsi="Arial"/>
          <w:sz w:val="12"/>
          <w:szCs w:val="12"/>
          <w:color w:val="455986"/>
        </w:rPr>
        <w:t>2021 PROXY STATEMENT</w:t>
      </w:r>
      <w:r>
        <w:rPr>
          <w:sz w:val="20"/>
          <w:szCs w:val="20"/>
          <w:color w:val="auto"/>
        </w:rPr>
        <w:tab/>
      </w:r>
      <w:r>
        <w:rPr>
          <w:rFonts w:ascii="Arial" w:cs="Arial" w:eastAsia="Arial" w:hAnsi="Arial"/>
          <w:sz w:val="14"/>
          <w:szCs w:val="14"/>
          <w:color w:val="455986"/>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346710</wp:posOffset>
            </wp:positionV>
            <wp:extent cx="7139940" cy="2413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9940" cy="24130"/>
                    </a:xfrm>
                    <a:prstGeom prst="rect">
                      <a:avLst/>
                    </a:prstGeom>
                    <a:noFill/>
                  </pic:spPr>
                </pic:pic>
              </a:graphicData>
            </a:graphic>
          </wp:anchor>
        </w:drawing>
      </w:r>
    </w:p>
    <w:p>
      <w:pPr>
        <w:sectPr>
          <w:pgSz w:w="11900" w:h="16838" w:orient="portrait"/>
          <w:cols w:equalWidth="0" w:num="1">
            <w:col w:w="11240"/>
          </w:cols>
          <w:pgMar w:left="320" w:top="637" w:right="339" w:bottom="1440" w:gutter="0" w:footer="0" w:header="0"/>
        </w:sectPr>
      </w:pPr>
    </w:p>
    <w:bookmarkStart w:id="14" w:name="page15"/>
    <w:bookmarkEnd w:id="14"/>
    <w:p>
      <w:pPr>
        <w:spacing w:after="0"/>
        <w:rPr>
          <w:sz w:val="20"/>
          <w:szCs w:val="20"/>
          <w:color w:val="auto"/>
        </w:rPr>
      </w:pPr>
      <w:r>
        <w:rPr>
          <w:rFonts w:ascii="Arial" w:cs="Arial" w:eastAsia="Arial" w:hAnsi="Arial"/>
          <w:sz w:val="14"/>
          <w:szCs w:val="14"/>
          <w:b w:val="1"/>
          <w:bCs w:val="1"/>
          <w:color w:val="455986"/>
        </w:rPr>
        <w:t>Proposal 1: Election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27940</wp:posOffset>
            </wp:positionV>
            <wp:extent cx="713994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9940" cy="8255"/>
                    </a:xfrm>
                    <a:prstGeom prst="rect">
                      <a:avLst/>
                    </a:prstGeom>
                    <a:noFill/>
                  </pic:spPr>
                </pic:pic>
              </a:graphicData>
            </a:graphic>
          </wp:anchor>
        </w:drawing>
      </w:r>
    </w:p>
    <w:p>
      <w:pPr>
        <w:spacing w:after="0" w:line="76" w:lineRule="exact"/>
        <w:rPr>
          <w:sz w:val="20"/>
          <w:szCs w:val="20"/>
          <w:color w:val="auto"/>
        </w:rPr>
      </w:pPr>
    </w:p>
    <w:p>
      <w:pPr>
        <w:spacing w:after="0"/>
        <w:rPr>
          <w:sz w:val="20"/>
          <w:szCs w:val="20"/>
          <w:color w:val="auto"/>
        </w:rPr>
      </w:pPr>
      <w:r>
        <w:rPr>
          <w:rFonts w:ascii="Arial" w:cs="Arial" w:eastAsia="Arial" w:hAnsi="Arial"/>
          <w:sz w:val="14"/>
          <w:szCs w:val="14"/>
          <w:color w:val="231F20"/>
        </w:rPr>
        <w:t>Nominees for Election at the 2021 Annual Meeting</w:t>
      </w:r>
    </w:p>
    <w:p>
      <w:pPr>
        <w:spacing w:after="0" w:line="163" w:lineRule="exact"/>
        <w:rPr>
          <w:sz w:val="20"/>
          <w:szCs w:val="20"/>
          <w:color w:val="auto"/>
        </w:rPr>
      </w:pPr>
    </w:p>
    <w:p>
      <w:pPr>
        <w:spacing w:after="0"/>
        <w:rPr>
          <w:sz w:val="20"/>
          <w:szCs w:val="20"/>
          <w:color w:val="auto"/>
        </w:rPr>
      </w:pPr>
      <w:r>
        <w:rPr>
          <w:rFonts w:ascii="Arial" w:cs="Arial" w:eastAsia="Arial" w:hAnsi="Arial"/>
          <w:sz w:val="24"/>
          <w:szCs w:val="24"/>
          <w:b w:val="1"/>
          <w:bCs w:val="1"/>
          <w:color w:val="455986"/>
        </w:rPr>
        <w:t>Nominees for Election at the 2021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145415</wp:posOffset>
            </wp:positionV>
            <wp:extent cx="713994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9940" cy="8255"/>
                    </a:xfrm>
                    <a:prstGeom prst="rect">
                      <a:avLst/>
                    </a:prstGeom>
                    <a:noFill/>
                  </pic:spPr>
                </pic:pic>
              </a:graphicData>
            </a:graphic>
          </wp:anchor>
        </w:drawing>
      </w:r>
    </w:p>
    <w:p>
      <w:pPr>
        <w:spacing w:after="0" w:line="281" w:lineRule="exact"/>
        <w:rPr>
          <w:sz w:val="20"/>
          <w:szCs w:val="20"/>
          <w:color w:val="auto"/>
        </w:rPr>
      </w:pPr>
    </w:p>
    <w:tbl>
      <w:tblPr>
        <w:tblLayout w:type="fixed"/>
        <w:tblInd w:w="2260" w:type="dxa"/>
        <w:tblCellMar>
          <w:top w:w="0" w:type="dxa"/>
          <w:left w:w="0" w:type="dxa"/>
          <w:bottom w:w="0" w:type="dxa"/>
          <w:right w:w="0" w:type="dxa"/>
        </w:tblCellMar>
      </w:tblPr>
      <w:tr>
        <w:trPr>
          <w:trHeight w:val="310"/>
        </w:trPr>
        <w:tc>
          <w:tcPr>
            <w:tcW w:w="5480" w:type="dxa"/>
            <w:vAlign w:val="bottom"/>
          </w:tcPr>
          <w:p>
            <w:pPr>
              <w:spacing w:after="0"/>
              <w:rPr>
                <w:sz w:val="20"/>
                <w:szCs w:val="20"/>
                <w:color w:val="auto"/>
              </w:rPr>
            </w:pPr>
            <w:r>
              <w:rPr>
                <w:rFonts w:ascii="Arial" w:cs="Arial" w:eastAsia="Arial" w:hAnsi="Arial"/>
                <w:sz w:val="27"/>
                <w:szCs w:val="27"/>
                <w:b w:val="1"/>
                <w:bCs w:val="1"/>
                <w:color w:val="4395D4"/>
              </w:rPr>
              <w:t>Elizabeth B. Amato</w:t>
            </w:r>
          </w:p>
        </w:tc>
        <w:tc>
          <w:tcPr>
            <w:tcW w:w="2800" w:type="dxa"/>
            <w:vAlign w:val="bottom"/>
            <w:vMerge w:val="restart"/>
          </w:tcPr>
          <w:p>
            <w:pPr>
              <w:ind w:left="1260"/>
              <w:spacing w:after="0"/>
              <w:rPr>
                <w:sz w:val="20"/>
                <w:szCs w:val="20"/>
                <w:color w:val="auto"/>
              </w:rPr>
            </w:pPr>
            <w:r>
              <w:rPr>
                <w:rFonts w:ascii="Arial" w:cs="Arial" w:eastAsia="Arial" w:hAnsi="Arial"/>
                <w:sz w:val="15"/>
                <w:szCs w:val="15"/>
                <w:color w:val="231F20"/>
              </w:rPr>
              <w:t xml:space="preserve">Director since </w:t>
            </w:r>
            <w:r>
              <w:rPr>
                <w:rFonts w:ascii="Arial" w:cs="Arial" w:eastAsia="Arial" w:hAnsi="Arial"/>
                <w:sz w:val="15"/>
                <w:szCs w:val="15"/>
                <w:b w:val="1"/>
                <w:bCs w:val="1"/>
                <w:color w:val="4395D4"/>
              </w:rPr>
              <w:t>2018</w:t>
            </w:r>
          </w:p>
        </w:tc>
        <w:tc>
          <w:tcPr>
            <w:tcW w:w="0" w:type="dxa"/>
            <w:vAlign w:val="bottom"/>
          </w:tcPr>
          <w:p>
            <w:pPr>
              <w:spacing w:after="0"/>
              <w:rPr>
                <w:sz w:val="1"/>
                <w:szCs w:val="1"/>
                <w:color w:val="auto"/>
              </w:rPr>
            </w:pPr>
          </w:p>
        </w:tc>
      </w:tr>
      <w:tr>
        <w:trPr>
          <w:trHeight w:val="46"/>
        </w:trPr>
        <w:tc>
          <w:tcPr>
            <w:tcW w:w="5480" w:type="dxa"/>
            <w:vAlign w:val="bottom"/>
          </w:tcPr>
          <w:p>
            <w:pPr>
              <w:spacing w:after="0"/>
              <w:rPr>
                <w:sz w:val="3"/>
                <w:szCs w:val="3"/>
                <w:color w:val="auto"/>
              </w:rPr>
            </w:pPr>
          </w:p>
        </w:tc>
        <w:tc>
          <w:tcPr>
            <w:tcW w:w="280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15"/>
        </w:trPr>
        <w:tc>
          <w:tcPr>
            <w:tcW w:w="5480" w:type="dxa"/>
            <w:vAlign w:val="bottom"/>
            <w:vMerge w:val="restart"/>
          </w:tcPr>
          <w:p>
            <w:pPr>
              <w:spacing w:after="0"/>
              <w:rPr>
                <w:sz w:val="20"/>
                <w:szCs w:val="20"/>
                <w:color w:val="auto"/>
              </w:rPr>
            </w:pPr>
            <w:r>
              <w:rPr>
                <w:rFonts w:ascii="Arial" w:cs="Arial" w:eastAsia="Arial" w:hAnsi="Arial"/>
                <w:sz w:val="14"/>
                <w:szCs w:val="14"/>
                <w:color w:val="231F20"/>
              </w:rPr>
              <w:t>Former Executive Vice President and Chief Human Resources Officer,</w:t>
            </w:r>
          </w:p>
        </w:tc>
        <w:tc>
          <w:tcPr>
            <w:tcW w:w="2800" w:type="dxa"/>
            <w:vAlign w:val="bottom"/>
          </w:tcPr>
          <w:p>
            <w:pPr>
              <w:ind w:left="1260"/>
              <w:spacing w:after="0"/>
              <w:rPr>
                <w:sz w:val="20"/>
                <w:szCs w:val="20"/>
                <w:color w:val="auto"/>
              </w:rPr>
            </w:pPr>
            <w:r>
              <w:rPr>
                <w:rFonts w:ascii="Arial" w:cs="Arial" w:eastAsia="Arial" w:hAnsi="Arial"/>
                <w:sz w:val="15"/>
                <w:szCs w:val="15"/>
                <w:color w:val="231F20"/>
              </w:rPr>
              <w:t xml:space="preserve">Age </w:t>
            </w:r>
            <w:r>
              <w:rPr>
                <w:rFonts w:ascii="Arial" w:cs="Arial" w:eastAsia="Arial" w:hAnsi="Arial"/>
                <w:sz w:val="15"/>
                <w:szCs w:val="15"/>
                <w:b w:val="1"/>
                <w:bCs w:val="1"/>
                <w:color w:val="4395D4"/>
              </w:rPr>
              <w:t>64</w:t>
            </w:r>
          </w:p>
        </w:tc>
        <w:tc>
          <w:tcPr>
            <w:tcW w:w="0" w:type="dxa"/>
            <w:vAlign w:val="bottom"/>
          </w:tcPr>
          <w:p>
            <w:pPr>
              <w:spacing w:after="0"/>
              <w:rPr>
                <w:sz w:val="1"/>
                <w:szCs w:val="1"/>
                <w:color w:val="auto"/>
              </w:rPr>
            </w:pPr>
          </w:p>
        </w:tc>
      </w:tr>
      <w:tr>
        <w:trPr>
          <w:trHeight w:val="60"/>
        </w:trPr>
        <w:tc>
          <w:tcPr>
            <w:tcW w:w="5480" w:type="dxa"/>
            <w:vAlign w:val="bottom"/>
            <w:vMerge w:val="continue"/>
          </w:tcPr>
          <w:p>
            <w:pPr>
              <w:spacing w:after="0"/>
              <w:rPr>
                <w:sz w:val="5"/>
                <w:szCs w:val="5"/>
                <w:color w:val="auto"/>
              </w:rPr>
            </w:pPr>
          </w:p>
        </w:tc>
        <w:tc>
          <w:tcPr>
            <w:tcW w:w="2800" w:type="dxa"/>
            <w:vAlign w:val="bottom"/>
            <w:vMerge w:val="restart"/>
          </w:tcPr>
          <w:p>
            <w:pPr>
              <w:ind w:left="1260"/>
              <w:spacing w:after="0"/>
              <w:rPr>
                <w:sz w:val="20"/>
                <w:szCs w:val="20"/>
                <w:color w:val="auto"/>
              </w:rPr>
            </w:pPr>
            <w:r>
              <w:rPr>
                <w:rFonts w:ascii="Arial" w:cs="Arial" w:eastAsia="Arial" w:hAnsi="Arial"/>
                <w:sz w:val="15"/>
                <w:szCs w:val="15"/>
                <w:b w:val="1"/>
                <w:bCs w:val="1"/>
                <w:color w:val="4395D4"/>
              </w:rPr>
              <w:t>Independent Director</w:t>
            </w:r>
          </w:p>
        </w:tc>
        <w:tc>
          <w:tcPr>
            <w:tcW w:w="0" w:type="dxa"/>
            <w:vAlign w:val="bottom"/>
          </w:tcPr>
          <w:p>
            <w:pPr>
              <w:spacing w:after="0"/>
              <w:rPr>
                <w:sz w:val="1"/>
                <w:szCs w:val="1"/>
                <w:color w:val="auto"/>
              </w:rPr>
            </w:pPr>
          </w:p>
        </w:tc>
      </w:tr>
      <w:tr>
        <w:trPr>
          <w:trHeight w:val="183"/>
        </w:trPr>
        <w:tc>
          <w:tcPr>
            <w:tcW w:w="5480" w:type="dxa"/>
            <w:vAlign w:val="bottom"/>
          </w:tcPr>
          <w:p>
            <w:pPr>
              <w:spacing w:after="0"/>
              <w:rPr>
                <w:sz w:val="20"/>
                <w:szCs w:val="20"/>
                <w:color w:val="auto"/>
              </w:rPr>
            </w:pPr>
            <w:r>
              <w:rPr>
                <w:rFonts w:ascii="Arial" w:cs="Arial" w:eastAsia="Arial" w:hAnsi="Arial"/>
                <w:sz w:val="14"/>
                <w:szCs w:val="14"/>
                <w:color w:val="231F20"/>
              </w:rPr>
              <w:t>United Technologies Corp.</w:t>
            </w:r>
          </w:p>
        </w:tc>
        <w:tc>
          <w:tcPr>
            <w:tcW w:w="28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-408305</wp:posOffset>
            </wp:positionV>
            <wp:extent cx="1029335" cy="120777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029335" cy="1207770"/>
                    </a:xfrm>
                    <a:prstGeom prst="rect">
                      <a:avLst/>
                    </a:prstGeom>
                    <a:noFill/>
                  </pic:spPr>
                </pic:pic>
              </a:graphicData>
            </a:graphic>
          </wp:anchor>
        </w:drawing>
      </w:r>
    </w:p>
    <w:p>
      <w:pPr>
        <w:spacing w:after="0" w:line="237" w:lineRule="exact"/>
        <w:rPr>
          <w:sz w:val="20"/>
          <w:szCs w:val="20"/>
          <w:color w:val="auto"/>
        </w:rPr>
      </w:pPr>
    </w:p>
    <w:p>
      <w:pPr>
        <w:ind w:left="2260"/>
        <w:spacing w:after="0"/>
        <w:rPr>
          <w:sz w:val="20"/>
          <w:szCs w:val="20"/>
          <w:color w:val="auto"/>
        </w:rPr>
      </w:pPr>
      <w:r>
        <w:rPr>
          <w:rFonts w:ascii="Arial" w:cs="Arial" w:eastAsia="Arial" w:hAnsi="Arial"/>
          <w:sz w:val="15"/>
          <w:szCs w:val="15"/>
          <w:b w:val="1"/>
          <w:bCs w:val="1"/>
          <w:color w:val="455986"/>
        </w:rPr>
        <w:t>Experience</w:t>
      </w:r>
    </w:p>
    <w:p>
      <w:pPr>
        <w:spacing w:after="0" w:line="13" w:lineRule="exact"/>
        <w:rPr>
          <w:sz w:val="20"/>
          <w:szCs w:val="20"/>
          <w:color w:val="auto"/>
        </w:rPr>
      </w:pPr>
    </w:p>
    <w:p>
      <w:pPr>
        <w:ind w:left="2380" w:hanging="119"/>
        <w:spacing w:after="0"/>
        <w:tabs>
          <w:tab w:leader="none" w:pos="2380" w:val="left"/>
        </w:tabs>
        <w:numPr>
          <w:ilvl w:val="0"/>
          <w:numId w:val="20"/>
        </w:numPr>
        <w:rPr>
          <w:rFonts w:ascii="Times New Roman" w:cs="Times New Roman" w:eastAsia="Times New Roman" w:hAnsi="Times New Roman"/>
          <w:sz w:val="16"/>
          <w:szCs w:val="16"/>
          <w:color w:val="4395D4"/>
        </w:rPr>
      </w:pPr>
      <w:r>
        <w:rPr>
          <w:rFonts w:ascii="Arial" w:cs="Arial" w:eastAsia="Arial" w:hAnsi="Arial"/>
          <w:sz w:val="13"/>
          <w:szCs w:val="13"/>
          <w:color w:val="231F20"/>
        </w:rPr>
        <w:t xml:space="preserve">Executive Vice President &amp; Chief Human Resources Officer of United   </w:t>
      </w:r>
      <w:r>
        <w:rPr>
          <w:rFonts w:ascii="Times New Roman" w:cs="Times New Roman" w:eastAsia="Times New Roman" w:hAnsi="Times New Roman"/>
          <w:sz w:val="16"/>
          <w:szCs w:val="16"/>
          <w:color w:val="4395D4"/>
        </w:rPr>
        <w:t>·</w:t>
      </w:r>
      <w:r>
        <w:rPr>
          <w:rFonts w:ascii="Arial" w:cs="Arial" w:eastAsia="Arial" w:hAnsi="Arial"/>
          <w:sz w:val="13"/>
          <w:szCs w:val="13"/>
          <w:color w:val="231F20"/>
        </w:rPr>
        <w:t xml:space="preserve"> Ms. Amato joined UTC in 1985 at Pratt &amp; Whitney and has held a variety</w:t>
      </w:r>
    </w:p>
    <w:tbl>
      <w:tblPr>
        <w:tblLayout w:type="fixed"/>
        <w:tblInd w:w="2260" w:type="dxa"/>
        <w:tblCellMar>
          <w:top w:w="0" w:type="dxa"/>
          <w:left w:w="0" w:type="dxa"/>
          <w:bottom w:w="0" w:type="dxa"/>
          <w:right w:w="0" w:type="dxa"/>
        </w:tblCellMar>
      </w:tblPr>
      <w:tr>
        <w:trPr>
          <w:trHeight w:val="160"/>
        </w:trPr>
        <w:tc>
          <w:tcPr>
            <w:tcW w:w="4420" w:type="dxa"/>
            <w:vAlign w:val="bottom"/>
          </w:tcPr>
          <w:p>
            <w:pPr>
              <w:ind w:left="180"/>
              <w:spacing w:after="0" w:line="159" w:lineRule="exact"/>
              <w:rPr>
                <w:sz w:val="20"/>
                <w:szCs w:val="20"/>
                <w:color w:val="auto"/>
              </w:rPr>
            </w:pPr>
            <w:r>
              <w:rPr>
                <w:rFonts w:ascii="Arial" w:cs="Arial" w:eastAsia="Arial" w:hAnsi="Arial"/>
                <w:sz w:val="14"/>
                <w:szCs w:val="14"/>
                <w:color w:val="231F20"/>
              </w:rPr>
              <w:t>Technologies Corp. (UTC) 2015 to 2020.</w:t>
            </w:r>
          </w:p>
        </w:tc>
        <w:tc>
          <w:tcPr>
            <w:tcW w:w="4520" w:type="dxa"/>
            <w:vAlign w:val="bottom"/>
          </w:tcPr>
          <w:p>
            <w:pPr>
              <w:ind w:left="240"/>
              <w:spacing w:after="0" w:line="159" w:lineRule="exact"/>
              <w:rPr>
                <w:sz w:val="20"/>
                <w:szCs w:val="20"/>
                <w:color w:val="auto"/>
              </w:rPr>
            </w:pPr>
            <w:r>
              <w:rPr>
                <w:rFonts w:ascii="Arial" w:cs="Arial" w:eastAsia="Arial" w:hAnsi="Arial"/>
                <w:sz w:val="14"/>
                <w:szCs w:val="14"/>
                <w:color w:val="231F20"/>
              </w:rPr>
              <w:t>of the most senior human resources leadership positions across the</w:t>
            </w:r>
          </w:p>
        </w:tc>
        <w:tc>
          <w:tcPr>
            <w:tcW w:w="0" w:type="dxa"/>
            <w:vAlign w:val="bottom"/>
          </w:tcPr>
          <w:p>
            <w:pPr>
              <w:spacing w:after="0"/>
              <w:rPr>
                <w:sz w:val="1"/>
                <w:szCs w:val="1"/>
                <w:color w:val="auto"/>
              </w:rPr>
            </w:pPr>
          </w:p>
        </w:tc>
      </w:tr>
      <w:tr>
        <w:trPr>
          <w:trHeight w:val="177"/>
        </w:trPr>
        <w:tc>
          <w:tcPr>
            <w:tcW w:w="4420" w:type="dxa"/>
            <w:vAlign w:val="bottom"/>
          </w:tcPr>
          <w:p>
            <w:pPr>
              <w:spacing w:after="0" w:line="177" w:lineRule="exact"/>
              <w:rPr>
                <w:sz w:val="20"/>
                <w:szCs w:val="20"/>
                <w:color w:val="auto"/>
              </w:rPr>
            </w:pPr>
            <w:r>
              <w:rPr>
                <w:rFonts w:ascii="Times New Roman" w:cs="Times New Roman" w:eastAsia="Times New Roman" w:hAnsi="Times New Roman"/>
                <w:sz w:val="17"/>
                <w:szCs w:val="17"/>
                <w:color w:val="4395D4"/>
              </w:rPr>
              <w:t xml:space="preserve">· </w:t>
            </w:r>
            <w:r>
              <w:rPr>
                <w:rFonts w:ascii="Arial" w:cs="Arial" w:eastAsia="Arial" w:hAnsi="Arial"/>
                <w:sz w:val="13"/>
                <w:szCs w:val="13"/>
                <w:color w:val="231F20"/>
              </w:rPr>
              <w:t>Senior Vice President, Human Resources and Organization of UTC</w:t>
            </w:r>
          </w:p>
        </w:tc>
        <w:tc>
          <w:tcPr>
            <w:tcW w:w="4520" w:type="dxa"/>
            <w:vAlign w:val="bottom"/>
          </w:tcPr>
          <w:p>
            <w:pPr>
              <w:ind w:left="240"/>
              <w:spacing w:after="0"/>
              <w:rPr>
                <w:sz w:val="20"/>
                <w:szCs w:val="20"/>
                <w:color w:val="auto"/>
              </w:rPr>
            </w:pPr>
            <w:r>
              <w:rPr>
                <w:rFonts w:ascii="Arial" w:cs="Arial" w:eastAsia="Arial" w:hAnsi="Arial"/>
                <w:sz w:val="14"/>
                <w:szCs w:val="14"/>
                <w:color w:val="231F20"/>
              </w:rPr>
              <w:t>corporation in both aerospace and commercial building systems,</w:t>
            </w:r>
          </w:p>
        </w:tc>
        <w:tc>
          <w:tcPr>
            <w:tcW w:w="0" w:type="dxa"/>
            <w:vAlign w:val="bottom"/>
          </w:tcPr>
          <w:p>
            <w:pPr>
              <w:spacing w:after="0"/>
              <w:rPr>
                <w:sz w:val="1"/>
                <w:szCs w:val="1"/>
                <w:color w:val="auto"/>
              </w:rPr>
            </w:pPr>
          </w:p>
        </w:tc>
      </w:tr>
      <w:tr>
        <w:trPr>
          <w:trHeight w:val="129"/>
        </w:trPr>
        <w:tc>
          <w:tcPr>
            <w:tcW w:w="4420" w:type="dxa"/>
            <w:vAlign w:val="bottom"/>
            <w:vMerge w:val="restart"/>
          </w:tcPr>
          <w:p>
            <w:pPr>
              <w:ind w:left="180"/>
              <w:spacing w:after="0"/>
              <w:rPr>
                <w:sz w:val="20"/>
                <w:szCs w:val="20"/>
                <w:color w:val="auto"/>
              </w:rPr>
            </w:pPr>
            <w:r>
              <w:rPr>
                <w:rFonts w:ascii="Arial" w:cs="Arial" w:eastAsia="Arial" w:hAnsi="Arial"/>
                <w:sz w:val="14"/>
                <w:szCs w:val="14"/>
                <w:color w:val="231F20"/>
              </w:rPr>
              <w:t>with global responsibility for UTC’s Human Resources and</w:t>
            </w:r>
          </w:p>
        </w:tc>
        <w:tc>
          <w:tcPr>
            <w:tcW w:w="4520" w:type="dxa"/>
            <w:vAlign w:val="bottom"/>
          </w:tcPr>
          <w:p>
            <w:pPr>
              <w:ind w:left="240"/>
              <w:spacing w:after="0" w:line="129" w:lineRule="exact"/>
              <w:rPr>
                <w:sz w:val="20"/>
                <w:szCs w:val="20"/>
                <w:color w:val="auto"/>
              </w:rPr>
            </w:pPr>
            <w:r>
              <w:rPr>
                <w:rFonts w:ascii="Arial" w:cs="Arial" w:eastAsia="Arial" w:hAnsi="Arial"/>
                <w:sz w:val="14"/>
                <w:szCs w:val="14"/>
                <w:color w:val="231F20"/>
                <w:w w:val="96"/>
              </w:rPr>
              <w:t>including UTC Climate, Controls &amp; Security (2011-2012), Carrier (2010-</w:t>
            </w:r>
          </w:p>
        </w:tc>
        <w:tc>
          <w:tcPr>
            <w:tcW w:w="0" w:type="dxa"/>
            <w:vAlign w:val="bottom"/>
          </w:tcPr>
          <w:p>
            <w:pPr>
              <w:spacing w:after="0"/>
              <w:rPr>
                <w:sz w:val="1"/>
                <w:szCs w:val="1"/>
                <w:color w:val="auto"/>
              </w:rPr>
            </w:pPr>
          </w:p>
        </w:tc>
      </w:tr>
      <w:tr>
        <w:trPr>
          <w:trHeight w:val="64"/>
        </w:trPr>
        <w:tc>
          <w:tcPr>
            <w:tcW w:w="4420" w:type="dxa"/>
            <w:vAlign w:val="bottom"/>
            <w:vMerge w:val="continue"/>
          </w:tcPr>
          <w:p>
            <w:pPr>
              <w:spacing w:after="0"/>
              <w:rPr>
                <w:sz w:val="5"/>
                <w:szCs w:val="5"/>
                <w:color w:val="auto"/>
              </w:rPr>
            </w:pPr>
          </w:p>
        </w:tc>
        <w:tc>
          <w:tcPr>
            <w:tcW w:w="4520" w:type="dxa"/>
            <w:vAlign w:val="bottom"/>
            <w:vMerge w:val="restart"/>
          </w:tcPr>
          <w:p>
            <w:pPr>
              <w:ind w:left="240"/>
              <w:spacing w:after="0"/>
              <w:rPr>
                <w:sz w:val="20"/>
                <w:szCs w:val="20"/>
                <w:color w:val="auto"/>
              </w:rPr>
            </w:pPr>
            <w:r>
              <w:rPr>
                <w:rFonts w:ascii="Arial" w:cs="Arial" w:eastAsia="Arial" w:hAnsi="Arial"/>
                <w:sz w:val="14"/>
                <w:szCs w:val="14"/>
                <w:color w:val="231F20"/>
              </w:rPr>
              <w:t>2011), Pratt &amp; Whitney (2006-2009) and Sikorsky (1997-2006).</w:t>
            </w:r>
          </w:p>
        </w:tc>
        <w:tc>
          <w:tcPr>
            <w:tcW w:w="0" w:type="dxa"/>
            <w:vAlign w:val="bottom"/>
          </w:tcPr>
          <w:p>
            <w:pPr>
              <w:spacing w:after="0"/>
              <w:rPr>
                <w:sz w:val="1"/>
                <w:szCs w:val="1"/>
                <w:color w:val="auto"/>
              </w:rPr>
            </w:pPr>
          </w:p>
        </w:tc>
      </w:tr>
      <w:tr>
        <w:trPr>
          <w:trHeight w:val="119"/>
        </w:trPr>
        <w:tc>
          <w:tcPr>
            <w:tcW w:w="4420" w:type="dxa"/>
            <w:vAlign w:val="bottom"/>
            <w:vMerge w:val="restart"/>
          </w:tcPr>
          <w:p>
            <w:pPr>
              <w:ind w:left="180"/>
              <w:spacing w:after="0"/>
              <w:rPr>
                <w:sz w:val="20"/>
                <w:szCs w:val="20"/>
                <w:color w:val="auto"/>
              </w:rPr>
            </w:pPr>
            <w:r>
              <w:rPr>
                <w:rFonts w:ascii="Arial" w:cs="Arial" w:eastAsia="Arial" w:hAnsi="Arial"/>
                <w:sz w:val="14"/>
                <w:szCs w:val="14"/>
                <w:color w:val="231F20"/>
              </w:rPr>
              <w:t>Communications functions 2012-2015.</w:t>
            </w:r>
          </w:p>
        </w:tc>
        <w:tc>
          <w:tcPr>
            <w:tcW w:w="45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64"/>
        </w:trPr>
        <w:tc>
          <w:tcPr>
            <w:tcW w:w="4420" w:type="dxa"/>
            <w:vAlign w:val="bottom"/>
            <w:vMerge w:val="continue"/>
          </w:tcPr>
          <w:p>
            <w:pPr>
              <w:spacing w:after="0"/>
              <w:rPr>
                <w:sz w:val="5"/>
                <w:szCs w:val="5"/>
                <w:color w:val="auto"/>
              </w:rPr>
            </w:pPr>
          </w:p>
        </w:tc>
        <w:tc>
          <w:tcPr>
            <w:tcW w:w="452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78" w:lineRule="exact"/>
        <w:rPr>
          <w:sz w:val="20"/>
          <w:szCs w:val="20"/>
          <w:color w:val="auto"/>
        </w:rPr>
      </w:pPr>
    </w:p>
    <w:p>
      <w:pPr>
        <w:sectPr>
          <w:pgSz w:w="11900" w:h="16838" w:orient="portrait"/>
          <w:cols w:equalWidth="0" w:num="1">
            <w:col w:w="11240"/>
          </w:cols>
          <w:pgMar w:left="320" w:top="636" w:right="339" w:bottom="1440" w:gutter="0" w:footer="0" w:header="0"/>
        </w:sectPr>
      </w:pPr>
    </w:p>
    <w:p>
      <w:pPr>
        <w:spacing w:after="0"/>
        <w:rPr>
          <w:sz w:val="20"/>
          <w:szCs w:val="20"/>
          <w:color w:val="auto"/>
        </w:rPr>
      </w:pPr>
      <w:r>
        <w:rPr>
          <w:rFonts w:ascii="Arial" w:cs="Arial" w:eastAsia="Arial" w:hAnsi="Arial"/>
          <w:sz w:val="15"/>
          <w:szCs w:val="15"/>
          <w:b w:val="1"/>
          <w:bCs w:val="1"/>
          <w:color w:val="455986"/>
        </w:rPr>
        <w:t>Board Committees</w:t>
      </w:r>
    </w:p>
    <w:p>
      <w:pPr>
        <w:spacing w:after="0" w:line="26" w:lineRule="exact"/>
        <w:rPr>
          <w:sz w:val="20"/>
          <w:szCs w:val="20"/>
          <w:color w:val="auto"/>
        </w:rPr>
      </w:pPr>
    </w:p>
    <w:p>
      <w:pPr>
        <w:ind w:left="180" w:right="40" w:hanging="178"/>
        <w:spacing w:after="0" w:line="255" w:lineRule="auto"/>
        <w:tabs>
          <w:tab w:leader="none" w:pos="138" w:val="left"/>
        </w:tabs>
        <w:numPr>
          <w:ilvl w:val="0"/>
          <w:numId w:val="21"/>
        </w:numPr>
        <w:rPr>
          <w:rFonts w:ascii="Times New Roman" w:cs="Times New Roman" w:eastAsia="Times New Roman" w:hAnsi="Times New Roman"/>
          <w:sz w:val="17"/>
          <w:szCs w:val="17"/>
          <w:color w:val="231F20"/>
        </w:rPr>
      </w:pPr>
      <w:r>
        <w:rPr>
          <w:rFonts w:ascii="Arial" w:cs="Arial" w:eastAsia="Arial" w:hAnsi="Arial"/>
          <w:sz w:val="15"/>
          <w:szCs w:val="15"/>
          <w:color w:val="231F20"/>
        </w:rPr>
        <w:t>Chair, Corporate Governance Committee</w:t>
      </w:r>
    </w:p>
    <w:p>
      <w:pPr>
        <w:ind w:left="180" w:hanging="178"/>
        <w:spacing w:after="0" w:line="260" w:lineRule="auto"/>
        <w:tabs>
          <w:tab w:leader="none" w:pos="138" w:val="left"/>
        </w:tabs>
        <w:numPr>
          <w:ilvl w:val="0"/>
          <w:numId w:val="21"/>
        </w:numPr>
        <w:rPr>
          <w:rFonts w:ascii="Times New Roman" w:cs="Times New Roman" w:eastAsia="Times New Roman" w:hAnsi="Times New Roman"/>
          <w:sz w:val="17"/>
          <w:szCs w:val="17"/>
          <w:color w:val="231F20"/>
        </w:rPr>
      </w:pPr>
      <w:r>
        <w:rPr>
          <w:rFonts w:ascii="Arial" w:cs="Arial" w:eastAsia="Arial" w:hAnsi="Arial"/>
          <w:sz w:val="15"/>
          <w:szCs w:val="15"/>
          <w:color w:val="231F20"/>
        </w:rPr>
        <w:t>Executive Compensation Committee</w:t>
      </w:r>
    </w:p>
    <w:p>
      <w:pPr>
        <w:spacing w:after="0" w:line="148" w:lineRule="exact"/>
        <w:rPr>
          <w:sz w:val="20"/>
          <w:szCs w:val="20"/>
          <w:color w:val="auto"/>
        </w:rPr>
      </w:pPr>
    </w:p>
    <w:p>
      <w:pPr>
        <w:spacing w:after="0"/>
        <w:rPr>
          <w:sz w:val="20"/>
          <w:szCs w:val="20"/>
          <w:color w:val="auto"/>
        </w:rPr>
      </w:pPr>
      <w:r>
        <w:rPr>
          <w:rFonts w:ascii="Arial" w:cs="Arial" w:eastAsia="Arial" w:hAnsi="Arial"/>
          <w:sz w:val="15"/>
          <w:szCs w:val="15"/>
          <w:b w:val="1"/>
          <w:bCs w:val="1"/>
          <w:color w:val="455986"/>
        </w:rPr>
        <w:t>Key Skills</w:t>
      </w:r>
    </w:p>
    <w:p>
      <w:pPr>
        <w:spacing w:after="0" w:line="26" w:lineRule="exact"/>
        <w:rPr>
          <w:sz w:val="20"/>
          <w:szCs w:val="20"/>
          <w:color w:val="auto"/>
        </w:rPr>
      </w:pPr>
    </w:p>
    <w:p>
      <w:pPr>
        <w:ind w:left="120" w:hanging="118"/>
        <w:spacing w:after="0"/>
        <w:tabs>
          <w:tab w:leader="none" w:pos="120" w:val="left"/>
        </w:tabs>
        <w:numPr>
          <w:ilvl w:val="0"/>
          <w:numId w:val="22"/>
        </w:numPr>
        <w:rPr>
          <w:rFonts w:ascii="Times New Roman" w:cs="Times New Roman" w:eastAsia="Times New Roman" w:hAnsi="Times New Roman"/>
          <w:sz w:val="17"/>
          <w:szCs w:val="17"/>
          <w:color w:val="231F20"/>
        </w:rPr>
      </w:pPr>
      <w:r>
        <w:rPr>
          <w:rFonts w:ascii="Arial" w:cs="Arial" w:eastAsia="Arial" w:hAnsi="Arial"/>
          <w:sz w:val="15"/>
          <w:szCs w:val="15"/>
          <w:color w:val="231F20"/>
        </w:rPr>
        <w:t>Legal/Government</w:t>
      </w:r>
    </w:p>
    <w:p>
      <w:pPr>
        <w:spacing w:after="0" w:line="8" w:lineRule="exact"/>
        <w:rPr>
          <w:rFonts w:ascii="Times New Roman" w:cs="Times New Roman" w:eastAsia="Times New Roman" w:hAnsi="Times New Roman"/>
          <w:sz w:val="17"/>
          <w:szCs w:val="17"/>
          <w:color w:val="231F20"/>
        </w:rPr>
      </w:pPr>
    </w:p>
    <w:p>
      <w:pPr>
        <w:ind w:left="120" w:hanging="118"/>
        <w:spacing w:after="0"/>
        <w:tabs>
          <w:tab w:leader="none" w:pos="120" w:val="left"/>
        </w:tabs>
        <w:numPr>
          <w:ilvl w:val="0"/>
          <w:numId w:val="22"/>
        </w:numPr>
        <w:rPr>
          <w:rFonts w:ascii="Times New Roman" w:cs="Times New Roman" w:eastAsia="Times New Roman" w:hAnsi="Times New Roman"/>
          <w:sz w:val="17"/>
          <w:szCs w:val="17"/>
          <w:color w:val="231F20"/>
        </w:rPr>
      </w:pPr>
      <w:r>
        <w:rPr>
          <w:rFonts w:ascii="Arial" w:cs="Arial" w:eastAsia="Arial" w:hAnsi="Arial"/>
          <w:sz w:val="15"/>
          <w:szCs w:val="15"/>
          <w:color w:val="231F20"/>
        </w:rPr>
        <w:t>Leadership</w:t>
      </w:r>
    </w:p>
    <w:p>
      <w:pPr>
        <w:spacing w:after="0" w:line="8" w:lineRule="exact"/>
        <w:rPr>
          <w:rFonts w:ascii="Times New Roman" w:cs="Times New Roman" w:eastAsia="Times New Roman" w:hAnsi="Times New Roman"/>
          <w:sz w:val="17"/>
          <w:szCs w:val="17"/>
          <w:color w:val="231F20"/>
        </w:rPr>
      </w:pPr>
    </w:p>
    <w:p>
      <w:pPr>
        <w:ind w:left="120" w:hanging="118"/>
        <w:spacing w:after="0"/>
        <w:tabs>
          <w:tab w:leader="none" w:pos="120" w:val="left"/>
        </w:tabs>
        <w:numPr>
          <w:ilvl w:val="0"/>
          <w:numId w:val="22"/>
        </w:numPr>
        <w:rPr>
          <w:rFonts w:ascii="Times New Roman" w:cs="Times New Roman" w:eastAsia="Times New Roman" w:hAnsi="Times New Roman"/>
          <w:sz w:val="17"/>
          <w:szCs w:val="17"/>
          <w:color w:val="231F20"/>
        </w:rPr>
      </w:pPr>
      <w:r>
        <w:rPr>
          <w:rFonts w:ascii="Arial" w:cs="Arial" w:eastAsia="Arial" w:hAnsi="Arial"/>
          <w:sz w:val="15"/>
          <w:szCs w:val="15"/>
          <w:color w:val="231F20"/>
        </w:rPr>
        <w:t>Mergers &amp; Acquisitions</w:t>
      </w:r>
    </w:p>
    <w:p>
      <w:pPr>
        <w:spacing w:after="0" w:line="8" w:lineRule="exact"/>
        <w:rPr>
          <w:rFonts w:ascii="Times New Roman" w:cs="Times New Roman" w:eastAsia="Times New Roman" w:hAnsi="Times New Roman"/>
          <w:sz w:val="17"/>
          <w:szCs w:val="17"/>
          <w:color w:val="231F20"/>
        </w:rPr>
      </w:pPr>
    </w:p>
    <w:p>
      <w:pPr>
        <w:ind w:left="120" w:hanging="118"/>
        <w:spacing w:after="0"/>
        <w:tabs>
          <w:tab w:leader="none" w:pos="120" w:val="left"/>
        </w:tabs>
        <w:numPr>
          <w:ilvl w:val="0"/>
          <w:numId w:val="22"/>
        </w:numPr>
        <w:rPr>
          <w:rFonts w:ascii="Times New Roman" w:cs="Times New Roman" w:eastAsia="Times New Roman" w:hAnsi="Times New Roman"/>
          <w:sz w:val="17"/>
          <w:szCs w:val="17"/>
          <w:color w:val="231F20"/>
        </w:rPr>
      </w:pPr>
      <w:r>
        <w:rPr>
          <w:rFonts w:ascii="Arial" w:cs="Arial" w:eastAsia="Arial" w:hAnsi="Arial"/>
          <w:sz w:val="15"/>
          <w:szCs w:val="15"/>
          <w:color w:val="231F20"/>
        </w:rPr>
        <w:t>Geographic Diversity</w:t>
      </w:r>
    </w:p>
    <w:p>
      <w:pPr>
        <w:spacing w:after="0" w:line="8" w:lineRule="exact"/>
        <w:rPr>
          <w:rFonts w:ascii="Times New Roman" w:cs="Times New Roman" w:eastAsia="Times New Roman" w:hAnsi="Times New Roman"/>
          <w:sz w:val="17"/>
          <w:szCs w:val="17"/>
          <w:color w:val="231F20"/>
        </w:rPr>
      </w:pPr>
    </w:p>
    <w:p>
      <w:pPr>
        <w:ind w:left="120" w:hanging="118"/>
        <w:spacing w:after="0"/>
        <w:tabs>
          <w:tab w:leader="none" w:pos="120" w:val="left"/>
        </w:tabs>
        <w:numPr>
          <w:ilvl w:val="0"/>
          <w:numId w:val="22"/>
        </w:numPr>
        <w:rPr>
          <w:rFonts w:ascii="Times New Roman" w:cs="Times New Roman" w:eastAsia="Times New Roman" w:hAnsi="Times New Roman"/>
          <w:sz w:val="17"/>
          <w:szCs w:val="17"/>
          <w:color w:val="231F20"/>
        </w:rPr>
      </w:pPr>
      <w:r>
        <w:rPr>
          <w:rFonts w:ascii="Arial" w:cs="Arial" w:eastAsia="Arial" w:hAnsi="Arial"/>
          <w:sz w:val="15"/>
          <w:szCs w:val="15"/>
          <w:color w:val="231F20"/>
        </w:rPr>
        <w:t>C-Suite Experience</w:t>
      </w:r>
    </w:p>
    <w:p>
      <w:pPr>
        <w:spacing w:after="0" w:line="20" w:lineRule="exact"/>
        <w:rPr>
          <w:sz w:val="20"/>
          <w:szCs w:val="20"/>
          <w:color w:val="auto"/>
        </w:rPr>
      </w:pPr>
      <w:r>
        <w:rPr>
          <w:sz w:val="20"/>
          <w:szCs w:val="20"/>
          <w:color w:val="auto"/>
        </w:rPr>
        <w:br w:type="column"/>
      </w:r>
    </w:p>
    <w:p>
      <w:pPr>
        <w:spacing w:after="0" w:line="242" w:lineRule="exact"/>
        <w:rPr>
          <w:sz w:val="20"/>
          <w:szCs w:val="20"/>
          <w:color w:val="auto"/>
        </w:rPr>
      </w:pPr>
    </w:p>
    <w:p>
      <w:pPr>
        <w:ind w:right="160"/>
        <w:spacing w:after="0" w:line="244" w:lineRule="auto"/>
        <w:rPr>
          <w:sz w:val="20"/>
          <w:szCs w:val="20"/>
          <w:color w:val="auto"/>
        </w:rPr>
      </w:pPr>
      <w:r>
        <w:rPr>
          <w:rFonts w:ascii="Arial" w:cs="Arial" w:eastAsia="Arial" w:hAnsi="Arial"/>
          <w:sz w:val="14"/>
          <w:szCs w:val="14"/>
          <w:color w:val="231F20"/>
        </w:rPr>
        <w:t>Ms. Amato is a recipient of the YWCA Women Achievers Award and is currently a member of the Human Resources Policy Association, the CHRO Board Academy and is a member of the Board of Directors for Children’s Healthcare Charity, Inc. Ms. Amato holds a bachelor’s degree in political science from Davidson College and a law degree from the University of Connecticut.</w:t>
      </w:r>
    </w:p>
    <w:p>
      <w:pPr>
        <w:spacing w:after="0" w:line="153" w:lineRule="exact"/>
        <w:rPr>
          <w:sz w:val="20"/>
          <w:szCs w:val="20"/>
          <w:color w:val="auto"/>
        </w:rPr>
      </w:pPr>
    </w:p>
    <w:p>
      <w:pPr>
        <w:spacing w:after="0"/>
        <w:rPr>
          <w:sz w:val="20"/>
          <w:szCs w:val="20"/>
          <w:color w:val="auto"/>
        </w:rPr>
      </w:pPr>
      <w:r>
        <w:rPr>
          <w:rFonts w:ascii="Arial" w:cs="Arial" w:eastAsia="Arial" w:hAnsi="Arial"/>
          <w:sz w:val="15"/>
          <w:szCs w:val="15"/>
          <w:b w:val="1"/>
          <w:bCs w:val="1"/>
          <w:color w:val="455986"/>
        </w:rPr>
        <w:t>Qualifications:</w:t>
      </w:r>
    </w:p>
    <w:p>
      <w:pPr>
        <w:spacing w:after="0" w:line="29" w:lineRule="exact"/>
        <w:rPr>
          <w:sz w:val="20"/>
          <w:szCs w:val="20"/>
          <w:color w:val="auto"/>
        </w:rPr>
      </w:pPr>
    </w:p>
    <w:p>
      <w:pPr>
        <w:spacing w:after="0" w:line="233" w:lineRule="auto"/>
        <w:rPr>
          <w:sz w:val="20"/>
          <w:szCs w:val="20"/>
          <w:color w:val="auto"/>
        </w:rPr>
      </w:pPr>
      <w:r>
        <w:rPr>
          <w:rFonts w:ascii="Arial" w:cs="Arial" w:eastAsia="Arial" w:hAnsi="Arial"/>
          <w:sz w:val="14"/>
          <w:szCs w:val="14"/>
          <w:color w:val="231F20"/>
        </w:rPr>
        <w:t>Ms. Amato has over 30 years of experience in various roles with responsibilities ranging from integrating acquisitions to human resources to executive compensation. The Board of Directors views Ms. Amato’s independence, her broad experience, and her leadership roles within the industry as important qualifications, skills and experience that support the Board of Directors’ conclusion that Ms. Amato should serve as a director of the Company.</w:t>
      </w:r>
    </w:p>
    <w:p>
      <w:pPr>
        <w:spacing w:after="0" w:line="156" w:lineRule="exact"/>
        <w:rPr>
          <w:sz w:val="20"/>
          <w:szCs w:val="20"/>
          <w:color w:val="auto"/>
        </w:rPr>
      </w:pPr>
    </w:p>
    <w:p>
      <w:pPr>
        <w:spacing w:after="0"/>
        <w:rPr>
          <w:sz w:val="20"/>
          <w:szCs w:val="20"/>
          <w:color w:val="auto"/>
        </w:rPr>
      </w:pPr>
      <w:r>
        <w:rPr>
          <w:rFonts w:ascii="Arial" w:cs="Arial" w:eastAsia="Arial" w:hAnsi="Arial"/>
          <w:sz w:val="15"/>
          <w:szCs w:val="15"/>
          <w:b w:val="1"/>
          <w:bCs w:val="1"/>
          <w:color w:val="455986"/>
        </w:rPr>
        <w:t>Other current public company directorships (0).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-1433195</wp:posOffset>
            </wp:positionH>
            <wp:positionV relativeFrom="paragraph">
              <wp:posOffset>421005</wp:posOffset>
            </wp:positionV>
            <wp:extent cx="713994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9940" cy="8255"/>
                    </a:xfrm>
                    <a:prstGeom prst="rect">
                      <a:avLst/>
                    </a:prstGeom>
                    <a:noFill/>
                  </pic:spPr>
                </pic:pic>
              </a:graphicData>
            </a:graphic>
          </wp:anchor>
        </w:drawing>
      </w:r>
    </w:p>
    <w:p>
      <w:pPr>
        <w:spacing w:after="0" w:line="484" w:lineRule="exact"/>
        <w:rPr>
          <w:sz w:val="20"/>
          <w:szCs w:val="20"/>
          <w:color w:val="auto"/>
        </w:rPr>
      </w:pPr>
    </w:p>
    <w:p>
      <w:pPr>
        <w:sectPr>
          <w:pgSz w:w="11900" w:h="16838" w:orient="portrait"/>
          <w:cols w:equalWidth="0" w:num="2">
            <w:col w:w="1820" w:space="440"/>
            <w:col w:w="8980"/>
          </w:cols>
          <w:pgMar w:left="320" w:top="636" w:right="339" w:bottom="1440" w:gutter="0" w:footer="0" w:header="0"/>
          <w:type w:val="continuous"/>
        </w:sectPr>
      </w:pPr>
    </w:p>
    <w:p>
      <w:pPr>
        <w:spacing w:after="0" w:line="259" w:lineRule="exact"/>
        <w:rPr>
          <w:sz w:val="20"/>
          <w:szCs w:val="20"/>
          <w:color w:val="auto"/>
        </w:rPr>
      </w:pPr>
    </w:p>
    <w:p>
      <w:pPr>
        <w:ind w:left="300" w:hanging="298"/>
        <w:spacing w:after="0"/>
        <w:tabs>
          <w:tab w:leader="none" w:pos="300" w:val="left"/>
        </w:tabs>
        <w:numPr>
          <w:ilvl w:val="0"/>
          <w:numId w:val="23"/>
        </w:numPr>
        <w:rPr>
          <w:rFonts w:ascii="Arial" w:cs="Arial" w:eastAsia="Arial" w:hAnsi="Arial"/>
          <w:sz w:val="14"/>
          <w:szCs w:val="14"/>
          <w:color w:val="455986"/>
        </w:rPr>
      </w:pPr>
      <w:r>
        <w:rPr>
          <w:rFonts w:ascii="Arial" w:cs="Arial" w:eastAsia="Arial" w:hAnsi="Arial"/>
          <w:sz w:val="11"/>
          <w:szCs w:val="11"/>
          <w:color w:val="4395D4"/>
        </w:rPr>
        <w:t xml:space="preserve">ESSENTIAL UTILITIES, INC. </w:t>
      </w:r>
      <w:r>
        <w:rPr>
          <w:rFonts w:ascii="Arial" w:cs="Arial" w:eastAsia="Arial" w:hAnsi="Arial"/>
          <w:sz w:val="11"/>
          <w:szCs w:val="11"/>
          <w:color w:val="455986"/>
        </w:rPr>
        <w:t>2021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316230</wp:posOffset>
            </wp:positionV>
            <wp:extent cx="7139940" cy="2413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9940" cy="24130"/>
                    </a:xfrm>
                    <a:prstGeom prst="rect">
                      <a:avLst/>
                    </a:prstGeom>
                    <a:noFill/>
                  </pic:spPr>
                </pic:pic>
              </a:graphicData>
            </a:graphic>
          </wp:anchor>
        </w:drawing>
      </w:r>
    </w:p>
    <w:p>
      <w:pPr>
        <w:sectPr>
          <w:pgSz w:w="11900" w:h="16838" w:orient="portrait"/>
          <w:cols w:equalWidth="0" w:num="1">
            <w:col w:w="11240"/>
          </w:cols>
          <w:pgMar w:left="320" w:top="636" w:right="339" w:bottom="1440" w:gutter="0" w:footer="0" w:header="0"/>
          <w:type w:val="continuous"/>
        </w:sectPr>
      </w:pPr>
    </w:p>
    <w:bookmarkStart w:id="15" w:name="page16"/>
    <w:bookmarkEnd w:id="15"/>
    <w:p>
      <w:pPr>
        <w:spacing w:after="0"/>
        <w:rPr>
          <w:sz w:val="20"/>
          <w:szCs w:val="20"/>
          <w:color w:val="auto"/>
        </w:rPr>
      </w:pPr>
      <w:r>
        <w:rPr>
          <w:rFonts w:ascii="Arial" w:cs="Arial" w:eastAsia="Arial" w:hAnsi="Arial"/>
          <w:sz w:val="14"/>
          <w:szCs w:val="14"/>
          <w:b w:val="1"/>
          <w:bCs w:val="1"/>
          <w:color w:val="455986"/>
        </w:rPr>
        <w:t>Proposal 1: Election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27940</wp:posOffset>
            </wp:positionV>
            <wp:extent cx="713994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9940" cy="8255"/>
                    </a:xfrm>
                    <a:prstGeom prst="rect">
                      <a:avLst/>
                    </a:prstGeom>
                    <a:noFill/>
                  </pic:spPr>
                </pic:pic>
              </a:graphicData>
            </a:graphic>
          </wp:anchor>
        </w:drawing>
      </w:r>
    </w:p>
    <w:p>
      <w:pPr>
        <w:spacing w:after="0" w:line="76" w:lineRule="exact"/>
        <w:rPr>
          <w:sz w:val="20"/>
          <w:szCs w:val="20"/>
          <w:color w:val="auto"/>
        </w:rPr>
      </w:pPr>
    </w:p>
    <w:p>
      <w:pPr>
        <w:spacing w:after="0"/>
        <w:rPr>
          <w:sz w:val="20"/>
          <w:szCs w:val="20"/>
          <w:color w:val="auto"/>
        </w:rPr>
      </w:pPr>
      <w:r>
        <w:rPr>
          <w:rFonts w:ascii="Arial" w:cs="Arial" w:eastAsia="Arial" w:hAnsi="Arial"/>
          <w:sz w:val="12"/>
          <w:szCs w:val="12"/>
          <w:color w:val="231F20"/>
        </w:rPr>
        <w:t>Nominees for Election at the 2021 Annual Meeting</w:t>
      </w:r>
    </w:p>
    <w:p>
      <w:pPr>
        <w:sectPr>
          <w:pgSz w:w="11900" w:h="16838" w:orient="portrait"/>
          <w:cols w:equalWidth="0" w:num="1">
            <w:col w:w="11240"/>
          </w:cols>
          <w:pgMar w:left="320" w:top="63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Arial" w:cs="Arial" w:eastAsia="Arial" w:hAnsi="Arial"/>
          <w:sz w:val="15"/>
          <w:szCs w:val="15"/>
          <w:b w:val="1"/>
          <w:bCs w:val="1"/>
          <w:color w:val="455986"/>
        </w:rPr>
        <w:t>Board Committees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-1418590</wp:posOffset>
            </wp:positionV>
            <wp:extent cx="1029335" cy="120777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029335" cy="120777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56" w:lineRule="exact"/>
        <w:rPr>
          <w:sz w:val="20"/>
          <w:szCs w:val="20"/>
          <w:color w:val="auto"/>
        </w:rPr>
      </w:pPr>
    </w:p>
    <w:p>
      <w:pPr>
        <w:spacing w:after="0"/>
        <w:rPr>
          <w:sz w:val="20"/>
          <w:szCs w:val="20"/>
          <w:color w:val="auto"/>
        </w:rPr>
      </w:pPr>
      <w:r>
        <w:rPr>
          <w:rFonts w:ascii="Arial" w:cs="Arial" w:eastAsia="Arial" w:hAnsi="Arial"/>
          <w:sz w:val="27"/>
          <w:szCs w:val="27"/>
          <w:b w:val="1"/>
          <w:bCs w:val="1"/>
          <w:color w:val="4395D4"/>
        </w:rPr>
        <w:t>Christopher H. Franklin</w:t>
      </w:r>
    </w:p>
    <w:p>
      <w:pPr>
        <w:spacing w:after="0" w:line="55" w:lineRule="exact"/>
        <w:rPr>
          <w:sz w:val="20"/>
          <w:szCs w:val="20"/>
          <w:color w:val="auto"/>
        </w:rPr>
      </w:pPr>
    </w:p>
    <w:p>
      <w:pPr>
        <w:spacing w:after="0"/>
        <w:rPr>
          <w:sz w:val="20"/>
          <w:szCs w:val="20"/>
          <w:color w:val="auto"/>
        </w:rPr>
      </w:pPr>
      <w:r>
        <w:rPr>
          <w:rFonts w:ascii="Arial" w:cs="Arial" w:eastAsia="Arial" w:hAnsi="Arial"/>
          <w:sz w:val="12"/>
          <w:szCs w:val="12"/>
          <w:color w:val="231F20"/>
        </w:rPr>
        <w:t>Chairman, President, and Chief Executive Officer, Essential Utilities, Inc.</w:t>
      </w:r>
    </w:p>
    <w:p>
      <w:pPr>
        <w:spacing w:after="0" w:line="222" w:lineRule="exact"/>
        <w:rPr>
          <w:sz w:val="20"/>
          <w:szCs w:val="20"/>
          <w:color w:val="auto"/>
        </w:rPr>
      </w:pPr>
    </w:p>
    <w:p>
      <w:pPr>
        <w:spacing w:after="0"/>
        <w:rPr>
          <w:sz w:val="20"/>
          <w:szCs w:val="20"/>
          <w:color w:val="auto"/>
        </w:rPr>
      </w:pPr>
      <w:r>
        <w:rPr>
          <w:rFonts w:ascii="Arial" w:cs="Arial" w:eastAsia="Arial" w:hAnsi="Arial"/>
          <w:sz w:val="15"/>
          <w:szCs w:val="15"/>
          <w:b w:val="1"/>
          <w:bCs w:val="1"/>
          <w:color w:val="455986"/>
        </w:rPr>
        <w:t>Experience</w:t>
      </w:r>
    </w:p>
    <w:p>
      <w:pPr>
        <w:spacing w:after="0" w:line="29" w:lineRule="exact"/>
        <w:rPr>
          <w:sz w:val="20"/>
          <w:szCs w:val="20"/>
          <w:color w:val="auto"/>
        </w:rPr>
      </w:pPr>
    </w:p>
    <w:p>
      <w:pPr>
        <w:jc w:val="center"/>
        <w:ind w:right="380"/>
        <w:spacing w:after="0"/>
        <w:rPr>
          <w:sz w:val="20"/>
          <w:szCs w:val="20"/>
          <w:color w:val="auto"/>
        </w:rPr>
      </w:pPr>
      <w:r>
        <w:rPr>
          <w:rFonts w:ascii="Arial" w:cs="Arial" w:eastAsia="Arial" w:hAnsi="Arial"/>
          <w:sz w:val="12"/>
          <w:szCs w:val="12"/>
          <w:color w:val="231F20"/>
        </w:rPr>
        <w:t>Chairman, President, and Chief Executive Officer of the Company.</w:t>
      </w:r>
    </w:p>
    <w:p>
      <w:pPr>
        <w:spacing w:after="0" w:line="216" w:lineRule="exact"/>
        <w:rPr>
          <w:sz w:val="20"/>
          <w:szCs w:val="20"/>
          <w:color w:val="auto"/>
        </w:rPr>
      </w:pPr>
    </w:p>
    <w:p>
      <w:pPr>
        <w:ind w:left="180" w:right="160" w:hanging="179"/>
        <w:spacing w:after="0" w:line="233" w:lineRule="auto"/>
        <w:tabs>
          <w:tab w:leader="none" w:pos="128" w:val="left"/>
        </w:tabs>
        <w:numPr>
          <w:ilvl w:val="0"/>
          <w:numId w:val="24"/>
        </w:numPr>
        <w:rPr>
          <w:rFonts w:ascii="Times New Roman" w:cs="Times New Roman" w:eastAsia="Times New Roman" w:hAnsi="Times New Roman"/>
          <w:sz w:val="17"/>
          <w:szCs w:val="17"/>
          <w:color w:val="4395D4"/>
        </w:rPr>
      </w:pPr>
      <w:r>
        <w:rPr>
          <w:rFonts w:ascii="Arial" w:cs="Arial" w:eastAsia="Arial" w:hAnsi="Arial"/>
          <w:sz w:val="14"/>
          <w:szCs w:val="14"/>
          <w:color w:val="231F20"/>
        </w:rPr>
        <w:t>Mr. Franklin has worked for the Company for 28 years in a variety of leadership positions: President and Chief Executive Officer since July 2015; Executive Vice President, and President and Chief Operating Officer, Regulated Operations 2012 to 2015; Regional President—Midwest and Southern Operations and Senior Vice President, Public Affairs 2010 to 2012; Regional</w:t>
      </w:r>
    </w:p>
    <w:p>
      <w:pPr>
        <w:spacing w:after="0" w:line="20" w:lineRule="exact"/>
        <w:rPr>
          <w:sz w:val="20"/>
          <w:szCs w:val="20"/>
          <w:color w:val="auto"/>
        </w:rPr>
      </w:pPr>
      <w:r>
        <w:rPr>
          <w:sz w:val="20"/>
          <w:szCs w:val="20"/>
          <w:color w:val="auto"/>
        </w:rPr>
        <w:br w:type="column"/>
      </w:r>
    </w:p>
    <w:p>
      <w:pPr>
        <w:spacing w:after="0" w:line="180" w:lineRule="exact"/>
        <w:rPr>
          <w:sz w:val="20"/>
          <w:szCs w:val="20"/>
          <w:color w:val="auto"/>
        </w:rPr>
      </w:pPr>
    </w:p>
    <w:p>
      <w:pPr>
        <w:ind w:left="2080"/>
        <w:spacing w:after="0"/>
        <w:rPr>
          <w:sz w:val="20"/>
          <w:szCs w:val="20"/>
          <w:color w:val="auto"/>
        </w:rPr>
      </w:pPr>
      <w:r>
        <w:rPr>
          <w:rFonts w:ascii="Arial" w:cs="Arial" w:eastAsia="Arial" w:hAnsi="Arial"/>
          <w:sz w:val="15"/>
          <w:szCs w:val="15"/>
          <w:color w:val="231F20"/>
        </w:rPr>
        <w:t xml:space="preserve">Director since </w:t>
      </w:r>
      <w:r>
        <w:rPr>
          <w:rFonts w:ascii="Arial" w:cs="Arial" w:eastAsia="Arial" w:hAnsi="Arial"/>
          <w:sz w:val="15"/>
          <w:szCs w:val="15"/>
          <w:b w:val="1"/>
          <w:bCs w:val="1"/>
          <w:color w:val="4395D4"/>
        </w:rPr>
        <w:t>2015</w:t>
      </w:r>
    </w:p>
    <w:p>
      <w:pPr>
        <w:spacing w:after="0" w:line="42" w:lineRule="exact"/>
        <w:rPr>
          <w:sz w:val="20"/>
          <w:szCs w:val="20"/>
          <w:color w:val="auto"/>
        </w:rPr>
      </w:pPr>
    </w:p>
    <w:p>
      <w:pPr>
        <w:ind w:left="2080"/>
        <w:spacing w:after="0"/>
        <w:rPr>
          <w:sz w:val="20"/>
          <w:szCs w:val="20"/>
          <w:color w:val="auto"/>
        </w:rPr>
      </w:pPr>
      <w:r>
        <w:rPr>
          <w:rFonts w:ascii="Arial" w:cs="Arial" w:eastAsia="Arial" w:hAnsi="Arial"/>
          <w:sz w:val="15"/>
          <w:szCs w:val="15"/>
          <w:color w:val="231F20"/>
        </w:rPr>
        <w:t xml:space="preserve">Age </w:t>
      </w:r>
      <w:r>
        <w:rPr>
          <w:rFonts w:ascii="Arial" w:cs="Arial" w:eastAsia="Arial" w:hAnsi="Arial"/>
          <w:sz w:val="15"/>
          <w:szCs w:val="15"/>
          <w:b w:val="1"/>
          <w:bCs w:val="1"/>
          <w:color w:val="4395D4"/>
        </w:rPr>
        <w:t>55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right="100"/>
        <w:spacing w:after="0" w:line="237" w:lineRule="auto"/>
        <w:rPr>
          <w:sz w:val="20"/>
          <w:szCs w:val="20"/>
          <w:color w:val="auto"/>
        </w:rPr>
      </w:pPr>
      <w:r>
        <w:rPr>
          <w:rFonts w:ascii="Arial" w:cs="Arial" w:eastAsia="Arial" w:hAnsi="Arial"/>
          <w:sz w:val="14"/>
          <w:szCs w:val="14"/>
          <w:color w:val="231F20"/>
        </w:rPr>
        <w:t>President—Southern Operations and Senior Vice President, Public Affairs and Customer Relations 2007 to 2010); Vice President, Public Affairs and Customer Operations 2005 to 2007; Vice President, Corporate and Public Affairs 1997 to 2005); and Manager Corporate &amp; Public Affairs 1992 to 1997.</w:t>
      </w:r>
    </w:p>
    <w:p>
      <w:pPr>
        <w:spacing w:after="0" w:line="251" w:lineRule="exact"/>
        <w:rPr>
          <w:sz w:val="20"/>
          <w:szCs w:val="20"/>
          <w:color w:val="auto"/>
        </w:rPr>
      </w:pPr>
    </w:p>
    <w:p>
      <w:pPr>
        <w:sectPr>
          <w:pgSz w:w="11900" w:h="16838" w:orient="portrait"/>
          <w:cols w:equalWidth="0" w:num="3">
            <w:col w:w="1540" w:space="720"/>
            <w:col w:w="4360" w:space="300"/>
            <w:col w:w="4320"/>
          </w:cols>
          <w:pgMar w:left="320" w:top="637" w:right="339" w:bottom="1440" w:gutter="0" w:footer="0" w:header="0"/>
          <w:type w:val="continuous"/>
        </w:sectPr>
      </w:pPr>
    </w:p>
    <w:p>
      <w:pPr>
        <w:ind w:left="120" w:hanging="118"/>
        <w:spacing w:after="0"/>
        <w:tabs>
          <w:tab w:leader="none" w:pos="120" w:val="left"/>
        </w:tabs>
        <w:numPr>
          <w:ilvl w:val="0"/>
          <w:numId w:val="25"/>
        </w:numPr>
        <w:rPr>
          <w:rFonts w:ascii="Times New Roman" w:cs="Times New Roman" w:eastAsia="Times New Roman" w:hAnsi="Times New Roman"/>
          <w:sz w:val="17"/>
          <w:szCs w:val="17"/>
          <w:color w:val="231F20"/>
        </w:rPr>
      </w:pPr>
      <w:r>
        <w:rPr>
          <w:rFonts w:ascii="Arial" w:cs="Arial" w:eastAsia="Arial" w:hAnsi="Arial"/>
          <w:sz w:val="15"/>
          <w:szCs w:val="15"/>
          <w:color w:val="231F20"/>
        </w:rPr>
        <w:t>Chair, Executive Committee</w:t>
      </w:r>
    </w:p>
    <w:p>
      <w:pPr>
        <w:spacing w:after="0" w:line="8" w:lineRule="exact"/>
        <w:rPr>
          <w:rFonts w:ascii="Times New Roman" w:cs="Times New Roman" w:eastAsia="Times New Roman" w:hAnsi="Times New Roman"/>
          <w:sz w:val="17"/>
          <w:szCs w:val="17"/>
          <w:color w:val="231F20"/>
        </w:rPr>
      </w:pPr>
    </w:p>
    <w:p>
      <w:pPr>
        <w:jc w:val="both"/>
        <w:ind w:left="180" w:right="600" w:hanging="178"/>
        <w:spacing w:after="0" w:line="259" w:lineRule="auto"/>
        <w:tabs>
          <w:tab w:leader="none" w:pos="138" w:val="left"/>
        </w:tabs>
        <w:numPr>
          <w:ilvl w:val="0"/>
          <w:numId w:val="25"/>
        </w:numPr>
        <w:rPr>
          <w:rFonts w:ascii="Times New Roman" w:cs="Times New Roman" w:eastAsia="Times New Roman" w:hAnsi="Times New Roman"/>
          <w:sz w:val="17"/>
          <w:szCs w:val="17"/>
          <w:color w:val="231F20"/>
        </w:rPr>
      </w:pPr>
      <w:r>
        <w:rPr>
          <w:rFonts w:ascii="Arial" w:cs="Arial" w:eastAsia="Arial" w:hAnsi="Arial"/>
          <w:sz w:val="15"/>
          <w:szCs w:val="15"/>
          <w:color w:val="231F20"/>
        </w:rPr>
        <w:t>Risk Mitigation and Investment Policy Committee</w:t>
      </w:r>
    </w:p>
    <w:p>
      <w:pPr>
        <w:spacing w:after="0" w:line="151" w:lineRule="exact"/>
        <w:rPr>
          <w:sz w:val="20"/>
          <w:szCs w:val="20"/>
          <w:color w:val="auto"/>
        </w:rPr>
      </w:pPr>
    </w:p>
    <w:p>
      <w:pPr>
        <w:spacing w:after="0"/>
        <w:rPr>
          <w:sz w:val="20"/>
          <w:szCs w:val="20"/>
          <w:color w:val="auto"/>
        </w:rPr>
      </w:pPr>
      <w:r>
        <w:rPr>
          <w:rFonts w:ascii="Arial" w:cs="Arial" w:eastAsia="Arial" w:hAnsi="Arial"/>
          <w:sz w:val="15"/>
          <w:szCs w:val="15"/>
          <w:b w:val="1"/>
          <w:bCs w:val="1"/>
          <w:color w:val="455986"/>
        </w:rPr>
        <w:t>Key Skills</w:t>
      </w:r>
    </w:p>
    <w:p>
      <w:pPr>
        <w:spacing w:after="0" w:line="26" w:lineRule="exact"/>
        <w:rPr>
          <w:sz w:val="20"/>
          <w:szCs w:val="20"/>
          <w:color w:val="auto"/>
        </w:rPr>
      </w:pPr>
    </w:p>
    <w:p>
      <w:pPr>
        <w:ind w:left="120" w:hanging="118"/>
        <w:spacing w:after="0"/>
        <w:tabs>
          <w:tab w:leader="none" w:pos="120" w:val="left"/>
        </w:tabs>
        <w:numPr>
          <w:ilvl w:val="0"/>
          <w:numId w:val="26"/>
        </w:numPr>
        <w:rPr>
          <w:rFonts w:ascii="Times New Roman" w:cs="Times New Roman" w:eastAsia="Times New Roman" w:hAnsi="Times New Roman"/>
          <w:sz w:val="17"/>
          <w:szCs w:val="17"/>
          <w:color w:val="231F20"/>
        </w:rPr>
      </w:pPr>
      <w:r>
        <w:rPr>
          <w:rFonts w:ascii="Arial" w:cs="Arial" w:eastAsia="Arial" w:hAnsi="Arial"/>
          <w:sz w:val="15"/>
          <w:szCs w:val="15"/>
          <w:color w:val="231F20"/>
        </w:rPr>
        <w:t>Utility Industry</w:t>
      </w:r>
    </w:p>
    <w:p>
      <w:pPr>
        <w:spacing w:after="0" w:line="8" w:lineRule="exact"/>
        <w:rPr>
          <w:rFonts w:ascii="Times New Roman" w:cs="Times New Roman" w:eastAsia="Times New Roman" w:hAnsi="Times New Roman"/>
          <w:sz w:val="17"/>
          <w:szCs w:val="17"/>
          <w:color w:val="231F20"/>
        </w:rPr>
      </w:pPr>
    </w:p>
    <w:p>
      <w:pPr>
        <w:ind w:left="120" w:hanging="118"/>
        <w:spacing w:after="0"/>
        <w:tabs>
          <w:tab w:leader="none" w:pos="120" w:val="left"/>
        </w:tabs>
        <w:numPr>
          <w:ilvl w:val="0"/>
          <w:numId w:val="26"/>
        </w:numPr>
        <w:rPr>
          <w:rFonts w:ascii="Times New Roman" w:cs="Times New Roman" w:eastAsia="Times New Roman" w:hAnsi="Times New Roman"/>
          <w:sz w:val="17"/>
          <w:szCs w:val="17"/>
          <w:color w:val="231F20"/>
        </w:rPr>
      </w:pPr>
      <w:r>
        <w:rPr>
          <w:rFonts w:ascii="Arial" w:cs="Arial" w:eastAsia="Arial" w:hAnsi="Arial"/>
          <w:sz w:val="15"/>
          <w:szCs w:val="15"/>
          <w:color w:val="231F20"/>
        </w:rPr>
        <w:t>Regulatory</w:t>
      </w:r>
    </w:p>
    <w:p>
      <w:pPr>
        <w:spacing w:after="0" w:line="8" w:lineRule="exact"/>
        <w:rPr>
          <w:rFonts w:ascii="Times New Roman" w:cs="Times New Roman" w:eastAsia="Times New Roman" w:hAnsi="Times New Roman"/>
          <w:sz w:val="17"/>
          <w:szCs w:val="17"/>
          <w:color w:val="231F20"/>
        </w:rPr>
      </w:pPr>
    </w:p>
    <w:p>
      <w:pPr>
        <w:ind w:left="120" w:hanging="118"/>
        <w:spacing w:after="0"/>
        <w:tabs>
          <w:tab w:leader="none" w:pos="120" w:val="left"/>
        </w:tabs>
        <w:numPr>
          <w:ilvl w:val="0"/>
          <w:numId w:val="26"/>
        </w:numPr>
        <w:rPr>
          <w:rFonts w:ascii="Times New Roman" w:cs="Times New Roman" w:eastAsia="Times New Roman" w:hAnsi="Times New Roman"/>
          <w:sz w:val="17"/>
          <w:szCs w:val="17"/>
          <w:color w:val="231F20"/>
        </w:rPr>
      </w:pPr>
      <w:r>
        <w:rPr>
          <w:rFonts w:ascii="Arial" w:cs="Arial" w:eastAsia="Arial" w:hAnsi="Arial"/>
          <w:sz w:val="15"/>
          <w:szCs w:val="15"/>
          <w:color w:val="231F20"/>
        </w:rPr>
        <w:t>Financial</w:t>
      </w:r>
    </w:p>
    <w:p>
      <w:pPr>
        <w:spacing w:after="0" w:line="8" w:lineRule="exact"/>
        <w:rPr>
          <w:rFonts w:ascii="Times New Roman" w:cs="Times New Roman" w:eastAsia="Times New Roman" w:hAnsi="Times New Roman"/>
          <w:sz w:val="17"/>
          <w:szCs w:val="17"/>
          <w:color w:val="231F20"/>
        </w:rPr>
      </w:pPr>
    </w:p>
    <w:p>
      <w:pPr>
        <w:ind w:left="120" w:hanging="118"/>
        <w:spacing w:after="0"/>
        <w:tabs>
          <w:tab w:leader="none" w:pos="120" w:val="left"/>
        </w:tabs>
        <w:numPr>
          <w:ilvl w:val="0"/>
          <w:numId w:val="26"/>
        </w:numPr>
        <w:rPr>
          <w:rFonts w:ascii="Times New Roman" w:cs="Times New Roman" w:eastAsia="Times New Roman" w:hAnsi="Times New Roman"/>
          <w:sz w:val="17"/>
          <w:szCs w:val="17"/>
          <w:color w:val="231F20"/>
        </w:rPr>
      </w:pPr>
      <w:r>
        <w:rPr>
          <w:rFonts w:ascii="Arial" w:cs="Arial" w:eastAsia="Arial" w:hAnsi="Arial"/>
          <w:sz w:val="15"/>
          <w:szCs w:val="15"/>
          <w:color w:val="231F20"/>
        </w:rPr>
        <w:t>Legal/ Government</w:t>
      </w:r>
    </w:p>
    <w:p>
      <w:pPr>
        <w:spacing w:after="0" w:line="8" w:lineRule="exact"/>
        <w:rPr>
          <w:rFonts w:ascii="Times New Roman" w:cs="Times New Roman" w:eastAsia="Times New Roman" w:hAnsi="Times New Roman"/>
          <w:sz w:val="17"/>
          <w:szCs w:val="17"/>
          <w:color w:val="231F20"/>
        </w:rPr>
      </w:pPr>
    </w:p>
    <w:p>
      <w:pPr>
        <w:ind w:left="120" w:hanging="118"/>
        <w:spacing w:after="0"/>
        <w:tabs>
          <w:tab w:leader="none" w:pos="120" w:val="left"/>
        </w:tabs>
        <w:numPr>
          <w:ilvl w:val="0"/>
          <w:numId w:val="26"/>
        </w:numPr>
        <w:rPr>
          <w:rFonts w:ascii="Times New Roman" w:cs="Times New Roman" w:eastAsia="Times New Roman" w:hAnsi="Times New Roman"/>
          <w:sz w:val="17"/>
          <w:szCs w:val="17"/>
          <w:color w:val="231F20"/>
        </w:rPr>
      </w:pPr>
      <w:r>
        <w:rPr>
          <w:rFonts w:ascii="Arial" w:cs="Arial" w:eastAsia="Arial" w:hAnsi="Arial"/>
          <w:sz w:val="15"/>
          <w:szCs w:val="15"/>
          <w:color w:val="231F20"/>
        </w:rPr>
        <w:t>Leadership</w:t>
      </w:r>
    </w:p>
    <w:p>
      <w:pPr>
        <w:spacing w:after="0" w:line="8" w:lineRule="exact"/>
        <w:rPr>
          <w:rFonts w:ascii="Times New Roman" w:cs="Times New Roman" w:eastAsia="Times New Roman" w:hAnsi="Times New Roman"/>
          <w:sz w:val="17"/>
          <w:szCs w:val="17"/>
          <w:color w:val="231F20"/>
        </w:rPr>
      </w:pPr>
    </w:p>
    <w:p>
      <w:pPr>
        <w:ind w:left="120" w:hanging="118"/>
        <w:spacing w:after="0"/>
        <w:tabs>
          <w:tab w:leader="none" w:pos="120" w:val="left"/>
        </w:tabs>
        <w:numPr>
          <w:ilvl w:val="0"/>
          <w:numId w:val="26"/>
        </w:numPr>
        <w:rPr>
          <w:rFonts w:ascii="Times New Roman" w:cs="Times New Roman" w:eastAsia="Times New Roman" w:hAnsi="Times New Roman"/>
          <w:sz w:val="17"/>
          <w:szCs w:val="17"/>
          <w:color w:val="231F20"/>
        </w:rPr>
      </w:pPr>
      <w:r>
        <w:rPr>
          <w:rFonts w:ascii="Arial" w:cs="Arial" w:eastAsia="Arial" w:hAnsi="Arial"/>
          <w:sz w:val="15"/>
          <w:szCs w:val="15"/>
          <w:color w:val="231F20"/>
        </w:rPr>
        <w:t>Mergers &amp; Acquisition</w:t>
      </w:r>
    </w:p>
    <w:p>
      <w:pPr>
        <w:spacing w:after="0" w:line="8" w:lineRule="exact"/>
        <w:rPr>
          <w:rFonts w:ascii="Times New Roman" w:cs="Times New Roman" w:eastAsia="Times New Roman" w:hAnsi="Times New Roman"/>
          <w:sz w:val="17"/>
          <w:szCs w:val="17"/>
          <w:color w:val="231F20"/>
        </w:rPr>
      </w:pPr>
    </w:p>
    <w:p>
      <w:pPr>
        <w:ind w:left="120" w:hanging="118"/>
        <w:spacing w:after="0"/>
        <w:tabs>
          <w:tab w:leader="none" w:pos="120" w:val="left"/>
        </w:tabs>
        <w:numPr>
          <w:ilvl w:val="0"/>
          <w:numId w:val="26"/>
        </w:numPr>
        <w:rPr>
          <w:rFonts w:ascii="Times New Roman" w:cs="Times New Roman" w:eastAsia="Times New Roman" w:hAnsi="Times New Roman"/>
          <w:sz w:val="17"/>
          <w:szCs w:val="17"/>
          <w:color w:val="231F20"/>
        </w:rPr>
      </w:pPr>
      <w:r>
        <w:rPr>
          <w:rFonts w:ascii="Arial" w:cs="Arial" w:eastAsia="Arial" w:hAnsi="Arial"/>
          <w:sz w:val="15"/>
          <w:szCs w:val="15"/>
          <w:color w:val="231F20"/>
        </w:rPr>
        <w:t>C-Suite Experience</w:t>
      </w:r>
    </w:p>
    <w:p>
      <w:pPr>
        <w:spacing w:after="0" w:line="20" w:lineRule="exact"/>
        <w:rPr>
          <w:sz w:val="20"/>
          <w:szCs w:val="20"/>
          <w:color w:val="auto"/>
        </w:rPr>
      </w:pPr>
      <w:r>
        <w:rPr>
          <w:sz w:val="20"/>
          <w:szCs w:val="20"/>
          <w:color w:val="auto"/>
        </w:rPr>
        <w:br w:type="column"/>
      </w:r>
    </w:p>
    <w:p>
      <w:pPr>
        <w:spacing w:after="0" w:line="133" w:lineRule="exact"/>
        <w:rPr>
          <w:sz w:val="20"/>
          <w:szCs w:val="20"/>
          <w:color w:val="auto"/>
        </w:rPr>
      </w:pPr>
    </w:p>
    <w:p>
      <w:pPr>
        <w:spacing w:after="0"/>
        <w:rPr>
          <w:sz w:val="20"/>
          <w:szCs w:val="20"/>
          <w:color w:val="auto"/>
        </w:rPr>
      </w:pPr>
      <w:r>
        <w:rPr>
          <w:rFonts w:ascii="Arial" w:cs="Arial" w:eastAsia="Arial" w:hAnsi="Arial"/>
          <w:sz w:val="14"/>
          <w:szCs w:val="14"/>
          <w:color w:val="231F20"/>
        </w:rPr>
        <w:t>Mr. Franklin earned his B.S. from West Chester University and his M.B.A. from Villanova University.</w:t>
      </w:r>
    </w:p>
    <w:p>
      <w:pPr>
        <w:spacing w:after="0" w:line="177" w:lineRule="exact"/>
        <w:rPr>
          <w:sz w:val="20"/>
          <w:szCs w:val="20"/>
          <w:color w:val="auto"/>
        </w:rPr>
      </w:pPr>
    </w:p>
    <w:p>
      <w:pPr>
        <w:spacing w:after="0"/>
        <w:rPr>
          <w:sz w:val="20"/>
          <w:szCs w:val="20"/>
          <w:color w:val="auto"/>
        </w:rPr>
      </w:pPr>
      <w:r>
        <w:rPr>
          <w:rFonts w:ascii="Arial" w:cs="Arial" w:eastAsia="Arial" w:hAnsi="Arial"/>
          <w:sz w:val="15"/>
          <w:szCs w:val="15"/>
          <w:b w:val="1"/>
          <w:bCs w:val="1"/>
          <w:color w:val="455986"/>
        </w:rPr>
        <w:t>Qualifications:</w:t>
      </w:r>
    </w:p>
    <w:p>
      <w:pPr>
        <w:spacing w:after="0" w:line="26" w:lineRule="exact"/>
        <w:rPr>
          <w:sz w:val="20"/>
          <w:szCs w:val="20"/>
          <w:color w:val="auto"/>
        </w:rPr>
      </w:pPr>
    </w:p>
    <w:p>
      <w:pPr>
        <w:ind w:right="60"/>
        <w:spacing w:after="0" w:line="251" w:lineRule="auto"/>
        <w:rPr>
          <w:sz w:val="20"/>
          <w:szCs w:val="20"/>
          <w:color w:val="auto"/>
        </w:rPr>
      </w:pPr>
      <w:r>
        <w:rPr>
          <w:rFonts w:ascii="Arial" w:cs="Arial" w:eastAsia="Arial" w:hAnsi="Arial"/>
          <w:sz w:val="15"/>
          <w:szCs w:val="15"/>
          <w:color w:val="231F20"/>
        </w:rPr>
        <w:t>Since 2015, under Mr. Franklin’s leadership as CEO, the Company’s customer base has nearly doubled by completing over 60 acquisitions and increased its market capitalization from $4.4 billion to $11.6 billion at the end of 2020. During the same period, total shareholder return has been in excess of 100%. During his long tenure at the Company, Mr. Franklin has held a series of roles. Among his accomplishments in public affairs was the passage of key legislation designed to provide customers with improved water quality and better water and wastewater systems while allowing a fair and reasonable return for shareholders; as vice president of customer operations, Mr. Franklin lead the implementation of a single-customer information system and the creation of three central call centers; as operating president, he integrated the acquisition of AquaSource and brought the utility back to full profitability.</w:t>
      </w:r>
    </w:p>
    <w:p>
      <w:pPr>
        <w:spacing w:after="0" w:line="159" w:lineRule="exact"/>
        <w:rPr>
          <w:sz w:val="20"/>
          <w:szCs w:val="20"/>
          <w:color w:val="auto"/>
        </w:rPr>
      </w:pPr>
    </w:p>
    <w:p>
      <w:pPr>
        <w:jc w:val="both"/>
        <w:ind w:right="180"/>
        <w:spacing w:after="0" w:line="272" w:lineRule="auto"/>
        <w:rPr>
          <w:sz w:val="20"/>
          <w:szCs w:val="20"/>
          <w:color w:val="auto"/>
        </w:rPr>
      </w:pPr>
      <w:r>
        <w:rPr>
          <w:rFonts w:ascii="Arial" w:cs="Arial" w:eastAsia="Arial" w:hAnsi="Arial"/>
          <w:sz w:val="15"/>
          <w:szCs w:val="15"/>
          <w:color w:val="231F20"/>
        </w:rPr>
        <w:t>The Board of Directors views Mr. Franklin’s extensive experience with the Company, capabilities, and his demonstrated leadership roles with the Company and in business and community activities as important qualifications, skills and experience supporting the Board of Directors’ conclusion that Mr. Franklin should serve as a director of the Company.</w:t>
      </w:r>
    </w:p>
    <w:p>
      <w:pPr>
        <w:spacing w:after="0" w:line="141" w:lineRule="exact"/>
        <w:rPr>
          <w:sz w:val="20"/>
          <w:szCs w:val="20"/>
          <w:color w:val="auto"/>
        </w:rPr>
      </w:pPr>
    </w:p>
    <w:p>
      <w:pPr>
        <w:spacing w:after="0"/>
        <w:rPr>
          <w:sz w:val="20"/>
          <w:szCs w:val="20"/>
          <w:color w:val="auto"/>
        </w:rPr>
      </w:pPr>
      <w:r>
        <w:rPr>
          <w:rFonts w:ascii="Arial" w:cs="Arial" w:eastAsia="Arial" w:hAnsi="Arial"/>
          <w:sz w:val="15"/>
          <w:szCs w:val="15"/>
          <w:b w:val="1"/>
          <w:bCs w:val="1"/>
          <w:color w:val="455986"/>
        </w:rPr>
        <w:t>Other current public company directorships (0).</w:t>
      </w:r>
    </w:p>
    <w:p>
      <w:pPr>
        <w:spacing w:after="0" w:line="26" w:lineRule="exact"/>
        <w:rPr>
          <w:sz w:val="20"/>
          <w:szCs w:val="20"/>
          <w:color w:val="auto"/>
        </w:rPr>
      </w:pPr>
    </w:p>
    <w:p>
      <w:pPr>
        <w:spacing w:after="0"/>
        <w:rPr>
          <w:sz w:val="20"/>
          <w:szCs w:val="20"/>
          <w:color w:val="auto"/>
        </w:rPr>
      </w:pPr>
      <w:r>
        <w:rPr>
          <w:rFonts w:ascii="Arial" w:cs="Arial" w:eastAsia="Arial" w:hAnsi="Arial"/>
          <w:sz w:val="15"/>
          <w:szCs w:val="15"/>
          <w:b w:val="1"/>
          <w:bCs w:val="1"/>
          <w:color w:val="455986"/>
        </w:rPr>
        <w:t>Other current and past directorships:</w:t>
      </w:r>
    </w:p>
    <w:p>
      <w:pPr>
        <w:spacing w:after="0" w:line="6" w:lineRule="exact"/>
        <w:rPr>
          <w:sz w:val="20"/>
          <w:szCs w:val="20"/>
          <w:color w:val="auto"/>
        </w:rPr>
      </w:pPr>
    </w:p>
    <w:p>
      <w:pPr>
        <w:ind w:right="260"/>
        <w:spacing w:after="0" w:line="258" w:lineRule="auto"/>
        <w:rPr>
          <w:sz w:val="20"/>
          <w:szCs w:val="20"/>
          <w:color w:val="auto"/>
        </w:rPr>
      </w:pPr>
      <w:r>
        <w:rPr>
          <w:rFonts w:ascii="Arial" w:cs="Arial" w:eastAsia="Arial" w:hAnsi="Arial"/>
          <w:sz w:val="15"/>
          <w:szCs w:val="15"/>
          <w:color w:val="231F20"/>
        </w:rPr>
        <w:t>Past Board member of ITC Holdings (which was sold in 2016). Mr. Franklin is active in the community and serves on a number of nonprofit and higher education boards including the University of Pennsylvania Board of Trustees and the Franklin Institute of Philadelphia.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-1433195</wp:posOffset>
            </wp:positionH>
            <wp:positionV relativeFrom="paragraph">
              <wp:posOffset>115570</wp:posOffset>
            </wp:positionV>
            <wp:extent cx="713994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9940"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020" w:space="240"/>
            <w:col w:w="8980"/>
          </w:cols>
          <w:pgMar w:left="320" w:top="637" w:right="339" w:bottom="1440" w:gutter="0" w:footer="0" w:header="0"/>
          <w:type w:val="continuous"/>
        </w:sectPr>
      </w:pPr>
    </w:p>
    <w:p>
      <w:pPr>
        <w:spacing w:after="0" w:line="28" w:lineRule="exact"/>
        <w:rPr>
          <w:sz w:val="20"/>
          <w:szCs w:val="20"/>
          <w:color w:val="auto"/>
        </w:rPr>
      </w:pPr>
    </w:p>
    <w:p>
      <w:pPr>
        <w:ind w:left="7940"/>
        <w:spacing w:after="0"/>
        <w:tabs>
          <w:tab w:leader="none" w:pos="11060" w:val="left"/>
        </w:tabs>
        <w:rPr>
          <w:sz w:val="20"/>
          <w:szCs w:val="20"/>
          <w:color w:val="auto"/>
        </w:rPr>
      </w:pPr>
      <w:r>
        <w:rPr>
          <w:rFonts w:ascii="Arial" w:cs="Arial" w:eastAsia="Arial" w:hAnsi="Arial"/>
          <w:sz w:val="12"/>
          <w:szCs w:val="12"/>
          <w:color w:val="4395D4"/>
        </w:rPr>
        <w:t xml:space="preserve">ESSENTIAL UTILITIES, INC. </w:t>
      </w:r>
      <w:r>
        <w:rPr>
          <w:rFonts w:ascii="Arial" w:cs="Arial" w:eastAsia="Arial" w:hAnsi="Arial"/>
          <w:sz w:val="12"/>
          <w:szCs w:val="12"/>
          <w:color w:val="455986"/>
        </w:rPr>
        <w:t>2021 PROXY STATEMENT</w:t>
      </w:r>
      <w:r>
        <w:rPr>
          <w:sz w:val="20"/>
          <w:szCs w:val="20"/>
          <w:color w:val="auto"/>
        </w:rPr>
        <w:tab/>
      </w:r>
      <w:r>
        <w:rPr>
          <w:rFonts w:ascii="Arial" w:cs="Arial" w:eastAsia="Arial" w:hAnsi="Arial"/>
          <w:sz w:val="14"/>
          <w:szCs w:val="14"/>
          <w:color w:val="455986"/>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339090</wp:posOffset>
            </wp:positionV>
            <wp:extent cx="7139940" cy="2413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9940" cy="24130"/>
                    </a:xfrm>
                    <a:prstGeom prst="rect">
                      <a:avLst/>
                    </a:prstGeom>
                    <a:noFill/>
                  </pic:spPr>
                </pic:pic>
              </a:graphicData>
            </a:graphic>
          </wp:anchor>
        </w:drawing>
      </w:r>
    </w:p>
    <w:p>
      <w:pPr>
        <w:sectPr>
          <w:pgSz w:w="11900" w:h="16838" w:orient="portrait"/>
          <w:cols w:equalWidth="0" w:num="1">
            <w:col w:w="11240"/>
          </w:cols>
          <w:pgMar w:left="320" w:top="637" w:right="339" w:bottom="1440" w:gutter="0" w:footer="0" w:header="0"/>
          <w:type w:val="continuous"/>
        </w:sectPr>
      </w:pPr>
    </w:p>
    <w:bookmarkStart w:id="16" w:name="page17"/>
    <w:bookmarkEnd w:id="16"/>
    <w:p>
      <w:pPr>
        <w:spacing w:after="0"/>
        <w:rPr>
          <w:sz w:val="20"/>
          <w:szCs w:val="20"/>
          <w:color w:val="auto"/>
        </w:rPr>
      </w:pPr>
      <w:r>
        <w:rPr>
          <w:rFonts w:ascii="Arial" w:cs="Arial" w:eastAsia="Arial" w:hAnsi="Arial"/>
          <w:sz w:val="14"/>
          <w:szCs w:val="14"/>
          <w:b w:val="1"/>
          <w:bCs w:val="1"/>
          <w:color w:val="455986"/>
        </w:rPr>
        <w:t>Proposal 1: Election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27940</wp:posOffset>
            </wp:positionV>
            <wp:extent cx="713994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9940" cy="8255"/>
                    </a:xfrm>
                    <a:prstGeom prst="rect">
                      <a:avLst/>
                    </a:prstGeom>
                    <a:noFill/>
                  </pic:spPr>
                </pic:pic>
              </a:graphicData>
            </a:graphic>
          </wp:anchor>
        </w:drawing>
      </w:r>
    </w:p>
    <w:p>
      <w:pPr>
        <w:spacing w:after="0" w:line="76" w:lineRule="exact"/>
        <w:rPr>
          <w:sz w:val="20"/>
          <w:szCs w:val="20"/>
          <w:color w:val="auto"/>
        </w:rPr>
      </w:pPr>
    </w:p>
    <w:p>
      <w:pPr>
        <w:spacing w:after="0"/>
        <w:rPr>
          <w:sz w:val="20"/>
          <w:szCs w:val="20"/>
          <w:color w:val="auto"/>
        </w:rPr>
      </w:pPr>
      <w:r>
        <w:rPr>
          <w:rFonts w:ascii="Arial" w:cs="Arial" w:eastAsia="Arial" w:hAnsi="Arial"/>
          <w:sz w:val="12"/>
          <w:szCs w:val="12"/>
          <w:color w:val="231F20"/>
        </w:rPr>
        <w:t>Nominees for Election at the 2021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138430</wp:posOffset>
            </wp:positionV>
            <wp:extent cx="713994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9940" cy="8255"/>
                    </a:xfrm>
                    <a:prstGeom prst="rect">
                      <a:avLst/>
                    </a:prstGeom>
                    <a:noFill/>
                  </pic:spPr>
                </pic:pic>
              </a:graphicData>
            </a:graphic>
          </wp:anchor>
        </w:drawing>
      </w:r>
    </w:p>
    <w:p>
      <w:pPr>
        <w:sectPr>
          <w:pgSz w:w="11900" w:h="16838" w:orient="portrait"/>
          <w:cols w:equalWidth="0" w:num="1">
            <w:col w:w="11240"/>
          </w:cols>
          <w:pgMar w:left="320" w:top="63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line="315" w:lineRule="auto"/>
        <w:rPr>
          <w:sz w:val="20"/>
          <w:szCs w:val="20"/>
          <w:color w:val="auto"/>
        </w:rPr>
      </w:pPr>
      <w:r>
        <w:rPr>
          <w:rFonts w:ascii="Arial" w:cs="Arial" w:eastAsia="Arial" w:hAnsi="Arial"/>
          <w:sz w:val="15"/>
          <w:szCs w:val="15"/>
          <w:b w:val="1"/>
          <w:bCs w:val="1"/>
          <w:color w:val="455986"/>
        </w:rPr>
        <w:t>Lead Independent Director Board Committees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-1596390</wp:posOffset>
            </wp:positionV>
            <wp:extent cx="1029335" cy="120777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029335" cy="1207770"/>
                    </a:xfrm>
                    <a:prstGeom prst="rect">
                      <a:avLst/>
                    </a:prstGeom>
                    <a:noFill/>
                  </pic:spPr>
                </pic:pic>
              </a:graphicData>
            </a:graphic>
          </wp:anchor>
        </w:drawing>
      </w:r>
    </w:p>
    <w:p>
      <w:pPr>
        <w:ind w:left="180" w:hanging="178"/>
        <w:spacing w:after="0" w:line="255" w:lineRule="auto"/>
        <w:tabs>
          <w:tab w:leader="none" w:pos="138" w:val="left"/>
        </w:tabs>
        <w:numPr>
          <w:ilvl w:val="0"/>
          <w:numId w:val="27"/>
        </w:numPr>
        <w:rPr>
          <w:rFonts w:ascii="Times New Roman" w:cs="Times New Roman" w:eastAsia="Times New Roman" w:hAnsi="Times New Roman"/>
          <w:sz w:val="17"/>
          <w:szCs w:val="17"/>
          <w:color w:val="231F20"/>
        </w:rPr>
      </w:pPr>
      <w:r>
        <w:rPr>
          <w:rFonts w:ascii="Arial" w:cs="Arial" w:eastAsia="Arial" w:hAnsi="Arial"/>
          <w:sz w:val="15"/>
          <w:szCs w:val="15"/>
          <w:color w:val="231F20"/>
        </w:rPr>
        <w:t>Chair, Executive Compensation Committee</w:t>
      </w:r>
    </w:p>
    <w:p>
      <w:pPr>
        <w:ind w:left="120" w:hanging="118"/>
        <w:spacing w:after="0" w:line="235" w:lineRule="auto"/>
        <w:tabs>
          <w:tab w:leader="none" w:pos="120" w:val="left"/>
        </w:tabs>
        <w:numPr>
          <w:ilvl w:val="0"/>
          <w:numId w:val="27"/>
        </w:numPr>
        <w:rPr>
          <w:rFonts w:ascii="Times New Roman" w:cs="Times New Roman" w:eastAsia="Times New Roman" w:hAnsi="Times New Roman"/>
          <w:sz w:val="17"/>
          <w:szCs w:val="17"/>
          <w:color w:val="231F20"/>
        </w:rPr>
      </w:pPr>
      <w:r>
        <w:rPr>
          <w:rFonts w:ascii="Arial" w:cs="Arial" w:eastAsia="Arial" w:hAnsi="Arial"/>
          <w:sz w:val="15"/>
          <w:szCs w:val="15"/>
          <w:color w:val="231F20"/>
        </w:rPr>
        <w:t>Executive Committee</w:t>
      </w:r>
    </w:p>
    <w:p>
      <w:pPr>
        <w:spacing w:after="0" w:line="4" w:lineRule="exact"/>
        <w:rPr>
          <w:rFonts w:ascii="Times New Roman" w:cs="Times New Roman" w:eastAsia="Times New Roman" w:hAnsi="Times New Roman"/>
          <w:sz w:val="17"/>
          <w:szCs w:val="17"/>
          <w:color w:val="231F20"/>
        </w:rPr>
      </w:pPr>
    </w:p>
    <w:p>
      <w:pPr>
        <w:ind w:left="180" w:right="260" w:hanging="178"/>
        <w:spacing w:after="0" w:line="272" w:lineRule="auto"/>
        <w:tabs>
          <w:tab w:leader="none" w:pos="138" w:val="left"/>
        </w:tabs>
        <w:numPr>
          <w:ilvl w:val="0"/>
          <w:numId w:val="27"/>
        </w:numPr>
        <w:rPr>
          <w:rFonts w:ascii="Times New Roman" w:cs="Times New Roman" w:eastAsia="Times New Roman" w:hAnsi="Times New Roman"/>
          <w:sz w:val="17"/>
          <w:szCs w:val="17"/>
          <w:color w:val="231F20"/>
        </w:rPr>
      </w:pPr>
      <w:r>
        <w:rPr>
          <w:rFonts w:ascii="Arial" w:cs="Arial" w:eastAsia="Arial" w:hAnsi="Arial"/>
          <w:sz w:val="15"/>
          <w:szCs w:val="15"/>
          <w:color w:val="231F20"/>
        </w:rPr>
        <w:t>Corporate Governance Committee</w:t>
      </w:r>
    </w:p>
    <w:p>
      <w:pPr>
        <w:spacing w:after="0" w:line="138" w:lineRule="exact"/>
        <w:rPr>
          <w:sz w:val="20"/>
          <w:szCs w:val="20"/>
          <w:color w:val="auto"/>
        </w:rPr>
      </w:pPr>
    </w:p>
    <w:p>
      <w:pPr>
        <w:spacing w:after="0"/>
        <w:rPr>
          <w:sz w:val="20"/>
          <w:szCs w:val="20"/>
          <w:color w:val="auto"/>
        </w:rPr>
      </w:pPr>
      <w:r>
        <w:rPr>
          <w:rFonts w:ascii="Arial" w:cs="Arial" w:eastAsia="Arial" w:hAnsi="Arial"/>
          <w:sz w:val="15"/>
          <w:szCs w:val="15"/>
          <w:b w:val="1"/>
          <w:bCs w:val="1"/>
          <w:color w:val="455986"/>
        </w:rPr>
        <w:t>Key Skills</w:t>
      </w:r>
    </w:p>
    <w:p>
      <w:pPr>
        <w:spacing w:after="0" w:line="26" w:lineRule="exact"/>
        <w:rPr>
          <w:sz w:val="20"/>
          <w:szCs w:val="20"/>
          <w:color w:val="auto"/>
        </w:rPr>
      </w:pPr>
    </w:p>
    <w:p>
      <w:pPr>
        <w:ind w:left="120" w:hanging="118"/>
        <w:spacing w:after="0"/>
        <w:tabs>
          <w:tab w:leader="none" w:pos="120" w:val="left"/>
        </w:tabs>
        <w:numPr>
          <w:ilvl w:val="0"/>
          <w:numId w:val="28"/>
        </w:numPr>
        <w:rPr>
          <w:rFonts w:ascii="Times New Roman" w:cs="Times New Roman" w:eastAsia="Times New Roman" w:hAnsi="Times New Roman"/>
          <w:sz w:val="17"/>
          <w:szCs w:val="17"/>
          <w:color w:val="231F20"/>
        </w:rPr>
      </w:pPr>
      <w:r>
        <w:rPr>
          <w:rFonts w:ascii="Arial" w:cs="Arial" w:eastAsia="Arial" w:hAnsi="Arial"/>
          <w:sz w:val="15"/>
          <w:szCs w:val="15"/>
          <w:color w:val="231F20"/>
        </w:rPr>
        <w:t>Regulatory</w:t>
      </w:r>
    </w:p>
    <w:p>
      <w:pPr>
        <w:spacing w:after="0" w:line="8" w:lineRule="exact"/>
        <w:rPr>
          <w:rFonts w:ascii="Times New Roman" w:cs="Times New Roman" w:eastAsia="Times New Roman" w:hAnsi="Times New Roman"/>
          <w:sz w:val="17"/>
          <w:szCs w:val="17"/>
          <w:color w:val="231F20"/>
        </w:rPr>
      </w:pPr>
    </w:p>
    <w:p>
      <w:pPr>
        <w:ind w:left="120" w:hanging="118"/>
        <w:spacing w:after="0"/>
        <w:tabs>
          <w:tab w:leader="none" w:pos="120" w:val="left"/>
        </w:tabs>
        <w:numPr>
          <w:ilvl w:val="0"/>
          <w:numId w:val="28"/>
        </w:numPr>
        <w:rPr>
          <w:rFonts w:ascii="Times New Roman" w:cs="Times New Roman" w:eastAsia="Times New Roman" w:hAnsi="Times New Roman"/>
          <w:sz w:val="17"/>
          <w:szCs w:val="17"/>
          <w:color w:val="231F20"/>
        </w:rPr>
      </w:pPr>
      <w:r>
        <w:rPr>
          <w:rFonts w:ascii="Arial" w:cs="Arial" w:eastAsia="Arial" w:hAnsi="Arial"/>
          <w:sz w:val="15"/>
          <w:szCs w:val="15"/>
          <w:color w:val="231F20"/>
        </w:rPr>
        <w:t>Financial</w:t>
      </w:r>
    </w:p>
    <w:p>
      <w:pPr>
        <w:spacing w:after="0" w:line="8" w:lineRule="exact"/>
        <w:rPr>
          <w:rFonts w:ascii="Times New Roman" w:cs="Times New Roman" w:eastAsia="Times New Roman" w:hAnsi="Times New Roman"/>
          <w:sz w:val="17"/>
          <w:szCs w:val="17"/>
          <w:color w:val="231F20"/>
        </w:rPr>
      </w:pPr>
    </w:p>
    <w:p>
      <w:pPr>
        <w:ind w:left="120" w:hanging="118"/>
        <w:spacing w:after="0"/>
        <w:tabs>
          <w:tab w:leader="none" w:pos="120" w:val="left"/>
        </w:tabs>
        <w:numPr>
          <w:ilvl w:val="0"/>
          <w:numId w:val="28"/>
        </w:numPr>
        <w:rPr>
          <w:rFonts w:ascii="Times New Roman" w:cs="Times New Roman" w:eastAsia="Times New Roman" w:hAnsi="Times New Roman"/>
          <w:sz w:val="17"/>
          <w:szCs w:val="17"/>
          <w:color w:val="231F20"/>
        </w:rPr>
      </w:pPr>
      <w:r>
        <w:rPr>
          <w:rFonts w:ascii="Arial" w:cs="Arial" w:eastAsia="Arial" w:hAnsi="Arial"/>
          <w:sz w:val="15"/>
          <w:szCs w:val="15"/>
          <w:color w:val="231F20"/>
        </w:rPr>
        <w:t>Leadership</w:t>
      </w:r>
    </w:p>
    <w:p>
      <w:pPr>
        <w:spacing w:after="0" w:line="8" w:lineRule="exact"/>
        <w:rPr>
          <w:rFonts w:ascii="Times New Roman" w:cs="Times New Roman" w:eastAsia="Times New Roman" w:hAnsi="Times New Roman"/>
          <w:sz w:val="17"/>
          <w:szCs w:val="17"/>
          <w:color w:val="231F20"/>
        </w:rPr>
      </w:pPr>
    </w:p>
    <w:p>
      <w:pPr>
        <w:ind w:left="120" w:hanging="118"/>
        <w:spacing w:after="0"/>
        <w:tabs>
          <w:tab w:leader="none" w:pos="120" w:val="left"/>
        </w:tabs>
        <w:numPr>
          <w:ilvl w:val="0"/>
          <w:numId w:val="28"/>
        </w:numPr>
        <w:rPr>
          <w:rFonts w:ascii="Times New Roman" w:cs="Times New Roman" w:eastAsia="Times New Roman" w:hAnsi="Times New Roman"/>
          <w:sz w:val="17"/>
          <w:szCs w:val="17"/>
          <w:color w:val="231F20"/>
        </w:rPr>
      </w:pPr>
      <w:r>
        <w:rPr>
          <w:rFonts w:ascii="Arial" w:cs="Arial" w:eastAsia="Arial" w:hAnsi="Arial"/>
          <w:sz w:val="15"/>
          <w:szCs w:val="15"/>
          <w:color w:val="231F20"/>
        </w:rPr>
        <w:t>Mergers &amp; Acquisitions</w:t>
      </w:r>
    </w:p>
    <w:p>
      <w:pPr>
        <w:spacing w:after="0" w:line="8" w:lineRule="exact"/>
        <w:rPr>
          <w:rFonts w:ascii="Times New Roman" w:cs="Times New Roman" w:eastAsia="Times New Roman" w:hAnsi="Times New Roman"/>
          <w:sz w:val="17"/>
          <w:szCs w:val="17"/>
          <w:color w:val="231F20"/>
        </w:rPr>
      </w:pPr>
    </w:p>
    <w:p>
      <w:pPr>
        <w:ind w:left="120" w:hanging="118"/>
        <w:spacing w:after="0"/>
        <w:tabs>
          <w:tab w:leader="none" w:pos="120" w:val="left"/>
        </w:tabs>
        <w:numPr>
          <w:ilvl w:val="0"/>
          <w:numId w:val="28"/>
        </w:numPr>
        <w:rPr>
          <w:rFonts w:ascii="Times New Roman" w:cs="Times New Roman" w:eastAsia="Times New Roman" w:hAnsi="Times New Roman"/>
          <w:sz w:val="17"/>
          <w:szCs w:val="17"/>
          <w:color w:val="231F20"/>
        </w:rPr>
      </w:pPr>
      <w:r>
        <w:rPr>
          <w:rFonts w:ascii="Arial" w:cs="Arial" w:eastAsia="Arial" w:hAnsi="Arial"/>
          <w:sz w:val="15"/>
          <w:szCs w:val="15"/>
          <w:color w:val="231F20"/>
        </w:rPr>
        <w:t>C-Suite Experience</w:t>
      </w:r>
    </w:p>
    <w:p>
      <w:pPr>
        <w:spacing w:after="0" w:line="20" w:lineRule="exact"/>
        <w:rPr>
          <w:sz w:val="20"/>
          <w:szCs w:val="20"/>
          <w:color w:val="auto"/>
        </w:rPr>
      </w:pPr>
      <w:r>
        <w:rPr>
          <w:sz w:val="20"/>
          <w:szCs w:val="20"/>
          <w:color w:val="auto"/>
        </w:rPr>
        <w:br w:type="column"/>
      </w:r>
    </w:p>
    <w:p>
      <w:pPr>
        <w:spacing w:after="0" w:line="27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310"/>
        </w:trPr>
        <w:tc>
          <w:tcPr>
            <w:tcW w:w="4280" w:type="dxa"/>
            <w:vAlign w:val="bottom"/>
          </w:tcPr>
          <w:p>
            <w:pPr>
              <w:spacing w:after="0"/>
              <w:rPr>
                <w:sz w:val="20"/>
                <w:szCs w:val="20"/>
                <w:color w:val="auto"/>
              </w:rPr>
            </w:pPr>
            <w:r>
              <w:rPr>
                <w:rFonts w:ascii="Arial" w:cs="Arial" w:eastAsia="Arial" w:hAnsi="Arial"/>
                <w:sz w:val="27"/>
                <w:szCs w:val="27"/>
                <w:b w:val="1"/>
                <w:bCs w:val="1"/>
                <w:color w:val="4395D4"/>
              </w:rPr>
              <w:t>Daniel J. Hilferty</w:t>
            </w:r>
          </w:p>
        </w:tc>
        <w:tc>
          <w:tcPr>
            <w:tcW w:w="30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2440" w:type="dxa"/>
            <w:vAlign w:val="bottom"/>
            <w:vMerge w:val="restart"/>
          </w:tcPr>
          <w:p>
            <w:pPr>
              <w:ind w:left="240"/>
              <w:spacing w:after="0"/>
              <w:rPr>
                <w:sz w:val="20"/>
                <w:szCs w:val="20"/>
                <w:color w:val="auto"/>
              </w:rPr>
            </w:pPr>
            <w:r>
              <w:rPr>
                <w:rFonts w:ascii="Arial" w:cs="Arial" w:eastAsia="Arial" w:hAnsi="Arial"/>
                <w:sz w:val="15"/>
                <w:szCs w:val="15"/>
                <w:color w:val="231F20"/>
              </w:rPr>
              <w:t xml:space="preserve">Director since </w:t>
            </w:r>
            <w:r>
              <w:rPr>
                <w:rFonts w:ascii="Arial" w:cs="Arial" w:eastAsia="Arial" w:hAnsi="Arial"/>
                <w:sz w:val="15"/>
                <w:szCs w:val="15"/>
                <w:b w:val="1"/>
                <w:bCs w:val="1"/>
                <w:color w:val="4395D4"/>
              </w:rPr>
              <w:t>2017</w:t>
            </w:r>
          </w:p>
        </w:tc>
        <w:tc>
          <w:tcPr>
            <w:tcW w:w="0" w:type="dxa"/>
            <w:vAlign w:val="bottom"/>
          </w:tcPr>
          <w:p>
            <w:pPr>
              <w:spacing w:after="0"/>
              <w:rPr>
                <w:sz w:val="1"/>
                <w:szCs w:val="1"/>
                <w:color w:val="auto"/>
              </w:rPr>
            </w:pPr>
          </w:p>
        </w:tc>
      </w:tr>
      <w:tr>
        <w:trPr>
          <w:trHeight w:val="46"/>
        </w:trPr>
        <w:tc>
          <w:tcPr>
            <w:tcW w:w="4280" w:type="dxa"/>
            <w:vAlign w:val="bottom"/>
          </w:tcPr>
          <w:p>
            <w:pPr>
              <w:spacing w:after="0"/>
              <w:rPr>
                <w:sz w:val="3"/>
                <w:szCs w:val="3"/>
                <w:color w:val="auto"/>
              </w:rPr>
            </w:pPr>
          </w:p>
        </w:tc>
        <w:tc>
          <w:tcPr>
            <w:tcW w:w="300" w:type="dxa"/>
            <w:vAlign w:val="bottom"/>
          </w:tcPr>
          <w:p>
            <w:pPr>
              <w:spacing w:after="0"/>
              <w:rPr>
                <w:sz w:val="3"/>
                <w:szCs w:val="3"/>
                <w:color w:val="auto"/>
              </w:rPr>
            </w:pPr>
          </w:p>
        </w:tc>
        <w:tc>
          <w:tcPr>
            <w:tcW w:w="1920" w:type="dxa"/>
            <w:vAlign w:val="bottom"/>
          </w:tcPr>
          <w:p>
            <w:pPr>
              <w:spacing w:after="0"/>
              <w:rPr>
                <w:sz w:val="3"/>
                <w:szCs w:val="3"/>
                <w:color w:val="auto"/>
              </w:rPr>
            </w:pPr>
          </w:p>
        </w:tc>
        <w:tc>
          <w:tcPr>
            <w:tcW w:w="244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15"/>
        </w:trPr>
        <w:tc>
          <w:tcPr>
            <w:tcW w:w="6500" w:type="dxa"/>
            <w:vAlign w:val="bottom"/>
            <w:gridSpan w:val="3"/>
            <w:vMerge w:val="restart"/>
          </w:tcPr>
          <w:p>
            <w:pPr>
              <w:spacing w:after="0"/>
              <w:rPr>
                <w:sz w:val="20"/>
                <w:szCs w:val="20"/>
                <w:color w:val="auto"/>
              </w:rPr>
            </w:pPr>
            <w:r>
              <w:rPr>
                <w:rFonts w:ascii="Arial" w:cs="Arial" w:eastAsia="Arial" w:hAnsi="Arial"/>
                <w:sz w:val="14"/>
                <w:szCs w:val="14"/>
                <w:color w:val="231F20"/>
              </w:rPr>
              <w:t>Lead Independent Director, Essential Utilities, Inc. Former President and CEO,</w:t>
            </w:r>
          </w:p>
        </w:tc>
        <w:tc>
          <w:tcPr>
            <w:tcW w:w="2440" w:type="dxa"/>
            <w:vAlign w:val="bottom"/>
          </w:tcPr>
          <w:p>
            <w:pPr>
              <w:ind w:left="240"/>
              <w:spacing w:after="0"/>
              <w:rPr>
                <w:sz w:val="20"/>
                <w:szCs w:val="20"/>
                <w:color w:val="auto"/>
              </w:rPr>
            </w:pPr>
            <w:r>
              <w:rPr>
                <w:rFonts w:ascii="Arial" w:cs="Arial" w:eastAsia="Arial" w:hAnsi="Arial"/>
                <w:sz w:val="15"/>
                <w:szCs w:val="15"/>
                <w:color w:val="231F20"/>
              </w:rPr>
              <w:t xml:space="preserve">Age </w:t>
            </w:r>
            <w:r>
              <w:rPr>
                <w:rFonts w:ascii="Arial" w:cs="Arial" w:eastAsia="Arial" w:hAnsi="Arial"/>
                <w:sz w:val="15"/>
                <w:szCs w:val="15"/>
                <w:b w:val="1"/>
                <w:bCs w:val="1"/>
                <w:color w:val="4395D4"/>
              </w:rPr>
              <w:t>64</w:t>
            </w:r>
          </w:p>
        </w:tc>
        <w:tc>
          <w:tcPr>
            <w:tcW w:w="0" w:type="dxa"/>
            <w:vAlign w:val="bottom"/>
          </w:tcPr>
          <w:p>
            <w:pPr>
              <w:spacing w:after="0"/>
              <w:rPr>
                <w:sz w:val="1"/>
                <w:szCs w:val="1"/>
                <w:color w:val="auto"/>
              </w:rPr>
            </w:pPr>
          </w:p>
        </w:tc>
      </w:tr>
      <w:tr>
        <w:trPr>
          <w:trHeight w:val="60"/>
        </w:trPr>
        <w:tc>
          <w:tcPr>
            <w:tcW w:w="6500" w:type="dxa"/>
            <w:vAlign w:val="bottom"/>
            <w:gridSpan w:val="3"/>
            <w:vMerge w:val="continue"/>
          </w:tcPr>
          <w:p>
            <w:pPr>
              <w:spacing w:after="0"/>
              <w:rPr>
                <w:sz w:val="5"/>
                <w:szCs w:val="5"/>
                <w:color w:val="auto"/>
              </w:rPr>
            </w:pPr>
          </w:p>
        </w:tc>
        <w:tc>
          <w:tcPr>
            <w:tcW w:w="2440" w:type="dxa"/>
            <w:vAlign w:val="bottom"/>
            <w:vMerge w:val="restart"/>
          </w:tcPr>
          <w:p>
            <w:pPr>
              <w:ind w:left="240"/>
              <w:spacing w:after="0"/>
              <w:rPr>
                <w:sz w:val="20"/>
                <w:szCs w:val="20"/>
                <w:color w:val="auto"/>
              </w:rPr>
            </w:pPr>
            <w:r>
              <w:rPr>
                <w:rFonts w:ascii="Arial" w:cs="Arial" w:eastAsia="Arial" w:hAnsi="Arial"/>
                <w:sz w:val="15"/>
                <w:szCs w:val="15"/>
                <w:b w:val="1"/>
                <w:bCs w:val="1"/>
                <w:color w:val="4395D4"/>
              </w:rPr>
              <w:t>Independent Director</w:t>
            </w:r>
          </w:p>
        </w:tc>
        <w:tc>
          <w:tcPr>
            <w:tcW w:w="0" w:type="dxa"/>
            <w:vAlign w:val="bottom"/>
          </w:tcPr>
          <w:p>
            <w:pPr>
              <w:spacing w:after="0"/>
              <w:rPr>
                <w:sz w:val="1"/>
                <w:szCs w:val="1"/>
                <w:color w:val="auto"/>
              </w:rPr>
            </w:pPr>
          </w:p>
        </w:tc>
      </w:tr>
      <w:tr>
        <w:trPr>
          <w:trHeight w:val="183"/>
        </w:trPr>
        <w:tc>
          <w:tcPr>
            <w:tcW w:w="4280" w:type="dxa"/>
            <w:vAlign w:val="bottom"/>
          </w:tcPr>
          <w:p>
            <w:pPr>
              <w:spacing w:after="0"/>
              <w:rPr>
                <w:sz w:val="20"/>
                <w:szCs w:val="20"/>
                <w:color w:val="auto"/>
              </w:rPr>
            </w:pPr>
            <w:r>
              <w:rPr>
                <w:rFonts w:ascii="Arial" w:cs="Arial" w:eastAsia="Arial" w:hAnsi="Arial"/>
                <w:sz w:val="14"/>
                <w:szCs w:val="14"/>
                <w:color w:val="231F20"/>
              </w:rPr>
              <w:t>Independence Health Group</w:t>
            </w:r>
          </w:p>
        </w:tc>
        <w:tc>
          <w:tcPr>
            <w:tcW w:w="300" w:type="dxa"/>
            <w:vAlign w:val="bottom"/>
          </w:tcPr>
          <w:p>
            <w:pPr>
              <w:spacing w:after="0"/>
              <w:rPr>
                <w:sz w:val="15"/>
                <w:szCs w:val="15"/>
                <w:color w:val="auto"/>
              </w:rPr>
            </w:pPr>
          </w:p>
        </w:tc>
        <w:tc>
          <w:tcPr>
            <w:tcW w:w="1920" w:type="dxa"/>
            <w:vAlign w:val="bottom"/>
          </w:tcPr>
          <w:p>
            <w:pPr>
              <w:spacing w:after="0"/>
              <w:rPr>
                <w:sz w:val="15"/>
                <w:szCs w:val="15"/>
                <w:color w:val="auto"/>
              </w:rPr>
            </w:pPr>
          </w:p>
        </w:tc>
        <w:tc>
          <w:tcPr>
            <w:tcW w:w="24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373"/>
        </w:trPr>
        <w:tc>
          <w:tcPr>
            <w:tcW w:w="4280" w:type="dxa"/>
            <w:vAlign w:val="bottom"/>
          </w:tcPr>
          <w:p>
            <w:pPr>
              <w:spacing w:after="0"/>
              <w:rPr>
                <w:sz w:val="20"/>
                <w:szCs w:val="20"/>
                <w:color w:val="auto"/>
              </w:rPr>
            </w:pPr>
            <w:r>
              <w:rPr>
                <w:rFonts w:ascii="Arial" w:cs="Arial" w:eastAsia="Arial" w:hAnsi="Arial"/>
                <w:sz w:val="15"/>
                <w:szCs w:val="15"/>
                <w:b w:val="1"/>
                <w:bCs w:val="1"/>
                <w:color w:val="455986"/>
              </w:rPr>
              <w:t>Experience</w:t>
            </w:r>
          </w:p>
        </w:tc>
        <w:tc>
          <w:tcPr>
            <w:tcW w:w="30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4395D4"/>
              </w:rPr>
              <w:t>·</w:t>
            </w:r>
          </w:p>
        </w:tc>
        <w:tc>
          <w:tcPr>
            <w:tcW w:w="1920" w:type="dxa"/>
            <w:vAlign w:val="bottom"/>
          </w:tcPr>
          <w:p>
            <w:pPr>
              <w:spacing w:after="0"/>
              <w:rPr>
                <w:sz w:val="24"/>
                <w:szCs w:val="24"/>
                <w:color w:val="auto"/>
              </w:rPr>
            </w:pPr>
          </w:p>
        </w:tc>
        <w:tc>
          <w:tcPr>
            <w:tcW w:w="2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4280" w:type="dxa"/>
            <w:vAlign w:val="bottom"/>
          </w:tcPr>
          <w:p>
            <w:pPr>
              <w:spacing w:after="0"/>
              <w:rPr>
                <w:sz w:val="20"/>
                <w:szCs w:val="20"/>
                <w:color w:val="auto"/>
              </w:rPr>
            </w:pPr>
            <w:r>
              <w:rPr>
                <w:rFonts w:ascii="Times New Roman" w:cs="Times New Roman" w:eastAsia="Times New Roman" w:hAnsi="Times New Roman"/>
                <w:sz w:val="17"/>
                <w:szCs w:val="17"/>
                <w:color w:val="4395D4"/>
              </w:rPr>
              <w:t xml:space="preserve">· </w:t>
            </w:r>
            <w:r>
              <w:rPr>
                <w:rFonts w:ascii="Arial" w:cs="Arial" w:eastAsia="Arial" w:hAnsi="Arial"/>
                <w:sz w:val="13"/>
                <w:szCs w:val="13"/>
                <w:color w:val="231F20"/>
              </w:rPr>
              <w:t>Former President and Chief Executive Officer of Independence</w:t>
            </w:r>
          </w:p>
        </w:tc>
        <w:tc>
          <w:tcPr>
            <w:tcW w:w="300" w:type="dxa"/>
            <w:vAlign w:val="bottom"/>
            <w:vMerge w:val="continue"/>
          </w:tcPr>
          <w:p>
            <w:pPr>
              <w:spacing w:after="0"/>
              <w:rPr>
                <w:sz w:val="17"/>
                <w:szCs w:val="17"/>
                <w:color w:val="auto"/>
              </w:rPr>
            </w:pPr>
          </w:p>
        </w:tc>
        <w:tc>
          <w:tcPr>
            <w:tcW w:w="4360" w:type="dxa"/>
            <w:vAlign w:val="bottom"/>
            <w:gridSpan w:val="2"/>
          </w:tcPr>
          <w:p>
            <w:pPr>
              <w:ind w:left="40"/>
              <w:spacing w:after="0"/>
              <w:rPr>
                <w:sz w:val="20"/>
                <w:szCs w:val="20"/>
                <w:color w:val="auto"/>
              </w:rPr>
            </w:pPr>
            <w:r>
              <w:rPr>
                <w:rFonts w:ascii="Arial" w:cs="Arial" w:eastAsia="Arial" w:hAnsi="Arial"/>
                <w:sz w:val="14"/>
                <w:szCs w:val="14"/>
                <w:color w:val="231F20"/>
                <w:w w:val="96"/>
              </w:rPr>
              <w:t>Executive Director of PennPORTS in the administration of Pennsylvania</w:t>
            </w:r>
          </w:p>
        </w:tc>
        <w:tc>
          <w:tcPr>
            <w:tcW w:w="0" w:type="dxa"/>
            <w:vAlign w:val="bottom"/>
          </w:tcPr>
          <w:p>
            <w:pPr>
              <w:spacing w:after="0"/>
              <w:rPr>
                <w:sz w:val="1"/>
                <w:szCs w:val="1"/>
                <w:color w:val="auto"/>
              </w:rPr>
            </w:pPr>
          </w:p>
        </w:tc>
      </w:tr>
      <w:tr>
        <w:trPr>
          <w:trHeight w:val="166"/>
        </w:trPr>
        <w:tc>
          <w:tcPr>
            <w:tcW w:w="4280" w:type="dxa"/>
            <w:vAlign w:val="bottom"/>
          </w:tcPr>
          <w:p>
            <w:pPr>
              <w:ind w:left="180"/>
              <w:spacing w:after="0"/>
              <w:rPr>
                <w:sz w:val="20"/>
                <w:szCs w:val="20"/>
                <w:color w:val="auto"/>
              </w:rPr>
            </w:pPr>
            <w:r>
              <w:rPr>
                <w:rFonts w:ascii="Arial" w:cs="Arial" w:eastAsia="Arial" w:hAnsi="Arial"/>
                <w:sz w:val="14"/>
                <w:szCs w:val="14"/>
                <w:color w:val="231F20"/>
              </w:rPr>
              <w:t>Health Group (IHG), one of the nation’s leading health insurers</w:t>
            </w:r>
          </w:p>
        </w:tc>
        <w:tc>
          <w:tcPr>
            <w:tcW w:w="30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4395D4"/>
              </w:rPr>
              <w:t>·</w:t>
            </w:r>
          </w:p>
        </w:tc>
        <w:tc>
          <w:tcPr>
            <w:tcW w:w="1920" w:type="dxa"/>
            <w:vAlign w:val="bottom"/>
          </w:tcPr>
          <w:p>
            <w:pPr>
              <w:ind w:left="80"/>
              <w:spacing w:after="0"/>
              <w:rPr>
                <w:sz w:val="20"/>
                <w:szCs w:val="20"/>
                <w:color w:val="auto"/>
              </w:rPr>
            </w:pPr>
            <w:r>
              <w:rPr>
                <w:rFonts w:ascii="Arial" w:cs="Arial" w:eastAsia="Arial" w:hAnsi="Arial"/>
                <w:sz w:val="14"/>
                <w:szCs w:val="14"/>
                <w:color w:val="231F20"/>
              </w:rPr>
              <w:t>Governor Robert P. Casey</w:t>
            </w:r>
          </w:p>
        </w:tc>
        <w:tc>
          <w:tcPr>
            <w:tcW w:w="2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4280" w:type="dxa"/>
            <w:vAlign w:val="bottom"/>
          </w:tcPr>
          <w:p>
            <w:pPr>
              <w:ind w:left="180"/>
              <w:spacing w:after="0" w:line="153" w:lineRule="exact"/>
              <w:rPr>
                <w:sz w:val="20"/>
                <w:szCs w:val="20"/>
                <w:color w:val="auto"/>
              </w:rPr>
            </w:pPr>
            <w:r>
              <w:rPr>
                <w:rFonts w:ascii="Arial" w:cs="Arial" w:eastAsia="Arial" w:hAnsi="Arial"/>
                <w:sz w:val="14"/>
                <w:szCs w:val="14"/>
                <w:color w:val="231F20"/>
              </w:rPr>
              <w:t>serving nine million customers in 25 states and Washington D.C.</w:t>
            </w:r>
          </w:p>
        </w:tc>
        <w:tc>
          <w:tcPr>
            <w:tcW w:w="300" w:type="dxa"/>
            <w:vAlign w:val="bottom"/>
            <w:vMerge w:val="continue"/>
          </w:tcPr>
          <w:p>
            <w:pPr>
              <w:spacing w:after="0"/>
              <w:rPr>
                <w:sz w:val="13"/>
                <w:szCs w:val="13"/>
                <w:color w:val="auto"/>
              </w:rPr>
            </w:pPr>
          </w:p>
        </w:tc>
        <w:tc>
          <w:tcPr>
            <w:tcW w:w="4360" w:type="dxa"/>
            <w:vAlign w:val="bottom"/>
            <w:gridSpan w:val="2"/>
          </w:tcPr>
          <w:p>
            <w:pPr>
              <w:ind w:left="40"/>
              <w:spacing w:after="0" w:line="153" w:lineRule="exact"/>
              <w:rPr>
                <w:sz w:val="20"/>
                <w:szCs w:val="20"/>
                <w:color w:val="auto"/>
              </w:rPr>
            </w:pPr>
            <w:r>
              <w:rPr>
                <w:rFonts w:ascii="Arial" w:cs="Arial" w:eastAsia="Arial" w:hAnsi="Arial"/>
                <w:sz w:val="14"/>
                <w:szCs w:val="14"/>
                <w:color w:val="231F20"/>
                <w:w w:val="97"/>
              </w:rPr>
              <w:t>Assistant Vice President overseeing community and media relations for</w:t>
            </w:r>
          </w:p>
        </w:tc>
        <w:tc>
          <w:tcPr>
            <w:tcW w:w="0" w:type="dxa"/>
            <w:vAlign w:val="bottom"/>
          </w:tcPr>
          <w:p>
            <w:pPr>
              <w:spacing w:after="0"/>
              <w:rPr>
                <w:sz w:val="1"/>
                <w:szCs w:val="1"/>
                <w:color w:val="auto"/>
              </w:rPr>
            </w:pPr>
          </w:p>
        </w:tc>
      </w:tr>
      <w:tr>
        <w:trPr>
          <w:trHeight w:val="221"/>
        </w:trPr>
        <w:tc>
          <w:tcPr>
            <w:tcW w:w="4280" w:type="dxa"/>
            <w:vAlign w:val="bottom"/>
          </w:tcPr>
          <w:p>
            <w:pPr>
              <w:ind w:left="180"/>
              <w:spacing w:after="0"/>
              <w:rPr>
                <w:sz w:val="20"/>
                <w:szCs w:val="20"/>
                <w:color w:val="auto"/>
              </w:rPr>
            </w:pPr>
            <w:r>
              <w:rPr>
                <w:rFonts w:ascii="Arial" w:cs="Arial" w:eastAsia="Arial" w:hAnsi="Arial"/>
                <w:sz w:val="14"/>
                <w:szCs w:val="14"/>
                <w:color w:val="231F20"/>
              </w:rPr>
              <w:t>2010 - 2020.</w:t>
            </w:r>
          </w:p>
        </w:tc>
        <w:tc>
          <w:tcPr>
            <w:tcW w:w="300" w:type="dxa"/>
            <w:vAlign w:val="bottom"/>
          </w:tcPr>
          <w:p>
            <w:pPr>
              <w:spacing w:after="0"/>
              <w:rPr>
                <w:sz w:val="19"/>
                <w:szCs w:val="19"/>
                <w:color w:val="auto"/>
              </w:rPr>
            </w:pPr>
          </w:p>
        </w:tc>
        <w:tc>
          <w:tcPr>
            <w:tcW w:w="1920" w:type="dxa"/>
            <w:vAlign w:val="bottom"/>
          </w:tcPr>
          <w:p>
            <w:pPr>
              <w:ind w:left="80"/>
              <w:spacing w:after="0"/>
              <w:rPr>
                <w:sz w:val="20"/>
                <w:szCs w:val="20"/>
                <w:color w:val="auto"/>
              </w:rPr>
            </w:pPr>
            <w:r>
              <w:rPr>
                <w:rFonts w:ascii="Arial" w:cs="Arial" w:eastAsia="Arial" w:hAnsi="Arial"/>
                <w:sz w:val="14"/>
                <w:szCs w:val="14"/>
                <w:color w:val="231F20"/>
              </w:rPr>
              <w:t>Saint Joseph’s University</w:t>
            </w:r>
          </w:p>
        </w:tc>
        <w:tc>
          <w:tcPr>
            <w:tcW w:w="244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8" w:lineRule="exact"/>
        <w:rPr>
          <w:sz w:val="20"/>
          <w:szCs w:val="20"/>
          <w:color w:val="auto"/>
        </w:rPr>
      </w:pPr>
    </w:p>
    <w:p>
      <w:pPr>
        <w:spacing w:after="0"/>
        <w:rPr>
          <w:sz w:val="20"/>
          <w:szCs w:val="20"/>
          <w:color w:val="auto"/>
        </w:rPr>
      </w:pPr>
      <w:r>
        <w:rPr>
          <w:rFonts w:ascii="Arial" w:cs="Arial" w:eastAsia="Arial" w:hAnsi="Arial"/>
          <w:sz w:val="14"/>
          <w:szCs w:val="14"/>
          <w:color w:val="231F20"/>
        </w:rPr>
        <w:t>Prior to 2010, Mr. Hilferty was:</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4395D4"/>
        </w:rPr>
        <w:t xml:space="preserve">· </w:t>
      </w:r>
      <w:r>
        <w:rPr>
          <w:rFonts w:ascii="Arial" w:cs="Arial" w:eastAsia="Arial" w:hAnsi="Arial"/>
          <w:sz w:val="13"/>
          <w:szCs w:val="13"/>
          <w:color w:val="231F20"/>
        </w:rPr>
        <w:t>President and Chief Executive Officer of the AmeriHealth Mercy</w:t>
      </w:r>
    </w:p>
    <w:p>
      <w:pPr>
        <w:spacing w:after="0" w:line="26" w:lineRule="exact"/>
        <w:rPr>
          <w:sz w:val="20"/>
          <w:szCs w:val="20"/>
          <w:color w:val="auto"/>
        </w:rPr>
      </w:pPr>
    </w:p>
    <w:p>
      <w:pPr>
        <w:ind w:left="180"/>
        <w:spacing w:after="0"/>
        <w:rPr>
          <w:sz w:val="20"/>
          <w:szCs w:val="20"/>
          <w:color w:val="auto"/>
        </w:rPr>
      </w:pPr>
      <w:r>
        <w:rPr>
          <w:rFonts w:ascii="Arial" w:cs="Arial" w:eastAsia="Arial" w:hAnsi="Arial"/>
          <w:sz w:val="14"/>
          <w:szCs w:val="14"/>
          <w:color w:val="231F20"/>
        </w:rPr>
        <w:t>Family of Companies</w:t>
      </w:r>
    </w:p>
    <w:p>
      <w:pPr>
        <w:spacing w:after="0" w:line="203" w:lineRule="exact"/>
        <w:rPr>
          <w:sz w:val="20"/>
          <w:szCs w:val="20"/>
          <w:color w:val="auto"/>
        </w:rPr>
      </w:pPr>
    </w:p>
    <w:p>
      <w:pPr>
        <w:spacing w:after="0"/>
        <w:rPr>
          <w:sz w:val="20"/>
          <w:szCs w:val="20"/>
          <w:color w:val="auto"/>
        </w:rPr>
      </w:pPr>
      <w:r>
        <w:rPr>
          <w:rFonts w:ascii="Arial" w:cs="Arial" w:eastAsia="Arial" w:hAnsi="Arial"/>
          <w:sz w:val="15"/>
          <w:szCs w:val="15"/>
          <w:b w:val="1"/>
          <w:bCs w:val="1"/>
          <w:color w:val="455986"/>
        </w:rPr>
        <w:t>Qualifications:</w:t>
      </w:r>
    </w:p>
    <w:p>
      <w:pPr>
        <w:spacing w:after="0" w:line="26" w:lineRule="exact"/>
        <w:rPr>
          <w:sz w:val="20"/>
          <w:szCs w:val="20"/>
          <w:color w:val="auto"/>
        </w:rPr>
      </w:pPr>
    </w:p>
    <w:p>
      <w:pPr>
        <w:spacing w:after="0" w:line="252" w:lineRule="auto"/>
        <w:rPr>
          <w:sz w:val="20"/>
          <w:szCs w:val="20"/>
          <w:color w:val="auto"/>
        </w:rPr>
      </w:pPr>
      <w:r>
        <w:rPr>
          <w:rFonts w:ascii="Arial" w:cs="Arial" w:eastAsia="Arial" w:hAnsi="Arial"/>
          <w:sz w:val="15"/>
          <w:szCs w:val="15"/>
          <w:color w:val="231F20"/>
        </w:rPr>
        <w:t>Mr. Hilferty has extensive knowledge and experience in the areas of mergers and acquisitions, the health care field, and government relations and regulation. Based on Mr. Hilferty’s experience, qualifications, and knowledge, in 2017, the Board of Directors determined that Mr. Hilferty should serve as its Lead Independent Director. The Board of Directors views Mr. Hilferty’s independence, his experience with regulation, his reputation in the healthcare industry, and his leadership roles in business and community activities as important qualifications, skills and experience supporting the Board of Directors’ conclusion that Mr. Hilferty should serve as a director of the Company.</w:t>
      </w:r>
    </w:p>
    <w:p>
      <w:pPr>
        <w:spacing w:after="0" w:line="157" w:lineRule="exact"/>
        <w:rPr>
          <w:sz w:val="20"/>
          <w:szCs w:val="20"/>
          <w:color w:val="auto"/>
        </w:rPr>
      </w:pPr>
    </w:p>
    <w:p>
      <w:pPr>
        <w:spacing w:after="0"/>
        <w:rPr>
          <w:sz w:val="20"/>
          <w:szCs w:val="20"/>
          <w:color w:val="auto"/>
        </w:rPr>
      </w:pPr>
      <w:r>
        <w:rPr>
          <w:rFonts w:ascii="Arial" w:cs="Arial" w:eastAsia="Arial" w:hAnsi="Arial"/>
          <w:sz w:val="15"/>
          <w:szCs w:val="15"/>
          <w:b w:val="1"/>
          <w:bCs w:val="1"/>
          <w:color w:val="455986"/>
        </w:rPr>
        <w:t>Other current public company directorships (0).</w:t>
      </w:r>
    </w:p>
    <w:p>
      <w:pPr>
        <w:spacing w:after="0" w:line="26" w:lineRule="exact"/>
        <w:rPr>
          <w:sz w:val="20"/>
          <w:szCs w:val="20"/>
          <w:color w:val="auto"/>
        </w:rPr>
      </w:pPr>
    </w:p>
    <w:p>
      <w:pPr>
        <w:spacing w:after="0"/>
        <w:rPr>
          <w:sz w:val="20"/>
          <w:szCs w:val="20"/>
          <w:color w:val="auto"/>
        </w:rPr>
      </w:pPr>
      <w:r>
        <w:rPr>
          <w:rFonts w:ascii="Arial" w:cs="Arial" w:eastAsia="Arial" w:hAnsi="Arial"/>
          <w:sz w:val="15"/>
          <w:szCs w:val="15"/>
          <w:b w:val="1"/>
          <w:bCs w:val="1"/>
          <w:color w:val="455986"/>
        </w:rPr>
        <w:t>Other current and past directorships:</w:t>
      </w:r>
    </w:p>
    <w:p>
      <w:pPr>
        <w:spacing w:after="0" w:line="6" w:lineRule="exact"/>
        <w:rPr>
          <w:sz w:val="20"/>
          <w:szCs w:val="20"/>
          <w:color w:val="auto"/>
        </w:rPr>
      </w:pPr>
    </w:p>
    <w:p>
      <w:pPr>
        <w:ind w:right="40"/>
        <w:spacing w:after="0" w:line="255" w:lineRule="auto"/>
        <w:rPr>
          <w:sz w:val="20"/>
          <w:szCs w:val="20"/>
          <w:color w:val="auto"/>
        </w:rPr>
      </w:pPr>
      <w:r>
        <w:rPr>
          <w:rFonts w:ascii="Arial" w:cs="Arial" w:eastAsia="Arial" w:hAnsi="Arial"/>
          <w:sz w:val="15"/>
          <w:szCs w:val="15"/>
          <w:color w:val="231F20"/>
        </w:rPr>
        <w:t>Mr. Hilferty serves on several industry-based and nonprofit boards, including America’s Health Insurance Plans (serves on the Executive Committee), Greater Philadelphia Chamber of Commerce (serves on the Executive Committee), and on a fund board of FS Investments. In 2015, he served as co-chair on the Executive Leadership Cabinet of the World Meeting of Families; and, was the past Chairman of the Board of Directors for the Blue Cross and Blue Shield Association.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-1433195</wp:posOffset>
            </wp:positionH>
            <wp:positionV relativeFrom="paragraph">
              <wp:posOffset>108585</wp:posOffset>
            </wp:positionV>
            <wp:extent cx="713994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9940"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1940" w:space="320"/>
            <w:col w:w="8980"/>
          </w:cols>
          <w:pgMar w:left="320" w:top="637" w:right="339" w:bottom="1440" w:gutter="0" w:footer="0" w:header="0"/>
          <w:type w:val="continuous"/>
        </w:sectPr>
      </w:pPr>
    </w:p>
    <w:p>
      <w:pPr>
        <w:spacing w:after="0" w:line="172" w:lineRule="exact"/>
        <w:rPr>
          <w:sz w:val="20"/>
          <w:szCs w:val="20"/>
          <w:color w:val="auto"/>
        </w:rPr>
      </w:pPr>
    </w:p>
    <w:p>
      <w:pPr>
        <w:ind w:left="2260"/>
        <w:spacing w:after="0"/>
        <w:rPr>
          <w:sz w:val="20"/>
          <w:szCs w:val="20"/>
          <w:color w:val="auto"/>
        </w:rPr>
      </w:pPr>
      <w:r>
        <w:rPr>
          <w:rFonts w:ascii="Arial" w:cs="Arial" w:eastAsia="Arial" w:hAnsi="Arial"/>
          <w:sz w:val="27"/>
          <w:szCs w:val="27"/>
          <w:b w:val="1"/>
          <w:bCs w:val="1"/>
          <w:color w:val="4395D4"/>
        </w:rPr>
        <w:t>Francis O. Idehen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-170180</wp:posOffset>
            </wp:positionV>
            <wp:extent cx="1029335" cy="120777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029335" cy="1207770"/>
                    </a:xfrm>
                    <a:prstGeom prst="rect">
                      <a:avLst/>
                    </a:prstGeom>
                    <a:noFill/>
                  </pic:spPr>
                </pic:pic>
              </a:graphicData>
            </a:graphic>
          </wp:anchor>
        </w:drawing>
      </w:r>
    </w:p>
    <w:p>
      <w:pPr>
        <w:spacing w:after="0" w:line="35" w:lineRule="exact"/>
        <w:rPr>
          <w:sz w:val="20"/>
          <w:szCs w:val="20"/>
          <w:color w:val="auto"/>
        </w:rPr>
      </w:pPr>
    </w:p>
    <w:p>
      <w:pPr>
        <w:ind w:left="2260"/>
        <w:spacing w:after="0"/>
        <w:rPr>
          <w:sz w:val="20"/>
          <w:szCs w:val="20"/>
          <w:color w:val="auto"/>
        </w:rPr>
      </w:pPr>
      <w:r>
        <w:rPr>
          <w:rFonts w:ascii="Arial" w:cs="Arial" w:eastAsia="Arial" w:hAnsi="Arial"/>
          <w:sz w:val="14"/>
          <w:szCs w:val="14"/>
          <w:color w:val="231F20"/>
        </w:rPr>
        <w:t>Chief Operating Officer, GCM Grosvenor</w:t>
      </w:r>
    </w:p>
    <w:p>
      <w:pPr>
        <w:spacing w:after="0" w:line="391" w:lineRule="exact"/>
        <w:rPr>
          <w:sz w:val="20"/>
          <w:szCs w:val="20"/>
          <w:color w:val="auto"/>
        </w:rPr>
      </w:pPr>
    </w:p>
    <w:p>
      <w:pPr>
        <w:ind w:left="2260"/>
        <w:spacing w:after="0"/>
        <w:rPr>
          <w:sz w:val="20"/>
          <w:szCs w:val="20"/>
          <w:color w:val="auto"/>
        </w:rPr>
      </w:pPr>
      <w:r>
        <w:rPr>
          <w:rFonts w:ascii="Arial" w:cs="Arial" w:eastAsia="Arial" w:hAnsi="Arial"/>
          <w:sz w:val="15"/>
          <w:szCs w:val="15"/>
          <w:b w:val="1"/>
          <w:bCs w:val="1"/>
          <w:color w:val="455986"/>
        </w:rPr>
        <w:t>Experience</w:t>
      </w:r>
    </w:p>
    <w:p>
      <w:pPr>
        <w:spacing w:after="0" w:line="38" w:lineRule="exact"/>
        <w:rPr>
          <w:sz w:val="20"/>
          <w:szCs w:val="20"/>
          <w:color w:val="auto"/>
        </w:rPr>
      </w:pPr>
    </w:p>
    <w:p>
      <w:pPr>
        <w:ind w:left="2440" w:right="33" w:hanging="179"/>
        <w:spacing w:after="0" w:line="285" w:lineRule="auto"/>
        <w:tabs>
          <w:tab w:leader="none" w:pos="2388" w:val="left"/>
        </w:tabs>
        <w:numPr>
          <w:ilvl w:val="0"/>
          <w:numId w:val="29"/>
        </w:numPr>
        <w:rPr>
          <w:rFonts w:ascii="Times New Roman" w:cs="Times New Roman" w:eastAsia="Times New Roman" w:hAnsi="Times New Roman"/>
          <w:sz w:val="16"/>
          <w:szCs w:val="16"/>
          <w:color w:val="4395D4"/>
        </w:rPr>
      </w:pPr>
      <w:r>
        <w:rPr>
          <w:rFonts w:ascii="Arial" w:cs="Arial" w:eastAsia="Arial" w:hAnsi="Arial"/>
          <w:sz w:val="13"/>
          <w:szCs w:val="13"/>
          <w:color w:val="231F20"/>
        </w:rPr>
        <w:t>Chief Operating Officer for GCM Grosvenor, an independent alternative asset management firm since May 2017.</w:t>
      </w:r>
    </w:p>
    <w:p>
      <w:pPr>
        <w:spacing w:after="0" w:line="20" w:lineRule="exact"/>
        <w:rPr>
          <w:sz w:val="20"/>
          <w:szCs w:val="20"/>
          <w:color w:val="auto"/>
        </w:rPr>
      </w:pPr>
      <w:r>
        <w:rPr>
          <w:sz w:val="20"/>
          <w:szCs w:val="20"/>
          <w:color w:val="auto"/>
        </w:rPr>
        <w:br w:type="column"/>
      </w:r>
    </w:p>
    <w:p>
      <w:pPr>
        <w:spacing w:after="0" w:line="176" w:lineRule="exact"/>
        <w:rPr>
          <w:sz w:val="20"/>
          <w:szCs w:val="20"/>
          <w:color w:val="auto"/>
        </w:rPr>
      </w:pPr>
    </w:p>
    <w:p>
      <w:pPr>
        <w:ind w:left="2247"/>
        <w:spacing w:after="0"/>
        <w:rPr>
          <w:sz w:val="20"/>
          <w:szCs w:val="20"/>
          <w:color w:val="auto"/>
        </w:rPr>
      </w:pPr>
      <w:r>
        <w:rPr>
          <w:rFonts w:ascii="Arial" w:cs="Arial" w:eastAsia="Arial" w:hAnsi="Arial"/>
          <w:sz w:val="15"/>
          <w:szCs w:val="15"/>
          <w:color w:val="231F20"/>
        </w:rPr>
        <w:t xml:space="preserve">Director since </w:t>
      </w:r>
      <w:r>
        <w:rPr>
          <w:rFonts w:ascii="Arial" w:cs="Arial" w:eastAsia="Arial" w:hAnsi="Arial"/>
          <w:sz w:val="15"/>
          <w:szCs w:val="15"/>
          <w:b w:val="1"/>
          <w:bCs w:val="1"/>
          <w:color w:val="4395D4"/>
        </w:rPr>
        <w:t>2019</w:t>
      </w:r>
    </w:p>
    <w:p>
      <w:pPr>
        <w:spacing w:after="0" w:line="42" w:lineRule="exact"/>
        <w:rPr>
          <w:sz w:val="20"/>
          <w:szCs w:val="20"/>
          <w:color w:val="auto"/>
        </w:rPr>
      </w:pPr>
    </w:p>
    <w:p>
      <w:pPr>
        <w:ind w:left="2247"/>
        <w:spacing w:after="0"/>
        <w:rPr>
          <w:sz w:val="20"/>
          <w:szCs w:val="20"/>
          <w:color w:val="auto"/>
        </w:rPr>
      </w:pPr>
      <w:r>
        <w:rPr>
          <w:rFonts w:ascii="Arial" w:cs="Arial" w:eastAsia="Arial" w:hAnsi="Arial"/>
          <w:sz w:val="15"/>
          <w:szCs w:val="15"/>
          <w:color w:val="231F20"/>
        </w:rPr>
        <w:t xml:space="preserve">Age </w:t>
      </w:r>
      <w:r>
        <w:rPr>
          <w:rFonts w:ascii="Arial" w:cs="Arial" w:eastAsia="Arial" w:hAnsi="Arial"/>
          <w:sz w:val="15"/>
          <w:szCs w:val="15"/>
          <w:b w:val="1"/>
          <w:bCs w:val="1"/>
          <w:color w:val="4395D4"/>
        </w:rPr>
        <w:t>43</w:t>
      </w:r>
    </w:p>
    <w:p>
      <w:pPr>
        <w:spacing w:after="0" w:line="34" w:lineRule="exact"/>
        <w:rPr>
          <w:sz w:val="20"/>
          <w:szCs w:val="20"/>
          <w:color w:val="auto"/>
        </w:rPr>
      </w:pPr>
    </w:p>
    <w:p>
      <w:pPr>
        <w:ind w:left="2247"/>
        <w:spacing w:after="0"/>
        <w:rPr>
          <w:sz w:val="20"/>
          <w:szCs w:val="20"/>
          <w:color w:val="auto"/>
        </w:rPr>
      </w:pPr>
      <w:r>
        <w:rPr>
          <w:rFonts w:ascii="Arial" w:cs="Arial" w:eastAsia="Arial" w:hAnsi="Arial"/>
          <w:sz w:val="15"/>
          <w:szCs w:val="15"/>
          <w:b w:val="1"/>
          <w:bCs w:val="1"/>
          <w:color w:val="4395D4"/>
        </w:rPr>
        <w:t>Independent Director</w:t>
      </w:r>
    </w:p>
    <w:p>
      <w:pPr>
        <w:spacing w:after="0" w:line="200" w:lineRule="exact"/>
        <w:rPr>
          <w:sz w:val="20"/>
          <w:szCs w:val="20"/>
          <w:color w:val="auto"/>
        </w:rPr>
      </w:pPr>
    </w:p>
    <w:p>
      <w:pPr>
        <w:spacing w:after="0" w:line="298" w:lineRule="exact"/>
        <w:rPr>
          <w:sz w:val="20"/>
          <w:szCs w:val="20"/>
          <w:color w:val="auto"/>
        </w:rPr>
      </w:pPr>
    </w:p>
    <w:p>
      <w:pPr>
        <w:ind w:left="167" w:right="60" w:hanging="167"/>
        <w:spacing w:after="0" w:line="238" w:lineRule="auto"/>
        <w:tabs>
          <w:tab w:leader="none" w:pos="114" w:val="left"/>
        </w:tabs>
        <w:numPr>
          <w:ilvl w:val="0"/>
          <w:numId w:val="30"/>
        </w:numPr>
        <w:rPr>
          <w:rFonts w:ascii="Times New Roman" w:cs="Times New Roman" w:eastAsia="Times New Roman" w:hAnsi="Times New Roman"/>
          <w:sz w:val="17"/>
          <w:szCs w:val="17"/>
          <w:color w:val="4395D4"/>
        </w:rPr>
      </w:pPr>
      <w:r>
        <w:rPr>
          <w:rFonts w:ascii="Arial" w:cs="Arial" w:eastAsia="Arial" w:hAnsi="Arial"/>
          <w:sz w:val="14"/>
          <w:szCs w:val="14"/>
          <w:color w:val="231F20"/>
        </w:rPr>
        <w:t>Served in senior roles at Exelon Corporation from 2011 to 2017, serving as its treasurer, head of investor relations, and managing director of its investment office.</w:t>
      </w:r>
    </w:p>
    <w:p>
      <w:pPr>
        <w:spacing w:after="0" w:line="200" w:lineRule="exact"/>
        <w:rPr>
          <w:sz w:val="20"/>
          <w:szCs w:val="20"/>
          <w:color w:val="auto"/>
        </w:rPr>
      </w:pPr>
    </w:p>
    <w:p>
      <w:pPr>
        <w:sectPr>
          <w:pgSz w:w="11900" w:h="16838" w:orient="portrait"/>
          <w:cols w:equalWidth="0" w:num="2">
            <w:col w:w="6033" w:space="720"/>
            <w:col w:w="4487"/>
          </w:cols>
          <w:pgMar w:left="320" w:top="637" w:right="339" w:bottom="1440" w:gutter="0" w:footer="0" w:header="0"/>
          <w:type w:val="continuous"/>
        </w:sectPr>
      </w:pPr>
    </w:p>
    <w:p>
      <w:pPr>
        <w:spacing w:after="0" w:line="276" w:lineRule="exact"/>
        <w:rPr>
          <w:sz w:val="20"/>
          <w:szCs w:val="20"/>
          <w:color w:val="auto"/>
        </w:rPr>
      </w:pPr>
    </w:p>
    <w:p>
      <w:pPr>
        <w:spacing w:after="0"/>
        <w:rPr>
          <w:sz w:val="20"/>
          <w:szCs w:val="20"/>
          <w:color w:val="auto"/>
        </w:rPr>
      </w:pPr>
      <w:r>
        <w:rPr>
          <w:rFonts w:ascii="Arial" w:cs="Arial" w:eastAsia="Arial" w:hAnsi="Arial"/>
          <w:sz w:val="15"/>
          <w:szCs w:val="15"/>
          <w:b w:val="1"/>
          <w:bCs w:val="1"/>
          <w:color w:val="455986"/>
        </w:rPr>
        <w:t>Board Committees</w:t>
      </w:r>
    </w:p>
    <w:p>
      <w:pPr>
        <w:spacing w:after="0" w:line="26" w:lineRule="exact"/>
        <w:rPr>
          <w:sz w:val="20"/>
          <w:szCs w:val="20"/>
          <w:color w:val="auto"/>
        </w:rPr>
      </w:pPr>
    </w:p>
    <w:p>
      <w:pPr>
        <w:ind w:left="120" w:hanging="118"/>
        <w:spacing w:after="0"/>
        <w:tabs>
          <w:tab w:leader="none" w:pos="120" w:val="left"/>
        </w:tabs>
        <w:numPr>
          <w:ilvl w:val="0"/>
          <w:numId w:val="31"/>
        </w:numPr>
        <w:rPr>
          <w:rFonts w:ascii="Times New Roman" w:cs="Times New Roman" w:eastAsia="Times New Roman" w:hAnsi="Times New Roman"/>
          <w:sz w:val="17"/>
          <w:szCs w:val="17"/>
          <w:color w:val="231F20"/>
        </w:rPr>
      </w:pPr>
      <w:r>
        <w:rPr>
          <w:rFonts w:ascii="Arial" w:cs="Arial" w:eastAsia="Arial" w:hAnsi="Arial"/>
          <w:sz w:val="15"/>
          <w:szCs w:val="15"/>
          <w:color w:val="231F20"/>
        </w:rPr>
        <w:t>Audit Committee</w:t>
      </w:r>
    </w:p>
    <w:p>
      <w:pPr>
        <w:spacing w:after="0" w:line="8" w:lineRule="exact"/>
        <w:rPr>
          <w:rFonts w:ascii="Times New Roman" w:cs="Times New Roman" w:eastAsia="Times New Roman" w:hAnsi="Times New Roman"/>
          <w:sz w:val="17"/>
          <w:szCs w:val="17"/>
          <w:color w:val="231F20"/>
        </w:rPr>
      </w:pPr>
    </w:p>
    <w:p>
      <w:pPr>
        <w:ind w:left="180" w:hanging="178"/>
        <w:spacing w:after="0" w:line="272" w:lineRule="auto"/>
        <w:tabs>
          <w:tab w:leader="none" w:pos="138" w:val="left"/>
        </w:tabs>
        <w:numPr>
          <w:ilvl w:val="0"/>
          <w:numId w:val="31"/>
        </w:numPr>
        <w:rPr>
          <w:rFonts w:ascii="Times New Roman" w:cs="Times New Roman" w:eastAsia="Times New Roman" w:hAnsi="Times New Roman"/>
          <w:sz w:val="17"/>
          <w:szCs w:val="17"/>
          <w:color w:val="231F20"/>
        </w:rPr>
      </w:pPr>
      <w:r>
        <w:rPr>
          <w:rFonts w:ascii="Arial" w:cs="Arial" w:eastAsia="Arial" w:hAnsi="Arial"/>
          <w:sz w:val="15"/>
          <w:szCs w:val="15"/>
          <w:color w:val="231F20"/>
        </w:rPr>
        <w:t>Risk Mitigation and Investment Policy Committee</w:t>
      </w:r>
    </w:p>
    <w:p>
      <w:pPr>
        <w:spacing w:after="0" w:line="138" w:lineRule="exact"/>
        <w:rPr>
          <w:sz w:val="20"/>
          <w:szCs w:val="20"/>
          <w:color w:val="auto"/>
        </w:rPr>
      </w:pPr>
    </w:p>
    <w:p>
      <w:pPr>
        <w:spacing w:after="0"/>
        <w:rPr>
          <w:sz w:val="20"/>
          <w:szCs w:val="20"/>
          <w:color w:val="auto"/>
        </w:rPr>
      </w:pPr>
      <w:r>
        <w:rPr>
          <w:rFonts w:ascii="Arial" w:cs="Arial" w:eastAsia="Arial" w:hAnsi="Arial"/>
          <w:sz w:val="15"/>
          <w:szCs w:val="15"/>
          <w:b w:val="1"/>
          <w:bCs w:val="1"/>
          <w:color w:val="455986"/>
        </w:rPr>
        <w:t>Key Skills</w:t>
      </w:r>
    </w:p>
    <w:p>
      <w:pPr>
        <w:spacing w:after="0" w:line="26" w:lineRule="exact"/>
        <w:rPr>
          <w:sz w:val="20"/>
          <w:szCs w:val="20"/>
          <w:color w:val="auto"/>
        </w:rPr>
      </w:pPr>
    </w:p>
    <w:p>
      <w:pPr>
        <w:ind w:left="120" w:hanging="118"/>
        <w:spacing w:after="0"/>
        <w:tabs>
          <w:tab w:leader="none" w:pos="120" w:val="left"/>
        </w:tabs>
        <w:numPr>
          <w:ilvl w:val="0"/>
          <w:numId w:val="32"/>
        </w:numPr>
        <w:rPr>
          <w:rFonts w:ascii="Times New Roman" w:cs="Times New Roman" w:eastAsia="Times New Roman" w:hAnsi="Times New Roman"/>
          <w:sz w:val="17"/>
          <w:szCs w:val="17"/>
          <w:color w:val="231F20"/>
        </w:rPr>
      </w:pPr>
      <w:r>
        <w:rPr>
          <w:rFonts w:ascii="Arial" w:cs="Arial" w:eastAsia="Arial" w:hAnsi="Arial"/>
          <w:sz w:val="15"/>
          <w:szCs w:val="15"/>
          <w:color w:val="231F20"/>
        </w:rPr>
        <w:t>Utility Industry</w:t>
      </w:r>
    </w:p>
    <w:p>
      <w:pPr>
        <w:spacing w:after="0" w:line="8" w:lineRule="exact"/>
        <w:rPr>
          <w:rFonts w:ascii="Times New Roman" w:cs="Times New Roman" w:eastAsia="Times New Roman" w:hAnsi="Times New Roman"/>
          <w:sz w:val="17"/>
          <w:szCs w:val="17"/>
          <w:color w:val="231F20"/>
        </w:rPr>
      </w:pPr>
    </w:p>
    <w:p>
      <w:pPr>
        <w:ind w:left="120" w:hanging="118"/>
        <w:spacing w:after="0"/>
        <w:tabs>
          <w:tab w:leader="none" w:pos="120" w:val="left"/>
        </w:tabs>
        <w:numPr>
          <w:ilvl w:val="0"/>
          <w:numId w:val="32"/>
        </w:numPr>
        <w:rPr>
          <w:rFonts w:ascii="Times New Roman" w:cs="Times New Roman" w:eastAsia="Times New Roman" w:hAnsi="Times New Roman"/>
          <w:sz w:val="17"/>
          <w:szCs w:val="17"/>
          <w:color w:val="231F20"/>
        </w:rPr>
      </w:pPr>
      <w:r>
        <w:rPr>
          <w:rFonts w:ascii="Arial" w:cs="Arial" w:eastAsia="Arial" w:hAnsi="Arial"/>
          <w:sz w:val="15"/>
          <w:szCs w:val="15"/>
          <w:color w:val="231F20"/>
        </w:rPr>
        <w:t>Regulatory</w:t>
      </w:r>
    </w:p>
    <w:p>
      <w:pPr>
        <w:spacing w:after="0" w:line="8" w:lineRule="exact"/>
        <w:rPr>
          <w:rFonts w:ascii="Times New Roman" w:cs="Times New Roman" w:eastAsia="Times New Roman" w:hAnsi="Times New Roman"/>
          <w:sz w:val="17"/>
          <w:szCs w:val="17"/>
          <w:color w:val="231F20"/>
        </w:rPr>
      </w:pPr>
    </w:p>
    <w:p>
      <w:pPr>
        <w:ind w:left="120" w:hanging="118"/>
        <w:spacing w:after="0"/>
        <w:tabs>
          <w:tab w:leader="none" w:pos="120" w:val="left"/>
        </w:tabs>
        <w:numPr>
          <w:ilvl w:val="0"/>
          <w:numId w:val="32"/>
        </w:numPr>
        <w:rPr>
          <w:rFonts w:ascii="Times New Roman" w:cs="Times New Roman" w:eastAsia="Times New Roman" w:hAnsi="Times New Roman"/>
          <w:sz w:val="17"/>
          <w:szCs w:val="17"/>
          <w:color w:val="231F20"/>
        </w:rPr>
      </w:pPr>
      <w:r>
        <w:rPr>
          <w:rFonts w:ascii="Arial" w:cs="Arial" w:eastAsia="Arial" w:hAnsi="Arial"/>
          <w:sz w:val="15"/>
          <w:szCs w:val="15"/>
          <w:color w:val="231F20"/>
        </w:rPr>
        <w:t>Financial</w:t>
      </w:r>
    </w:p>
    <w:p>
      <w:pPr>
        <w:spacing w:after="0" w:line="8" w:lineRule="exact"/>
        <w:rPr>
          <w:rFonts w:ascii="Times New Roman" w:cs="Times New Roman" w:eastAsia="Times New Roman" w:hAnsi="Times New Roman"/>
          <w:sz w:val="17"/>
          <w:szCs w:val="17"/>
          <w:color w:val="231F20"/>
        </w:rPr>
      </w:pPr>
    </w:p>
    <w:p>
      <w:pPr>
        <w:ind w:left="120" w:hanging="118"/>
        <w:spacing w:after="0"/>
        <w:tabs>
          <w:tab w:leader="none" w:pos="120" w:val="left"/>
        </w:tabs>
        <w:numPr>
          <w:ilvl w:val="0"/>
          <w:numId w:val="32"/>
        </w:numPr>
        <w:rPr>
          <w:rFonts w:ascii="Times New Roman" w:cs="Times New Roman" w:eastAsia="Times New Roman" w:hAnsi="Times New Roman"/>
          <w:sz w:val="17"/>
          <w:szCs w:val="17"/>
          <w:color w:val="231F20"/>
        </w:rPr>
      </w:pPr>
      <w:r>
        <w:rPr>
          <w:rFonts w:ascii="Arial" w:cs="Arial" w:eastAsia="Arial" w:hAnsi="Arial"/>
          <w:sz w:val="15"/>
          <w:szCs w:val="15"/>
          <w:color w:val="231F20"/>
        </w:rPr>
        <w:t>Leadership</w:t>
      </w:r>
    </w:p>
    <w:p>
      <w:pPr>
        <w:spacing w:after="0" w:line="8" w:lineRule="exact"/>
        <w:rPr>
          <w:rFonts w:ascii="Times New Roman" w:cs="Times New Roman" w:eastAsia="Times New Roman" w:hAnsi="Times New Roman"/>
          <w:sz w:val="17"/>
          <w:szCs w:val="17"/>
          <w:color w:val="231F20"/>
        </w:rPr>
      </w:pPr>
    </w:p>
    <w:p>
      <w:pPr>
        <w:ind w:left="120" w:hanging="118"/>
        <w:spacing w:after="0"/>
        <w:tabs>
          <w:tab w:leader="none" w:pos="120" w:val="left"/>
        </w:tabs>
        <w:numPr>
          <w:ilvl w:val="0"/>
          <w:numId w:val="32"/>
        </w:numPr>
        <w:rPr>
          <w:rFonts w:ascii="Times New Roman" w:cs="Times New Roman" w:eastAsia="Times New Roman" w:hAnsi="Times New Roman"/>
          <w:sz w:val="17"/>
          <w:szCs w:val="17"/>
          <w:color w:val="231F20"/>
        </w:rPr>
      </w:pPr>
      <w:r>
        <w:rPr>
          <w:rFonts w:ascii="Arial" w:cs="Arial" w:eastAsia="Arial" w:hAnsi="Arial"/>
          <w:sz w:val="15"/>
          <w:szCs w:val="15"/>
          <w:color w:val="231F20"/>
        </w:rPr>
        <w:t>Mergers &amp; Acquisitions</w:t>
      </w:r>
    </w:p>
    <w:p>
      <w:pPr>
        <w:spacing w:after="0" w:line="8" w:lineRule="exact"/>
        <w:rPr>
          <w:rFonts w:ascii="Times New Roman" w:cs="Times New Roman" w:eastAsia="Times New Roman" w:hAnsi="Times New Roman"/>
          <w:sz w:val="17"/>
          <w:szCs w:val="17"/>
          <w:color w:val="231F20"/>
        </w:rPr>
      </w:pPr>
    </w:p>
    <w:p>
      <w:pPr>
        <w:ind w:left="120" w:hanging="118"/>
        <w:spacing w:after="0"/>
        <w:tabs>
          <w:tab w:leader="none" w:pos="120" w:val="left"/>
        </w:tabs>
        <w:numPr>
          <w:ilvl w:val="0"/>
          <w:numId w:val="32"/>
        </w:numPr>
        <w:rPr>
          <w:rFonts w:ascii="Times New Roman" w:cs="Times New Roman" w:eastAsia="Times New Roman" w:hAnsi="Times New Roman"/>
          <w:sz w:val="17"/>
          <w:szCs w:val="17"/>
          <w:color w:val="231F20"/>
        </w:rPr>
      </w:pPr>
      <w:r>
        <w:rPr>
          <w:rFonts w:ascii="Arial" w:cs="Arial" w:eastAsia="Arial" w:hAnsi="Arial"/>
          <w:sz w:val="15"/>
          <w:szCs w:val="15"/>
          <w:color w:val="231F20"/>
        </w:rPr>
        <w:t>Geographic Diversity</w:t>
      </w:r>
    </w:p>
    <w:p>
      <w:pPr>
        <w:spacing w:after="0" w:line="8" w:lineRule="exact"/>
        <w:rPr>
          <w:rFonts w:ascii="Times New Roman" w:cs="Times New Roman" w:eastAsia="Times New Roman" w:hAnsi="Times New Roman"/>
          <w:sz w:val="17"/>
          <w:szCs w:val="17"/>
          <w:color w:val="231F20"/>
        </w:rPr>
      </w:pPr>
    </w:p>
    <w:p>
      <w:pPr>
        <w:ind w:left="120" w:hanging="118"/>
        <w:spacing w:after="0"/>
        <w:tabs>
          <w:tab w:leader="none" w:pos="120" w:val="left"/>
        </w:tabs>
        <w:numPr>
          <w:ilvl w:val="0"/>
          <w:numId w:val="32"/>
        </w:numPr>
        <w:rPr>
          <w:rFonts w:ascii="Times New Roman" w:cs="Times New Roman" w:eastAsia="Times New Roman" w:hAnsi="Times New Roman"/>
          <w:sz w:val="17"/>
          <w:szCs w:val="17"/>
          <w:color w:val="231F20"/>
        </w:rPr>
      </w:pPr>
      <w:r>
        <w:rPr>
          <w:rFonts w:ascii="Arial" w:cs="Arial" w:eastAsia="Arial" w:hAnsi="Arial"/>
          <w:sz w:val="15"/>
          <w:szCs w:val="15"/>
          <w:color w:val="231F20"/>
        </w:rPr>
        <w:t>C-Suite Experience</w:t>
      </w:r>
    </w:p>
    <w:p>
      <w:pPr>
        <w:spacing w:after="0" w:line="20" w:lineRule="exact"/>
        <w:rPr>
          <w:sz w:val="20"/>
          <w:szCs w:val="20"/>
          <w:color w:val="auto"/>
        </w:rPr>
      </w:pPr>
      <w:r>
        <w:rPr>
          <w:sz w:val="20"/>
          <w:szCs w:val="20"/>
          <w:color w:val="auto"/>
        </w:rPr>
        <w:br w:type="column"/>
      </w:r>
    </w:p>
    <w:p>
      <w:pPr>
        <w:spacing w:after="0" w:line="199" w:lineRule="exact"/>
        <w:rPr>
          <w:sz w:val="20"/>
          <w:szCs w:val="20"/>
          <w:color w:val="auto"/>
        </w:rPr>
      </w:pPr>
    </w:p>
    <w:p>
      <w:pPr>
        <w:spacing w:after="0"/>
        <w:rPr>
          <w:sz w:val="20"/>
          <w:szCs w:val="20"/>
          <w:color w:val="auto"/>
        </w:rPr>
      </w:pPr>
      <w:r>
        <w:rPr>
          <w:rFonts w:ascii="Arial" w:cs="Arial" w:eastAsia="Arial" w:hAnsi="Arial"/>
          <w:sz w:val="14"/>
          <w:szCs w:val="14"/>
          <w:color w:val="231F20"/>
        </w:rPr>
        <w:t>Mr. Idehen has a bachelor’s degree in economics from Yale University and an MBA from Harvard Business School.</w:t>
      </w:r>
    </w:p>
    <w:p>
      <w:pPr>
        <w:spacing w:after="0" w:line="177" w:lineRule="exact"/>
        <w:rPr>
          <w:sz w:val="20"/>
          <w:szCs w:val="20"/>
          <w:color w:val="auto"/>
        </w:rPr>
      </w:pPr>
    </w:p>
    <w:p>
      <w:pPr>
        <w:spacing w:after="0"/>
        <w:rPr>
          <w:sz w:val="20"/>
          <w:szCs w:val="20"/>
          <w:color w:val="auto"/>
        </w:rPr>
      </w:pPr>
      <w:r>
        <w:rPr>
          <w:rFonts w:ascii="Arial" w:cs="Arial" w:eastAsia="Arial" w:hAnsi="Arial"/>
          <w:sz w:val="15"/>
          <w:szCs w:val="15"/>
          <w:b w:val="1"/>
          <w:bCs w:val="1"/>
          <w:color w:val="455986"/>
        </w:rPr>
        <w:t>Qualifications:</w:t>
      </w:r>
    </w:p>
    <w:p>
      <w:pPr>
        <w:spacing w:after="0" w:line="26" w:lineRule="exact"/>
        <w:rPr>
          <w:sz w:val="20"/>
          <w:szCs w:val="20"/>
          <w:color w:val="auto"/>
        </w:rPr>
      </w:pPr>
    </w:p>
    <w:p>
      <w:pPr>
        <w:ind w:right="60"/>
        <w:spacing w:after="0" w:line="253" w:lineRule="auto"/>
        <w:rPr>
          <w:sz w:val="20"/>
          <w:szCs w:val="20"/>
          <w:color w:val="auto"/>
        </w:rPr>
      </w:pPr>
      <w:r>
        <w:rPr>
          <w:rFonts w:ascii="Arial" w:cs="Arial" w:eastAsia="Arial" w:hAnsi="Arial"/>
          <w:sz w:val="15"/>
          <w:szCs w:val="15"/>
          <w:color w:val="231F20"/>
        </w:rPr>
        <w:t>Mr. Idehen has extensive experience with large and complex businesses, including a major utility Company, in various management and financial positions. Mr. Idehen has lived and worked in Illinois, an important area of the Company’s operations, for many years. The Board of Directors views Mr. Idehen’s independence, his experience with various aspects of the utility industry, and his experience as a chief operating officer charged with making prudent financial investments as important qualifications, skills and experience supporting the Board of Directors’ conclusion that Mr. Idehen should serve as a director of the Company.</w:t>
      </w:r>
    </w:p>
    <w:p>
      <w:pPr>
        <w:spacing w:after="0" w:line="156" w:lineRule="exact"/>
        <w:rPr>
          <w:sz w:val="20"/>
          <w:szCs w:val="20"/>
          <w:color w:val="auto"/>
        </w:rPr>
      </w:pPr>
    </w:p>
    <w:p>
      <w:pPr>
        <w:spacing w:after="0"/>
        <w:rPr>
          <w:sz w:val="20"/>
          <w:szCs w:val="20"/>
          <w:color w:val="auto"/>
        </w:rPr>
      </w:pPr>
      <w:r>
        <w:rPr>
          <w:rFonts w:ascii="Arial" w:cs="Arial" w:eastAsia="Arial" w:hAnsi="Arial"/>
          <w:sz w:val="15"/>
          <w:szCs w:val="15"/>
          <w:b w:val="1"/>
          <w:bCs w:val="1"/>
          <w:color w:val="455986"/>
        </w:rPr>
        <w:t>Other current public company directorships (0).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-1433195</wp:posOffset>
            </wp:positionH>
            <wp:positionV relativeFrom="paragraph">
              <wp:posOffset>663575</wp:posOffset>
            </wp:positionV>
            <wp:extent cx="713994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9940" cy="8255"/>
                    </a:xfrm>
                    <a:prstGeom prst="rect">
                      <a:avLst/>
                    </a:prstGeom>
                    <a:noFill/>
                  </pic:spPr>
                </pic:pic>
              </a:graphicData>
            </a:graphic>
          </wp:anchor>
        </w:drawing>
      </w:r>
    </w:p>
    <w:p>
      <w:pPr>
        <w:spacing w:after="0" w:line="1058" w:lineRule="exact"/>
        <w:rPr>
          <w:sz w:val="20"/>
          <w:szCs w:val="20"/>
          <w:color w:val="auto"/>
        </w:rPr>
      </w:pPr>
    </w:p>
    <w:p>
      <w:pPr>
        <w:sectPr>
          <w:pgSz w:w="11900" w:h="16838" w:orient="portrait"/>
          <w:cols w:equalWidth="0" w:num="2">
            <w:col w:w="2160" w:space="100"/>
            <w:col w:w="8980"/>
          </w:cols>
          <w:pgMar w:left="320" w:top="637" w:right="339" w:bottom="1440" w:gutter="0" w:footer="0" w:header="0"/>
          <w:type w:val="continuous"/>
        </w:sectPr>
      </w:pPr>
    </w:p>
    <w:p>
      <w:pPr>
        <w:spacing w:after="0" w:line="68" w:lineRule="exact"/>
        <w:rPr>
          <w:sz w:val="20"/>
          <w:szCs w:val="20"/>
          <w:color w:val="auto"/>
        </w:rPr>
      </w:pPr>
    </w:p>
    <w:p>
      <w:pPr>
        <w:ind w:left="300" w:hanging="298"/>
        <w:spacing w:after="0"/>
        <w:tabs>
          <w:tab w:leader="none" w:pos="300" w:val="left"/>
        </w:tabs>
        <w:numPr>
          <w:ilvl w:val="0"/>
          <w:numId w:val="33"/>
        </w:numPr>
        <w:rPr>
          <w:rFonts w:ascii="Arial" w:cs="Arial" w:eastAsia="Arial" w:hAnsi="Arial"/>
          <w:sz w:val="14"/>
          <w:szCs w:val="14"/>
          <w:color w:val="455986"/>
        </w:rPr>
      </w:pPr>
      <w:r>
        <w:rPr>
          <w:rFonts w:ascii="Arial" w:cs="Arial" w:eastAsia="Arial" w:hAnsi="Arial"/>
          <w:sz w:val="11"/>
          <w:szCs w:val="11"/>
          <w:color w:val="4395D4"/>
        </w:rPr>
        <w:t xml:space="preserve">ESSENTIAL UTILITIES, INC. </w:t>
      </w:r>
      <w:r>
        <w:rPr>
          <w:rFonts w:ascii="Arial" w:cs="Arial" w:eastAsia="Arial" w:hAnsi="Arial"/>
          <w:sz w:val="11"/>
          <w:szCs w:val="11"/>
          <w:color w:val="455986"/>
        </w:rPr>
        <w:t>2021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316230</wp:posOffset>
            </wp:positionV>
            <wp:extent cx="7139940" cy="2413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9940" cy="24130"/>
                    </a:xfrm>
                    <a:prstGeom prst="rect">
                      <a:avLst/>
                    </a:prstGeom>
                    <a:noFill/>
                  </pic:spPr>
                </pic:pic>
              </a:graphicData>
            </a:graphic>
          </wp:anchor>
        </w:drawing>
      </w:r>
    </w:p>
    <w:p>
      <w:pPr>
        <w:sectPr>
          <w:pgSz w:w="11900" w:h="16838" w:orient="portrait"/>
          <w:cols w:equalWidth="0" w:num="1">
            <w:col w:w="11240"/>
          </w:cols>
          <w:pgMar w:left="320" w:top="637" w:right="339" w:bottom="1440" w:gutter="0" w:footer="0" w:header="0"/>
          <w:type w:val="continuous"/>
        </w:sectPr>
      </w:pPr>
    </w:p>
    <w:bookmarkStart w:id="17" w:name="page18"/>
    <w:bookmarkEnd w:id="17"/>
    <w:p>
      <w:pPr>
        <w:spacing w:after="0"/>
        <w:rPr>
          <w:sz w:val="20"/>
          <w:szCs w:val="20"/>
          <w:color w:val="auto"/>
        </w:rPr>
      </w:pPr>
      <w:r>
        <w:rPr>
          <w:rFonts w:ascii="Arial" w:cs="Arial" w:eastAsia="Arial" w:hAnsi="Arial"/>
          <w:sz w:val="14"/>
          <w:szCs w:val="14"/>
          <w:b w:val="1"/>
          <w:bCs w:val="1"/>
          <w:color w:val="455986"/>
        </w:rPr>
        <w:t>Proposal 1: Election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27940</wp:posOffset>
            </wp:positionV>
            <wp:extent cx="713994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9940" cy="8255"/>
                    </a:xfrm>
                    <a:prstGeom prst="rect">
                      <a:avLst/>
                    </a:prstGeom>
                    <a:noFill/>
                  </pic:spPr>
                </pic:pic>
              </a:graphicData>
            </a:graphic>
          </wp:anchor>
        </w:drawing>
      </w:r>
    </w:p>
    <w:p>
      <w:pPr>
        <w:spacing w:after="0" w:line="76" w:lineRule="exact"/>
        <w:rPr>
          <w:sz w:val="20"/>
          <w:szCs w:val="20"/>
          <w:color w:val="auto"/>
        </w:rPr>
      </w:pPr>
    </w:p>
    <w:p>
      <w:pPr>
        <w:spacing w:after="0"/>
        <w:rPr>
          <w:sz w:val="20"/>
          <w:szCs w:val="20"/>
          <w:color w:val="auto"/>
        </w:rPr>
      </w:pPr>
      <w:r>
        <w:rPr>
          <w:rFonts w:ascii="Arial" w:cs="Arial" w:eastAsia="Arial" w:hAnsi="Arial"/>
          <w:sz w:val="14"/>
          <w:szCs w:val="14"/>
          <w:color w:val="231F20"/>
        </w:rPr>
        <w:t>Nominees for Election at the 2021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123825</wp:posOffset>
            </wp:positionV>
            <wp:extent cx="713994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9940" cy="8255"/>
                    </a:xfrm>
                    <a:prstGeom prst="rect">
                      <a:avLst/>
                    </a:prstGeom>
                    <a:noFill/>
                  </pic:spPr>
                </pic:pic>
              </a:graphicData>
            </a:graphic>
          </wp:anchor>
        </w:drawing>
      </w:r>
    </w:p>
    <w:p>
      <w:pPr>
        <w:spacing w:after="0" w:line="247" w:lineRule="exact"/>
        <w:rPr>
          <w:sz w:val="20"/>
          <w:szCs w:val="20"/>
          <w:color w:val="auto"/>
        </w:rPr>
      </w:pPr>
    </w:p>
    <w:tbl>
      <w:tblPr>
        <w:tblLayout w:type="fixed"/>
        <w:tblInd w:w="2260" w:type="dxa"/>
        <w:tblCellMar>
          <w:top w:w="0" w:type="dxa"/>
          <w:left w:w="0" w:type="dxa"/>
          <w:bottom w:w="0" w:type="dxa"/>
          <w:right w:w="0" w:type="dxa"/>
        </w:tblCellMar>
      </w:tblPr>
      <w:tr>
        <w:trPr>
          <w:trHeight w:val="310"/>
        </w:trPr>
        <w:tc>
          <w:tcPr>
            <w:tcW w:w="4300" w:type="dxa"/>
            <w:vAlign w:val="bottom"/>
          </w:tcPr>
          <w:p>
            <w:pPr>
              <w:spacing w:after="0"/>
              <w:rPr>
                <w:sz w:val="20"/>
                <w:szCs w:val="20"/>
                <w:color w:val="auto"/>
              </w:rPr>
            </w:pPr>
            <w:r>
              <w:rPr>
                <w:rFonts w:ascii="Arial" w:cs="Arial" w:eastAsia="Arial" w:hAnsi="Arial"/>
                <w:sz w:val="27"/>
                <w:szCs w:val="27"/>
                <w:b w:val="1"/>
                <w:bCs w:val="1"/>
                <w:color w:val="4395D4"/>
              </w:rPr>
              <w:t>Edwina Kelly</w:t>
            </w:r>
          </w:p>
        </w:tc>
        <w:tc>
          <w:tcPr>
            <w:tcW w:w="4660" w:type="dxa"/>
            <w:vAlign w:val="bottom"/>
            <w:vMerge w:val="restart"/>
          </w:tcPr>
          <w:p>
            <w:pPr>
              <w:ind w:left="2440"/>
              <w:spacing w:after="0"/>
              <w:rPr>
                <w:sz w:val="20"/>
                <w:szCs w:val="20"/>
                <w:color w:val="auto"/>
              </w:rPr>
            </w:pPr>
            <w:r>
              <w:rPr>
                <w:rFonts w:ascii="Arial" w:cs="Arial" w:eastAsia="Arial" w:hAnsi="Arial"/>
                <w:sz w:val="15"/>
                <w:szCs w:val="15"/>
                <w:color w:val="231F20"/>
              </w:rPr>
              <w:t>Nominee</w:t>
            </w:r>
          </w:p>
        </w:tc>
        <w:tc>
          <w:tcPr>
            <w:tcW w:w="0" w:type="dxa"/>
            <w:vAlign w:val="bottom"/>
          </w:tcPr>
          <w:p>
            <w:pPr>
              <w:spacing w:after="0"/>
              <w:rPr>
                <w:sz w:val="1"/>
                <w:szCs w:val="1"/>
                <w:color w:val="auto"/>
              </w:rPr>
            </w:pPr>
          </w:p>
        </w:tc>
      </w:tr>
      <w:tr>
        <w:trPr>
          <w:trHeight w:val="46"/>
        </w:trPr>
        <w:tc>
          <w:tcPr>
            <w:tcW w:w="4300" w:type="dxa"/>
            <w:vAlign w:val="bottom"/>
          </w:tcPr>
          <w:p>
            <w:pPr>
              <w:spacing w:after="0"/>
              <w:rPr>
                <w:sz w:val="3"/>
                <w:szCs w:val="3"/>
                <w:color w:val="auto"/>
              </w:rPr>
            </w:pPr>
          </w:p>
        </w:tc>
        <w:tc>
          <w:tcPr>
            <w:tcW w:w="466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15"/>
        </w:trPr>
        <w:tc>
          <w:tcPr>
            <w:tcW w:w="4300" w:type="dxa"/>
            <w:vAlign w:val="bottom"/>
            <w:vMerge w:val="restart"/>
          </w:tcPr>
          <w:p>
            <w:pPr>
              <w:spacing w:after="0"/>
              <w:rPr>
                <w:sz w:val="20"/>
                <w:szCs w:val="20"/>
                <w:color w:val="auto"/>
              </w:rPr>
            </w:pPr>
            <w:r>
              <w:rPr>
                <w:rFonts w:ascii="Arial" w:cs="Arial" w:eastAsia="Arial" w:hAnsi="Arial"/>
                <w:sz w:val="14"/>
                <w:szCs w:val="14"/>
                <w:color w:val="231F20"/>
              </w:rPr>
              <w:t>Senior Principal, Canada Pension Plan Investment Board</w:t>
            </w:r>
          </w:p>
        </w:tc>
        <w:tc>
          <w:tcPr>
            <w:tcW w:w="4660" w:type="dxa"/>
            <w:vAlign w:val="bottom"/>
          </w:tcPr>
          <w:p>
            <w:pPr>
              <w:ind w:left="2440"/>
              <w:spacing w:after="0"/>
              <w:rPr>
                <w:sz w:val="20"/>
                <w:szCs w:val="20"/>
                <w:color w:val="auto"/>
              </w:rPr>
            </w:pPr>
            <w:r>
              <w:rPr>
                <w:rFonts w:ascii="Arial" w:cs="Arial" w:eastAsia="Arial" w:hAnsi="Arial"/>
                <w:sz w:val="15"/>
                <w:szCs w:val="15"/>
                <w:color w:val="231F20"/>
              </w:rPr>
              <w:t xml:space="preserve">Age </w:t>
            </w:r>
            <w:r>
              <w:rPr>
                <w:rFonts w:ascii="Arial" w:cs="Arial" w:eastAsia="Arial" w:hAnsi="Arial"/>
                <w:sz w:val="15"/>
                <w:szCs w:val="15"/>
                <w:b w:val="1"/>
                <w:bCs w:val="1"/>
                <w:color w:val="4395D4"/>
              </w:rPr>
              <w:t>34</w:t>
            </w:r>
          </w:p>
        </w:tc>
        <w:tc>
          <w:tcPr>
            <w:tcW w:w="0" w:type="dxa"/>
            <w:vAlign w:val="bottom"/>
          </w:tcPr>
          <w:p>
            <w:pPr>
              <w:spacing w:after="0"/>
              <w:rPr>
                <w:sz w:val="1"/>
                <w:szCs w:val="1"/>
                <w:color w:val="auto"/>
              </w:rPr>
            </w:pPr>
          </w:p>
        </w:tc>
      </w:tr>
      <w:tr>
        <w:trPr>
          <w:trHeight w:val="90"/>
        </w:trPr>
        <w:tc>
          <w:tcPr>
            <w:tcW w:w="4300" w:type="dxa"/>
            <w:vAlign w:val="bottom"/>
            <w:vMerge w:val="continue"/>
          </w:tcPr>
          <w:p>
            <w:pPr>
              <w:spacing w:after="0"/>
              <w:rPr>
                <w:sz w:val="7"/>
                <w:szCs w:val="7"/>
                <w:color w:val="auto"/>
              </w:rPr>
            </w:pPr>
          </w:p>
        </w:tc>
        <w:tc>
          <w:tcPr>
            <w:tcW w:w="4660" w:type="dxa"/>
            <w:vAlign w:val="bottom"/>
            <w:vMerge w:val="restart"/>
          </w:tcPr>
          <w:p>
            <w:pPr>
              <w:ind w:left="2440"/>
              <w:spacing w:after="0"/>
              <w:rPr>
                <w:sz w:val="20"/>
                <w:szCs w:val="20"/>
                <w:color w:val="auto"/>
              </w:rPr>
            </w:pPr>
            <w:r>
              <w:rPr>
                <w:rFonts w:ascii="Arial" w:cs="Arial" w:eastAsia="Arial" w:hAnsi="Arial"/>
                <w:sz w:val="15"/>
                <w:szCs w:val="15"/>
                <w:b w:val="1"/>
                <w:bCs w:val="1"/>
                <w:color w:val="4395D4"/>
              </w:rPr>
              <w:t>Independent Director</w:t>
            </w:r>
          </w:p>
        </w:tc>
        <w:tc>
          <w:tcPr>
            <w:tcW w:w="0" w:type="dxa"/>
            <w:vAlign w:val="bottom"/>
          </w:tcPr>
          <w:p>
            <w:pPr>
              <w:spacing w:after="0"/>
              <w:rPr>
                <w:sz w:val="1"/>
                <w:szCs w:val="1"/>
                <w:color w:val="auto"/>
              </w:rPr>
            </w:pPr>
          </w:p>
        </w:tc>
      </w:tr>
      <w:tr>
        <w:trPr>
          <w:trHeight w:val="127"/>
        </w:trPr>
        <w:tc>
          <w:tcPr>
            <w:tcW w:w="4300" w:type="dxa"/>
            <w:vAlign w:val="bottom"/>
          </w:tcPr>
          <w:p>
            <w:pPr>
              <w:spacing w:after="0"/>
              <w:rPr>
                <w:sz w:val="11"/>
                <w:szCs w:val="11"/>
                <w:color w:val="auto"/>
              </w:rPr>
            </w:pPr>
          </w:p>
        </w:tc>
        <w:tc>
          <w:tcPr>
            <w:tcW w:w="46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374"/>
        </w:trPr>
        <w:tc>
          <w:tcPr>
            <w:tcW w:w="4300" w:type="dxa"/>
            <w:vAlign w:val="bottom"/>
          </w:tcPr>
          <w:p>
            <w:pPr>
              <w:spacing w:after="0"/>
              <w:rPr>
                <w:sz w:val="20"/>
                <w:szCs w:val="20"/>
                <w:color w:val="auto"/>
              </w:rPr>
            </w:pPr>
            <w:r>
              <w:rPr>
                <w:rFonts w:ascii="Arial" w:cs="Arial" w:eastAsia="Arial" w:hAnsi="Arial"/>
                <w:sz w:val="15"/>
                <w:szCs w:val="15"/>
                <w:b w:val="1"/>
                <w:bCs w:val="1"/>
                <w:color w:val="455986"/>
              </w:rPr>
              <w:t>Experience</w:t>
            </w:r>
          </w:p>
        </w:tc>
        <w:tc>
          <w:tcPr>
            <w:tcW w:w="4660" w:type="dxa"/>
            <w:vAlign w:val="bottom"/>
            <w:vMerge w:val="restart"/>
          </w:tcPr>
          <w:p>
            <w:pPr>
              <w:ind w:left="200"/>
              <w:spacing w:after="0"/>
              <w:rPr>
                <w:sz w:val="20"/>
                <w:szCs w:val="20"/>
                <w:color w:val="auto"/>
              </w:rPr>
            </w:pPr>
            <w:r>
              <w:rPr>
                <w:rFonts w:ascii="Times New Roman" w:cs="Times New Roman" w:eastAsia="Times New Roman" w:hAnsi="Times New Roman"/>
                <w:sz w:val="17"/>
                <w:szCs w:val="17"/>
                <w:color w:val="4395D4"/>
              </w:rPr>
              <w:t xml:space="preserve">· </w:t>
            </w:r>
            <w:r>
              <w:rPr>
                <w:rFonts w:ascii="Arial" w:cs="Arial" w:eastAsia="Arial" w:hAnsi="Arial"/>
                <w:sz w:val="13"/>
                <w:szCs w:val="13"/>
                <w:color w:val="4395D4"/>
              </w:rPr>
              <w:t>Director at EFG Hermes UAE,</w:t>
            </w:r>
            <w:r>
              <w:rPr>
                <w:rFonts w:ascii="Times New Roman" w:cs="Times New Roman" w:eastAsia="Times New Roman" w:hAnsi="Times New Roman"/>
                <w:sz w:val="17"/>
                <w:szCs w:val="17"/>
                <w:color w:val="4395D4"/>
              </w:rPr>
              <w:t xml:space="preserve"> </w:t>
            </w:r>
            <w:r>
              <w:rPr>
                <w:rFonts w:ascii="Arial" w:cs="Arial" w:eastAsia="Arial" w:hAnsi="Arial"/>
                <w:sz w:val="13"/>
                <w:szCs w:val="13"/>
                <w:color w:val="231F20"/>
              </w:rPr>
              <w:t>where she helped manage the renewable</w:t>
            </w:r>
          </w:p>
        </w:tc>
        <w:tc>
          <w:tcPr>
            <w:tcW w:w="0" w:type="dxa"/>
            <w:vAlign w:val="bottom"/>
          </w:tcPr>
          <w:p>
            <w:pPr>
              <w:spacing w:after="0"/>
              <w:rPr>
                <w:sz w:val="1"/>
                <w:szCs w:val="1"/>
                <w:color w:val="auto"/>
              </w:rPr>
            </w:pPr>
          </w:p>
        </w:tc>
      </w:tr>
      <w:tr>
        <w:trPr>
          <w:trHeight w:val="212"/>
        </w:trPr>
        <w:tc>
          <w:tcPr>
            <w:tcW w:w="4300" w:type="dxa"/>
            <w:vAlign w:val="bottom"/>
          </w:tcPr>
          <w:p>
            <w:pPr>
              <w:spacing w:after="0"/>
              <w:rPr>
                <w:sz w:val="20"/>
                <w:szCs w:val="20"/>
                <w:color w:val="auto"/>
              </w:rPr>
            </w:pPr>
            <w:r>
              <w:rPr>
                <w:rFonts w:ascii="Times New Roman" w:cs="Times New Roman" w:eastAsia="Times New Roman" w:hAnsi="Times New Roman"/>
                <w:sz w:val="17"/>
                <w:szCs w:val="17"/>
                <w:color w:val="4395D4"/>
              </w:rPr>
              <w:t xml:space="preserve">· </w:t>
            </w:r>
            <w:r>
              <w:rPr>
                <w:rFonts w:ascii="Arial" w:cs="Arial" w:eastAsia="Arial" w:hAnsi="Arial"/>
                <w:sz w:val="13"/>
                <w:szCs w:val="13"/>
                <w:color w:val="231F20"/>
              </w:rPr>
              <w:t>Senior Principal, Canada Pension Plan Investment Board (CPPIB)</w:t>
            </w:r>
          </w:p>
        </w:tc>
        <w:tc>
          <w:tcPr>
            <w:tcW w:w="46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-763905</wp:posOffset>
            </wp:positionV>
            <wp:extent cx="1029335" cy="120777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1029335" cy="1207770"/>
                    </a:xfrm>
                    <a:prstGeom prst="rect">
                      <a:avLst/>
                    </a:prstGeom>
                    <a:noFill/>
                  </pic:spPr>
                </pic:pic>
              </a:graphicData>
            </a:graphic>
          </wp:anchor>
        </w:drawing>
      </w:r>
    </w:p>
    <w:p>
      <w:pPr>
        <w:sectPr>
          <w:pgSz w:w="11900" w:h="16838" w:orient="portrait"/>
          <w:cols w:equalWidth="0" w:num="1">
            <w:col w:w="11240"/>
          </w:cols>
          <w:pgMar w:left="320" w:top="636" w:right="339" w:bottom="1440" w:gutter="0" w:footer="0" w:header="0"/>
        </w:sectPr>
      </w:pPr>
    </w:p>
    <w:p>
      <w:pPr>
        <w:ind w:left="2440"/>
        <w:spacing w:after="0" w:line="242" w:lineRule="auto"/>
        <w:rPr>
          <w:sz w:val="20"/>
          <w:szCs w:val="20"/>
          <w:color w:val="auto"/>
        </w:rPr>
      </w:pPr>
      <w:r>
        <w:rPr>
          <w:rFonts w:ascii="Arial" w:cs="Arial" w:eastAsia="Arial" w:hAnsi="Arial"/>
          <w:sz w:val="14"/>
          <w:szCs w:val="14"/>
          <w:color w:val="231F20"/>
        </w:rPr>
        <w:t>2019 to present; responsible for originating new investments, transaction management and asset management for investments in the Company’s global Power &amp; Renewables group.</w:t>
      </w:r>
    </w:p>
    <w:p>
      <w:pPr>
        <w:spacing w:after="0" w:line="20" w:lineRule="exact"/>
        <w:rPr>
          <w:sz w:val="20"/>
          <w:szCs w:val="20"/>
          <w:color w:val="auto"/>
        </w:rPr>
      </w:pPr>
      <w:r>
        <w:rPr>
          <w:sz w:val="20"/>
          <w:szCs w:val="20"/>
          <w:color w:val="auto"/>
        </w:rPr>
        <w:br w:type="column"/>
      </w:r>
    </w:p>
    <w:p>
      <w:pPr>
        <w:ind w:right="20"/>
        <w:spacing w:after="0" w:line="238" w:lineRule="auto"/>
        <w:rPr>
          <w:sz w:val="20"/>
          <w:szCs w:val="20"/>
          <w:color w:val="auto"/>
        </w:rPr>
      </w:pPr>
      <w:r>
        <w:rPr>
          <w:rFonts w:ascii="Arial" w:cs="Arial" w:eastAsia="Arial" w:hAnsi="Arial"/>
          <w:sz w:val="14"/>
          <w:szCs w:val="14"/>
          <w:color w:val="231F20"/>
        </w:rPr>
        <w:t>energy platform, led solar portfolio acquisitions, and equity restructuring of wind farm investments.</w:t>
      </w:r>
    </w:p>
    <w:p>
      <w:pPr>
        <w:spacing w:after="0" w:line="226" w:lineRule="exact"/>
        <w:rPr>
          <w:sz w:val="20"/>
          <w:szCs w:val="20"/>
          <w:color w:val="auto"/>
        </w:rPr>
      </w:pPr>
    </w:p>
    <w:p>
      <w:pPr>
        <w:sectPr>
          <w:pgSz w:w="11900" w:h="16838" w:orient="portrait"/>
          <w:cols w:equalWidth="0" w:num="2">
            <w:col w:w="6500" w:space="420"/>
            <w:col w:w="4320"/>
          </w:cols>
          <w:pgMar w:left="320" w:top="636" w:right="339" w:bottom="1440" w:gutter="0" w:footer="0" w:header="0"/>
          <w:type w:val="continuous"/>
        </w:sectPr>
      </w:pPr>
    </w:p>
    <w:p>
      <w:pPr>
        <w:ind w:left="2260" w:right="300"/>
        <w:spacing w:after="0" w:line="261" w:lineRule="auto"/>
        <w:rPr>
          <w:sz w:val="20"/>
          <w:szCs w:val="20"/>
          <w:color w:val="auto"/>
        </w:rPr>
      </w:pPr>
      <w:r>
        <w:rPr>
          <w:rFonts w:ascii="Arial" w:cs="Arial" w:eastAsia="Arial" w:hAnsi="Arial"/>
          <w:sz w:val="14"/>
          <w:szCs w:val="14"/>
          <w:color w:val="auto"/>
        </w:rPr>
        <w:t>Ms. Kelly has a bachelor’s degree in philosophy, politics and economics from the University of Oxford and is an associated chartered accountant member of the Institute of Chartered Accountants in England and Wales.</w:t>
      </w:r>
    </w:p>
    <w:p>
      <w:pPr>
        <w:spacing w:after="0" w:line="13" w:lineRule="exact"/>
        <w:rPr>
          <w:sz w:val="20"/>
          <w:szCs w:val="20"/>
          <w:color w:val="auto"/>
        </w:rPr>
      </w:pPr>
    </w:p>
    <w:p>
      <w:pPr>
        <w:spacing w:after="0"/>
        <w:rPr>
          <w:sz w:val="20"/>
          <w:szCs w:val="20"/>
          <w:color w:val="auto"/>
        </w:rPr>
      </w:pPr>
      <w:r>
        <w:rPr>
          <w:rFonts w:ascii="Arial" w:cs="Arial" w:eastAsia="Arial" w:hAnsi="Arial"/>
          <w:sz w:val="15"/>
          <w:szCs w:val="15"/>
          <w:b w:val="1"/>
          <w:bCs w:val="1"/>
          <w:color w:val="455986"/>
        </w:rPr>
        <w:t>Board Nominee</w:t>
      </w:r>
    </w:p>
    <w:p>
      <w:pPr>
        <w:spacing w:after="0" w:line="16" w:lineRule="exact"/>
        <w:rPr>
          <w:sz w:val="20"/>
          <w:szCs w:val="20"/>
          <w:color w:val="auto"/>
        </w:rPr>
      </w:pPr>
    </w:p>
    <w:p>
      <w:pPr>
        <w:jc w:val="right"/>
        <w:ind w:right="80"/>
        <w:spacing w:after="0"/>
        <w:rPr>
          <w:sz w:val="20"/>
          <w:szCs w:val="20"/>
          <w:color w:val="auto"/>
        </w:rPr>
      </w:pPr>
      <w:r>
        <w:rPr>
          <w:rFonts w:ascii="Arial" w:cs="Arial" w:eastAsia="Arial" w:hAnsi="Arial"/>
          <w:sz w:val="14"/>
          <w:szCs w:val="14"/>
          <w:b w:val="1"/>
          <w:bCs w:val="1"/>
          <w:color w:val="455986"/>
        </w:rPr>
        <w:t>Ms. Kelly is nominated to the Board as designated by CPPIB under the terms of the Company’s private placement transaction with CPPIB.</w:t>
      </w:r>
    </w:p>
    <w:p>
      <w:pPr>
        <w:sectPr>
          <w:pgSz w:w="11900" w:h="16838" w:orient="portrait"/>
          <w:cols w:equalWidth="0" w:num="1">
            <w:col w:w="11240"/>
          </w:cols>
          <w:pgMar w:left="320" w:top="636" w:right="339" w:bottom="1440" w:gutter="0" w:footer="0" w:header="0"/>
          <w:type w:val="continuous"/>
        </w:sectPr>
      </w:pPr>
    </w:p>
    <w:p>
      <w:pPr>
        <w:spacing w:after="0" w:line="20" w:lineRule="exact"/>
        <w:rPr>
          <w:sz w:val="20"/>
          <w:szCs w:val="20"/>
          <w:color w:val="auto"/>
        </w:rPr>
      </w:pPr>
    </w:p>
    <w:p>
      <w:pPr>
        <w:spacing w:after="0"/>
        <w:rPr>
          <w:sz w:val="20"/>
          <w:szCs w:val="20"/>
          <w:color w:val="auto"/>
        </w:rPr>
      </w:pPr>
      <w:r>
        <w:rPr>
          <w:rFonts w:ascii="Arial" w:cs="Arial" w:eastAsia="Arial" w:hAnsi="Arial"/>
          <w:sz w:val="15"/>
          <w:szCs w:val="15"/>
          <w:b w:val="1"/>
          <w:bCs w:val="1"/>
          <w:color w:val="455986"/>
        </w:rPr>
        <w:t>Key Skills</w:t>
      </w:r>
    </w:p>
    <w:p>
      <w:pPr>
        <w:spacing w:after="0" w:line="26" w:lineRule="exact"/>
        <w:rPr>
          <w:sz w:val="20"/>
          <w:szCs w:val="20"/>
          <w:color w:val="auto"/>
        </w:rPr>
      </w:pPr>
    </w:p>
    <w:p>
      <w:pPr>
        <w:ind w:left="120" w:hanging="118"/>
        <w:spacing w:after="0"/>
        <w:tabs>
          <w:tab w:leader="none" w:pos="120" w:val="left"/>
        </w:tabs>
        <w:numPr>
          <w:ilvl w:val="0"/>
          <w:numId w:val="34"/>
        </w:numPr>
        <w:rPr>
          <w:rFonts w:ascii="Times New Roman" w:cs="Times New Roman" w:eastAsia="Times New Roman" w:hAnsi="Times New Roman"/>
          <w:sz w:val="17"/>
          <w:szCs w:val="17"/>
          <w:color w:val="231F20"/>
        </w:rPr>
      </w:pPr>
      <w:r>
        <w:rPr>
          <w:rFonts w:ascii="Arial" w:cs="Arial" w:eastAsia="Arial" w:hAnsi="Arial"/>
          <w:sz w:val="15"/>
          <w:szCs w:val="15"/>
          <w:color w:val="231F20"/>
        </w:rPr>
        <w:t>Utility Industry</w:t>
      </w:r>
    </w:p>
    <w:p>
      <w:pPr>
        <w:spacing w:after="0" w:line="8" w:lineRule="exact"/>
        <w:rPr>
          <w:rFonts w:ascii="Times New Roman" w:cs="Times New Roman" w:eastAsia="Times New Roman" w:hAnsi="Times New Roman"/>
          <w:sz w:val="17"/>
          <w:szCs w:val="17"/>
          <w:color w:val="231F20"/>
        </w:rPr>
      </w:pPr>
    </w:p>
    <w:p>
      <w:pPr>
        <w:ind w:left="120" w:hanging="118"/>
        <w:spacing w:after="0"/>
        <w:tabs>
          <w:tab w:leader="none" w:pos="120" w:val="left"/>
        </w:tabs>
        <w:numPr>
          <w:ilvl w:val="0"/>
          <w:numId w:val="34"/>
        </w:numPr>
        <w:rPr>
          <w:rFonts w:ascii="Times New Roman" w:cs="Times New Roman" w:eastAsia="Times New Roman" w:hAnsi="Times New Roman"/>
          <w:sz w:val="17"/>
          <w:szCs w:val="17"/>
          <w:color w:val="231F20"/>
        </w:rPr>
      </w:pPr>
      <w:r>
        <w:rPr>
          <w:rFonts w:ascii="Arial" w:cs="Arial" w:eastAsia="Arial" w:hAnsi="Arial"/>
          <w:sz w:val="15"/>
          <w:szCs w:val="15"/>
          <w:color w:val="231F20"/>
        </w:rPr>
        <w:t>Financial</w:t>
      </w:r>
    </w:p>
    <w:p>
      <w:pPr>
        <w:spacing w:after="0" w:line="8" w:lineRule="exact"/>
        <w:rPr>
          <w:rFonts w:ascii="Times New Roman" w:cs="Times New Roman" w:eastAsia="Times New Roman" w:hAnsi="Times New Roman"/>
          <w:sz w:val="17"/>
          <w:szCs w:val="17"/>
          <w:color w:val="231F20"/>
        </w:rPr>
      </w:pPr>
    </w:p>
    <w:p>
      <w:pPr>
        <w:ind w:left="120" w:hanging="118"/>
        <w:spacing w:after="0"/>
        <w:tabs>
          <w:tab w:leader="none" w:pos="120" w:val="left"/>
        </w:tabs>
        <w:numPr>
          <w:ilvl w:val="0"/>
          <w:numId w:val="34"/>
        </w:numPr>
        <w:rPr>
          <w:rFonts w:ascii="Times New Roman" w:cs="Times New Roman" w:eastAsia="Times New Roman" w:hAnsi="Times New Roman"/>
          <w:sz w:val="17"/>
          <w:szCs w:val="17"/>
          <w:color w:val="231F20"/>
        </w:rPr>
      </w:pPr>
      <w:r>
        <w:rPr>
          <w:rFonts w:ascii="Arial" w:cs="Arial" w:eastAsia="Arial" w:hAnsi="Arial"/>
          <w:sz w:val="15"/>
          <w:szCs w:val="15"/>
          <w:color w:val="231F20"/>
        </w:rPr>
        <w:t>Leadership</w:t>
      </w:r>
    </w:p>
    <w:p>
      <w:pPr>
        <w:spacing w:after="0" w:line="8" w:lineRule="exact"/>
        <w:rPr>
          <w:rFonts w:ascii="Times New Roman" w:cs="Times New Roman" w:eastAsia="Times New Roman" w:hAnsi="Times New Roman"/>
          <w:sz w:val="17"/>
          <w:szCs w:val="17"/>
          <w:color w:val="231F20"/>
        </w:rPr>
      </w:pPr>
    </w:p>
    <w:p>
      <w:pPr>
        <w:ind w:left="120" w:hanging="118"/>
        <w:spacing w:after="0"/>
        <w:tabs>
          <w:tab w:leader="none" w:pos="120" w:val="left"/>
        </w:tabs>
        <w:numPr>
          <w:ilvl w:val="0"/>
          <w:numId w:val="34"/>
        </w:numPr>
        <w:rPr>
          <w:rFonts w:ascii="Times New Roman" w:cs="Times New Roman" w:eastAsia="Times New Roman" w:hAnsi="Times New Roman"/>
          <w:sz w:val="17"/>
          <w:szCs w:val="17"/>
          <w:color w:val="231F20"/>
        </w:rPr>
      </w:pPr>
      <w:r>
        <w:rPr>
          <w:rFonts w:ascii="Arial" w:cs="Arial" w:eastAsia="Arial" w:hAnsi="Arial"/>
          <w:sz w:val="15"/>
          <w:szCs w:val="15"/>
          <w:color w:val="231F20"/>
        </w:rPr>
        <w:t>Mergers &amp; Acquisitions</w:t>
      </w:r>
    </w:p>
    <w:p>
      <w:pPr>
        <w:spacing w:after="0" w:line="8" w:lineRule="exact"/>
        <w:rPr>
          <w:rFonts w:ascii="Times New Roman" w:cs="Times New Roman" w:eastAsia="Times New Roman" w:hAnsi="Times New Roman"/>
          <w:sz w:val="17"/>
          <w:szCs w:val="17"/>
          <w:color w:val="231F20"/>
        </w:rPr>
      </w:pPr>
    </w:p>
    <w:p>
      <w:pPr>
        <w:ind w:left="120" w:hanging="118"/>
        <w:spacing w:after="0"/>
        <w:tabs>
          <w:tab w:leader="none" w:pos="120" w:val="left"/>
        </w:tabs>
        <w:numPr>
          <w:ilvl w:val="0"/>
          <w:numId w:val="34"/>
        </w:numPr>
        <w:rPr>
          <w:rFonts w:ascii="Times New Roman" w:cs="Times New Roman" w:eastAsia="Times New Roman" w:hAnsi="Times New Roman"/>
          <w:sz w:val="17"/>
          <w:szCs w:val="17"/>
          <w:color w:val="231F20"/>
        </w:rPr>
      </w:pPr>
      <w:r>
        <w:rPr>
          <w:rFonts w:ascii="Arial" w:cs="Arial" w:eastAsia="Arial" w:hAnsi="Arial"/>
          <w:sz w:val="15"/>
          <w:szCs w:val="15"/>
          <w:color w:val="231F20"/>
        </w:rPr>
        <w:t>Geographic Diversity</w:t>
      </w:r>
    </w:p>
    <w:p>
      <w:pPr>
        <w:spacing w:after="0" w:line="8" w:lineRule="exact"/>
        <w:rPr>
          <w:rFonts w:ascii="Times New Roman" w:cs="Times New Roman" w:eastAsia="Times New Roman" w:hAnsi="Times New Roman"/>
          <w:sz w:val="17"/>
          <w:szCs w:val="17"/>
          <w:color w:val="231F20"/>
        </w:rPr>
      </w:pPr>
    </w:p>
    <w:p>
      <w:pPr>
        <w:ind w:left="120" w:hanging="118"/>
        <w:spacing w:after="0"/>
        <w:tabs>
          <w:tab w:leader="none" w:pos="120" w:val="left"/>
        </w:tabs>
        <w:numPr>
          <w:ilvl w:val="0"/>
          <w:numId w:val="34"/>
        </w:numPr>
        <w:rPr>
          <w:rFonts w:ascii="Times New Roman" w:cs="Times New Roman" w:eastAsia="Times New Roman" w:hAnsi="Times New Roman"/>
          <w:sz w:val="17"/>
          <w:szCs w:val="17"/>
          <w:color w:val="231F20"/>
        </w:rPr>
      </w:pPr>
      <w:r>
        <w:rPr>
          <w:rFonts w:ascii="Arial" w:cs="Arial" w:eastAsia="Arial" w:hAnsi="Arial"/>
          <w:sz w:val="15"/>
          <w:szCs w:val="15"/>
          <w:color w:val="231F20"/>
        </w:rPr>
        <w:t>C-Suite Experience</w:t>
      </w:r>
    </w:p>
    <w:p>
      <w:pPr>
        <w:spacing w:after="0" w:line="20" w:lineRule="exact"/>
        <w:rPr>
          <w:sz w:val="20"/>
          <w:szCs w:val="20"/>
          <w:color w:val="auto"/>
        </w:rPr>
      </w:pPr>
      <w:r>
        <w:rPr>
          <w:sz w:val="20"/>
          <w:szCs w:val="20"/>
          <w:color w:val="auto"/>
        </w:rPr>
        <w:br w:type="column"/>
      </w:r>
    </w:p>
    <w:p>
      <w:pPr>
        <w:spacing w:after="0" w:line="115" w:lineRule="exact"/>
        <w:rPr>
          <w:sz w:val="20"/>
          <w:szCs w:val="20"/>
          <w:color w:val="auto"/>
        </w:rPr>
      </w:pPr>
    </w:p>
    <w:p>
      <w:pPr>
        <w:spacing w:after="0"/>
        <w:rPr>
          <w:sz w:val="20"/>
          <w:szCs w:val="20"/>
          <w:color w:val="auto"/>
        </w:rPr>
      </w:pPr>
      <w:r>
        <w:rPr>
          <w:rFonts w:ascii="Arial" w:cs="Arial" w:eastAsia="Arial" w:hAnsi="Arial"/>
          <w:sz w:val="15"/>
          <w:szCs w:val="15"/>
          <w:b w:val="1"/>
          <w:bCs w:val="1"/>
          <w:color w:val="455986"/>
        </w:rPr>
        <w:t>Qualifications:</w:t>
      </w:r>
    </w:p>
    <w:p>
      <w:pPr>
        <w:spacing w:after="0" w:line="26" w:lineRule="exact"/>
        <w:rPr>
          <w:sz w:val="20"/>
          <w:szCs w:val="20"/>
          <w:color w:val="auto"/>
        </w:rPr>
      </w:pPr>
    </w:p>
    <w:p>
      <w:pPr>
        <w:ind w:right="20"/>
        <w:spacing w:after="0" w:line="252" w:lineRule="auto"/>
        <w:rPr>
          <w:sz w:val="20"/>
          <w:szCs w:val="20"/>
          <w:color w:val="auto"/>
        </w:rPr>
      </w:pPr>
      <w:r>
        <w:rPr>
          <w:rFonts w:ascii="Arial" w:cs="Arial" w:eastAsia="Arial" w:hAnsi="Arial"/>
          <w:sz w:val="15"/>
          <w:szCs w:val="15"/>
          <w:color w:val="231F20"/>
        </w:rPr>
        <w:t>The Board has determined, based on her abilities, qualifications, knowledge, judgment, character, leadership skills, education, background and experience in fields and disciplines relevant to the Company, including her financial expertise, that Ms. Kelly is qualified to serve on the Board and will make a positive contribution to the Board. The Board of Directors views Ms. Kelly’s extensive experience with US renewable energy, mergers and acquisitions, her auditing and evaluation of financial statements and complex accounting issues, her capabilities, and her demonstrated leadership roles as important qualifications, skills and experience supporting the Board of Directors’ conclusion that Ms. Kelly should serve as a director of the Company.</w:t>
      </w:r>
    </w:p>
    <w:p>
      <w:pPr>
        <w:spacing w:after="0" w:line="157" w:lineRule="exact"/>
        <w:rPr>
          <w:sz w:val="20"/>
          <w:szCs w:val="20"/>
          <w:color w:val="auto"/>
        </w:rPr>
      </w:pPr>
    </w:p>
    <w:p>
      <w:pPr>
        <w:spacing w:after="0"/>
        <w:rPr>
          <w:sz w:val="20"/>
          <w:szCs w:val="20"/>
          <w:color w:val="auto"/>
        </w:rPr>
      </w:pPr>
      <w:r>
        <w:rPr>
          <w:rFonts w:ascii="Arial" w:cs="Arial" w:eastAsia="Arial" w:hAnsi="Arial"/>
          <w:sz w:val="15"/>
          <w:szCs w:val="15"/>
          <w:b w:val="1"/>
          <w:bCs w:val="1"/>
          <w:color w:val="455986"/>
        </w:rPr>
        <w:t>Other current public company directorships (0).</w:t>
      </w:r>
    </w:p>
    <w:p>
      <w:pPr>
        <w:spacing w:after="0" w:line="26" w:lineRule="exact"/>
        <w:rPr>
          <w:sz w:val="20"/>
          <w:szCs w:val="20"/>
          <w:color w:val="auto"/>
        </w:rPr>
      </w:pPr>
    </w:p>
    <w:p>
      <w:pPr>
        <w:spacing w:after="0"/>
        <w:rPr>
          <w:sz w:val="20"/>
          <w:szCs w:val="20"/>
          <w:color w:val="auto"/>
        </w:rPr>
      </w:pPr>
      <w:r>
        <w:rPr>
          <w:rFonts w:ascii="Arial" w:cs="Arial" w:eastAsia="Arial" w:hAnsi="Arial"/>
          <w:sz w:val="15"/>
          <w:szCs w:val="15"/>
          <w:b w:val="1"/>
          <w:bCs w:val="1"/>
          <w:color w:val="455986"/>
        </w:rPr>
        <w:t>Other current directorships:</w:t>
      </w:r>
    </w:p>
    <w:p>
      <w:pPr>
        <w:spacing w:after="0" w:line="6" w:lineRule="exact"/>
        <w:rPr>
          <w:sz w:val="20"/>
          <w:szCs w:val="20"/>
          <w:color w:val="auto"/>
        </w:rPr>
      </w:pPr>
    </w:p>
    <w:p>
      <w:pPr>
        <w:spacing w:after="0"/>
        <w:rPr>
          <w:sz w:val="20"/>
          <w:szCs w:val="20"/>
          <w:color w:val="auto"/>
        </w:rPr>
      </w:pPr>
      <w:r>
        <w:rPr>
          <w:rFonts w:ascii="Arial" w:cs="Arial" w:eastAsia="Arial" w:hAnsi="Arial"/>
          <w:sz w:val="15"/>
          <w:szCs w:val="15"/>
          <w:color w:val="231F20"/>
        </w:rPr>
        <w:t>Canterra, a Canadian farmland portfolio.</w:t>
      </w:r>
    </w:p>
    <w:p>
      <w:pPr>
        <w:spacing w:after="0" w:line="6" w:lineRule="exact"/>
        <w:rPr>
          <w:sz w:val="20"/>
          <w:szCs w:val="20"/>
          <w:color w:val="auto"/>
        </w:rPr>
      </w:pPr>
    </w:p>
    <w:p>
      <w:pPr>
        <w:spacing w:after="0"/>
        <w:rPr>
          <w:sz w:val="20"/>
          <w:szCs w:val="20"/>
          <w:color w:val="auto"/>
        </w:rPr>
      </w:pPr>
      <w:r>
        <w:rPr>
          <w:rFonts w:ascii="Arial" w:cs="Arial" w:eastAsia="Arial" w:hAnsi="Arial"/>
          <w:sz w:val="15"/>
          <w:szCs w:val="15"/>
          <w:color w:val="231F20"/>
        </w:rPr>
        <w:t>VTRM Energia, a joint venture between CPPIB and Votorantim investing in renewable energy in Brazil.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-1433195</wp:posOffset>
            </wp:positionH>
            <wp:positionV relativeFrom="paragraph">
              <wp:posOffset>124460</wp:posOffset>
            </wp:positionV>
            <wp:extent cx="713994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9940"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1700" w:space="560"/>
            <w:col w:w="8980"/>
          </w:cols>
          <w:pgMar w:left="320" w:top="636" w:right="339" w:bottom="1440" w:gutter="0" w:footer="0" w:header="0"/>
          <w:type w:val="continuous"/>
        </w:sectPr>
      </w:pPr>
    </w:p>
    <w:p>
      <w:pPr>
        <w:spacing w:after="0" w:line="196" w:lineRule="exact"/>
        <w:rPr>
          <w:sz w:val="20"/>
          <w:szCs w:val="20"/>
          <w:color w:val="auto"/>
        </w:rPr>
      </w:pPr>
    </w:p>
    <w:p>
      <w:pPr>
        <w:ind w:left="2260"/>
        <w:spacing w:after="0"/>
        <w:rPr>
          <w:sz w:val="20"/>
          <w:szCs w:val="20"/>
          <w:color w:val="auto"/>
        </w:rPr>
      </w:pPr>
      <w:r>
        <w:rPr>
          <w:rFonts w:ascii="Arial" w:cs="Arial" w:eastAsia="Arial" w:hAnsi="Arial"/>
          <w:sz w:val="27"/>
          <w:szCs w:val="27"/>
          <w:b w:val="1"/>
          <w:bCs w:val="1"/>
          <w:color w:val="4395D4"/>
        </w:rPr>
        <w:t>Ellen T. Ruff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-170180</wp:posOffset>
            </wp:positionV>
            <wp:extent cx="1029335" cy="119951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029335" cy="1199515"/>
                    </a:xfrm>
                    <a:prstGeom prst="rect">
                      <a:avLst/>
                    </a:prstGeom>
                    <a:noFill/>
                  </pic:spPr>
                </pic:pic>
              </a:graphicData>
            </a:graphic>
          </wp:anchor>
        </w:drawing>
      </w:r>
    </w:p>
    <w:p>
      <w:pPr>
        <w:spacing w:after="0" w:line="35" w:lineRule="exact"/>
        <w:rPr>
          <w:sz w:val="20"/>
          <w:szCs w:val="20"/>
          <w:color w:val="auto"/>
        </w:rPr>
      </w:pPr>
    </w:p>
    <w:p>
      <w:pPr>
        <w:ind w:left="2260"/>
        <w:spacing w:after="0"/>
        <w:rPr>
          <w:sz w:val="20"/>
          <w:szCs w:val="20"/>
          <w:color w:val="auto"/>
        </w:rPr>
      </w:pPr>
      <w:r>
        <w:rPr>
          <w:rFonts w:ascii="Arial" w:cs="Arial" w:eastAsia="Arial" w:hAnsi="Arial"/>
          <w:sz w:val="14"/>
          <w:szCs w:val="14"/>
          <w:color w:val="231F20"/>
        </w:rPr>
        <w:t>Former President, Duke Energy</w:t>
      </w:r>
    </w:p>
    <w:p>
      <w:pPr>
        <w:spacing w:after="0" w:line="200" w:lineRule="exact"/>
        <w:rPr>
          <w:sz w:val="20"/>
          <w:szCs w:val="20"/>
          <w:color w:val="auto"/>
        </w:rPr>
      </w:pPr>
    </w:p>
    <w:p>
      <w:pPr>
        <w:spacing w:after="0" w:line="203" w:lineRule="exact"/>
        <w:rPr>
          <w:sz w:val="20"/>
          <w:szCs w:val="20"/>
          <w:color w:val="auto"/>
        </w:rPr>
      </w:pPr>
    </w:p>
    <w:p>
      <w:pPr>
        <w:ind w:left="2260"/>
        <w:spacing w:after="0"/>
        <w:rPr>
          <w:sz w:val="20"/>
          <w:szCs w:val="20"/>
          <w:color w:val="auto"/>
        </w:rPr>
      </w:pPr>
      <w:r>
        <w:rPr>
          <w:rFonts w:ascii="Arial" w:cs="Arial" w:eastAsia="Arial" w:hAnsi="Arial"/>
          <w:sz w:val="15"/>
          <w:szCs w:val="15"/>
          <w:b w:val="1"/>
          <w:bCs w:val="1"/>
          <w:color w:val="455986"/>
        </w:rPr>
        <w:t>Experience</w:t>
      </w:r>
    </w:p>
    <w:p>
      <w:pPr>
        <w:spacing w:after="0" w:line="13" w:lineRule="exact"/>
        <w:rPr>
          <w:sz w:val="20"/>
          <w:szCs w:val="20"/>
          <w:color w:val="auto"/>
        </w:rPr>
      </w:pPr>
    </w:p>
    <w:p>
      <w:pPr>
        <w:ind w:left="2440" w:hanging="169"/>
        <w:spacing w:after="0" w:line="227" w:lineRule="auto"/>
        <w:rPr>
          <w:sz w:val="20"/>
          <w:szCs w:val="20"/>
          <w:color w:val="auto"/>
        </w:rPr>
      </w:pPr>
      <w:r>
        <w:rPr>
          <w:rFonts w:ascii="Times New Roman" w:cs="Times New Roman" w:eastAsia="Times New Roman" w:hAnsi="Times New Roman"/>
          <w:sz w:val="17"/>
          <w:szCs w:val="17"/>
          <w:color w:val="4395D4"/>
        </w:rPr>
        <w:t xml:space="preserve">· </w:t>
      </w:r>
      <w:r>
        <w:rPr>
          <w:rFonts w:ascii="Arial" w:cs="Arial" w:eastAsia="Arial" w:hAnsi="Arial"/>
          <w:sz w:val="13"/>
          <w:szCs w:val="13"/>
          <w:color w:val="231F20"/>
        </w:rPr>
        <w:t>President, Office of Nuclear Development, for Duke Energy Corporation,</w:t>
      </w:r>
      <w:r>
        <w:rPr>
          <w:rFonts w:ascii="Times New Roman" w:cs="Times New Roman" w:eastAsia="Times New Roman" w:hAnsi="Times New Roman"/>
          <w:sz w:val="17"/>
          <w:szCs w:val="17"/>
          <w:color w:val="4395D4"/>
        </w:rPr>
        <w:t xml:space="preserve"> · </w:t>
      </w:r>
      <w:r>
        <w:rPr>
          <w:rFonts w:ascii="Arial" w:cs="Arial" w:eastAsia="Arial" w:hAnsi="Arial"/>
          <w:sz w:val="13"/>
          <w:szCs w:val="13"/>
          <w:color w:val="231F20"/>
        </w:rPr>
        <w:t>2008 until her retirement in January 2011.</w:t>
      </w:r>
    </w:p>
    <w:p>
      <w:pPr>
        <w:ind w:left="2380" w:hanging="119"/>
        <w:spacing w:after="0"/>
        <w:tabs>
          <w:tab w:leader="none" w:pos="2380" w:val="left"/>
        </w:tabs>
        <w:numPr>
          <w:ilvl w:val="0"/>
          <w:numId w:val="35"/>
        </w:numPr>
        <w:rPr>
          <w:rFonts w:ascii="Times New Roman" w:cs="Times New Roman" w:eastAsia="Times New Roman" w:hAnsi="Times New Roman"/>
          <w:sz w:val="17"/>
          <w:szCs w:val="17"/>
          <w:color w:val="4395D4"/>
        </w:rPr>
      </w:pPr>
      <w:r>
        <w:rPr>
          <w:rFonts w:ascii="Arial" w:cs="Arial" w:eastAsia="Arial" w:hAnsi="Arial"/>
          <w:sz w:val="14"/>
          <w:szCs w:val="14"/>
          <w:color w:val="231F20"/>
        </w:rPr>
        <w:t>Partner at the law firm of McGuire Woods LLP from 2011 to 2018.</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ind w:left="2120"/>
        <w:spacing w:after="0"/>
        <w:rPr>
          <w:sz w:val="20"/>
          <w:szCs w:val="20"/>
          <w:color w:val="auto"/>
        </w:rPr>
      </w:pPr>
      <w:r>
        <w:rPr>
          <w:rFonts w:ascii="Arial" w:cs="Arial" w:eastAsia="Arial" w:hAnsi="Arial"/>
          <w:sz w:val="15"/>
          <w:szCs w:val="15"/>
          <w:color w:val="231F20"/>
        </w:rPr>
        <w:t xml:space="preserve">Director since </w:t>
      </w:r>
      <w:r>
        <w:rPr>
          <w:rFonts w:ascii="Arial" w:cs="Arial" w:eastAsia="Arial" w:hAnsi="Arial"/>
          <w:sz w:val="15"/>
          <w:szCs w:val="15"/>
          <w:b w:val="1"/>
          <w:bCs w:val="1"/>
          <w:color w:val="4395D4"/>
        </w:rPr>
        <w:t>2006</w:t>
      </w:r>
    </w:p>
    <w:p>
      <w:pPr>
        <w:spacing w:after="0" w:line="42" w:lineRule="exact"/>
        <w:rPr>
          <w:sz w:val="20"/>
          <w:szCs w:val="20"/>
          <w:color w:val="auto"/>
        </w:rPr>
      </w:pPr>
    </w:p>
    <w:p>
      <w:pPr>
        <w:ind w:left="2120"/>
        <w:spacing w:after="0"/>
        <w:rPr>
          <w:sz w:val="20"/>
          <w:szCs w:val="20"/>
          <w:color w:val="auto"/>
        </w:rPr>
      </w:pPr>
      <w:r>
        <w:rPr>
          <w:rFonts w:ascii="Arial" w:cs="Arial" w:eastAsia="Arial" w:hAnsi="Arial"/>
          <w:sz w:val="15"/>
          <w:szCs w:val="15"/>
          <w:color w:val="231F20"/>
        </w:rPr>
        <w:t xml:space="preserve">Age </w:t>
      </w:r>
      <w:r>
        <w:rPr>
          <w:rFonts w:ascii="Arial" w:cs="Arial" w:eastAsia="Arial" w:hAnsi="Arial"/>
          <w:sz w:val="15"/>
          <w:szCs w:val="15"/>
          <w:b w:val="1"/>
          <w:bCs w:val="1"/>
          <w:color w:val="4395D4"/>
        </w:rPr>
        <w:t>72</w:t>
      </w:r>
    </w:p>
    <w:p>
      <w:pPr>
        <w:spacing w:after="0" w:line="34" w:lineRule="exact"/>
        <w:rPr>
          <w:sz w:val="20"/>
          <w:szCs w:val="20"/>
          <w:color w:val="auto"/>
        </w:rPr>
      </w:pPr>
    </w:p>
    <w:p>
      <w:pPr>
        <w:ind w:left="2120"/>
        <w:spacing w:after="0"/>
        <w:rPr>
          <w:sz w:val="20"/>
          <w:szCs w:val="20"/>
          <w:color w:val="auto"/>
        </w:rPr>
      </w:pPr>
      <w:r>
        <w:rPr>
          <w:rFonts w:ascii="Arial" w:cs="Arial" w:eastAsia="Arial" w:hAnsi="Arial"/>
          <w:sz w:val="15"/>
          <w:szCs w:val="15"/>
          <w:b w:val="1"/>
          <w:bCs w:val="1"/>
          <w:color w:val="4395D4"/>
        </w:rPr>
        <w:t>Independent Director</w:t>
      </w: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Arial" w:cs="Arial" w:eastAsia="Arial" w:hAnsi="Arial"/>
          <w:sz w:val="14"/>
          <w:szCs w:val="14"/>
          <w:color w:val="231F20"/>
        </w:rPr>
        <w:t>President of Duke Energy Carolinas, an electric utility that provides</w:t>
      </w:r>
    </w:p>
    <w:p>
      <w:pPr>
        <w:spacing w:after="0" w:line="22" w:lineRule="exact"/>
        <w:rPr>
          <w:sz w:val="20"/>
          <w:szCs w:val="20"/>
          <w:color w:val="auto"/>
        </w:rPr>
      </w:pPr>
    </w:p>
    <w:p>
      <w:pPr>
        <w:ind w:left="40" w:right="60"/>
        <w:spacing w:after="0" w:line="254" w:lineRule="auto"/>
        <w:rPr>
          <w:sz w:val="20"/>
          <w:szCs w:val="20"/>
          <w:color w:val="auto"/>
        </w:rPr>
      </w:pPr>
      <w:r>
        <w:rPr>
          <w:rFonts w:ascii="Arial" w:cs="Arial" w:eastAsia="Arial" w:hAnsi="Arial"/>
          <w:sz w:val="14"/>
          <w:szCs w:val="14"/>
          <w:color w:val="231F20"/>
        </w:rPr>
        <w:t>electricity and other services to customers in North Carolina and South Carolina from 2006 to 2008.</w:t>
      </w:r>
    </w:p>
    <w:p>
      <w:pPr>
        <w:spacing w:after="0" w:line="229" w:lineRule="exact"/>
        <w:rPr>
          <w:sz w:val="20"/>
          <w:szCs w:val="20"/>
          <w:color w:val="auto"/>
        </w:rPr>
      </w:pPr>
    </w:p>
    <w:p>
      <w:pPr>
        <w:sectPr>
          <w:pgSz w:w="11900" w:h="16838" w:orient="portrait"/>
          <w:cols w:equalWidth="0" w:num="2">
            <w:col w:w="6800" w:space="80"/>
            <w:col w:w="4360"/>
          </w:cols>
          <w:pgMar w:left="320" w:top="636" w:right="339" w:bottom="1440" w:gutter="0" w:footer="0" w:header="0"/>
          <w:type w:val="continuous"/>
        </w:sectPr>
      </w:pPr>
    </w:p>
    <w:p>
      <w:pPr>
        <w:spacing w:after="0" w:line="210" w:lineRule="exact"/>
        <w:rPr>
          <w:sz w:val="20"/>
          <w:szCs w:val="20"/>
          <w:color w:val="auto"/>
        </w:rPr>
      </w:pPr>
    </w:p>
    <w:p>
      <w:pPr>
        <w:spacing w:after="0"/>
        <w:rPr>
          <w:sz w:val="20"/>
          <w:szCs w:val="20"/>
          <w:color w:val="auto"/>
        </w:rPr>
      </w:pPr>
      <w:r>
        <w:rPr>
          <w:rFonts w:ascii="Arial" w:cs="Arial" w:eastAsia="Arial" w:hAnsi="Arial"/>
          <w:sz w:val="15"/>
          <w:szCs w:val="15"/>
          <w:b w:val="1"/>
          <w:bCs w:val="1"/>
          <w:color w:val="455986"/>
        </w:rPr>
        <w:t>Board Committees</w:t>
      </w:r>
    </w:p>
    <w:p>
      <w:pPr>
        <w:spacing w:after="0" w:line="26" w:lineRule="exact"/>
        <w:rPr>
          <w:sz w:val="20"/>
          <w:szCs w:val="20"/>
          <w:color w:val="auto"/>
        </w:rPr>
      </w:pPr>
    </w:p>
    <w:p>
      <w:pPr>
        <w:ind w:left="180" w:hanging="178"/>
        <w:spacing w:after="0" w:line="255" w:lineRule="auto"/>
        <w:tabs>
          <w:tab w:leader="none" w:pos="138" w:val="left"/>
        </w:tabs>
        <w:numPr>
          <w:ilvl w:val="0"/>
          <w:numId w:val="36"/>
        </w:numPr>
        <w:rPr>
          <w:rFonts w:ascii="Times New Roman" w:cs="Times New Roman" w:eastAsia="Times New Roman" w:hAnsi="Times New Roman"/>
          <w:sz w:val="17"/>
          <w:szCs w:val="17"/>
          <w:color w:val="231F20"/>
        </w:rPr>
      </w:pPr>
      <w:r>
        <w:rPr>
          <w:rFonts w:ascii="Arial" w:cs="Arial" w:eastAsia="Arial" w:hAnsi="Arial"/>
          <w:sz w:val="15"/>
          <w:szCs w:val="15"/>
          <w:color w:val="231F20"/>
        </w:rPr>
        <w:t>Executive Compensation Committee</w:t>
      </w:r>
    </w:p>
    <w:p>
      <w:pPr>
        <w:ind w:left="120" w:hanging="118"/>
        <w:spacing w:after="0" w:line="235" w:lineRule="auto"/>
        <w:tabs>
          <w:tab w:leader="none" w:pos="120" w:val="left"/>
        </w:tabs>
        <w:numPr>
          <w:ilvl w:val="0"/>
          <w:numId w:val="36"/>
        </w:numPr>
        <w:rPr>
          <w:rFonts w:ascii="Times New Roman" w:cs="Times New Roman" w:eastAsia="Times New Roman" w:hAnsi="Times New Roman"/>
          <w:sz w:val="17"/>
          <w:szCs w:val="17"/>
          <w:color w:val="231F20"/>
        </w:rPr>
      </w:pPr>
      <w:r>
        <w:rPr>
          <w:rFonts w:ascii="Arial" w:cs="Arial" w:eastAsia="Arial" w:hAnsi="Arial"/>
          <w:sz w:val="15"/>
          <w:szCs w:val="15"/>
          <w:color w:val="231F20"/>
        </w:rPr>
        <w:t>Executive Committee</w:t>
      </w:r>
    </w:p>
    <w:p>
      <w:pPr>
        <w:spacing w:after="0" w:line="4" w:lineRule="exact"/>
        <w:rPr>
          <w:rFonts w:ascii="Times New Roman" w:cs="Times New Roman" w:eastAsia="Times New Roman" w:hAnsi="Times New Roman"/>
          <w:sz w:val="17"/>
          <w:szCs w:val="17"/>
          <w:color w:val="231F20"/>
        </w:rPr>
      </w:pPr>
    </w:p>
    <w:p>
      <w:pPr>
        <w:ind w:left="180" w:right="140" w:hanging="178"/>
        <w:spacing w:after="0" w:line="272" w:lineRule="auto"/>
        <w:tabs>
          <w:tab w:leader="none" w:pos="138" w:val="left"/>
        </w:tabs>
        <w:numPr>
          <w:ilvl w:val="0"/>
          <w:numId w:val="36"/>
        </w:numPr>
        <w:rPr>
          <w:rFonts w:ascii="Times New Roman" w:cs="Times New Roman" w:eastAsia="Times New Roman" w:hAnsi="Times New Roman"/>
          <w:sz w:val="17"/>
          <w:szCs w:val="17"/>
          <w:color w:val="231F20"/>
        </w:rPr>
      </w:pPr>
      <w:r>
        <w:rPr>
          <w:rFonts w:ascii="Arial" w:cs="Arial" w:eastAsia="Arial" w:hAnsi="Arial"/>
          <w:sz w:val="15"/>
          <w:szCs w:val="15"/>
          <w:color w:val="231F20"/>
        </w:rPr>
        <w:t>Corporate Governance Committee</w:t>
      </w:r>
    </w:p>
    <w:p>
      <w:pPr>
        <w:spacing w:after="0" w:line="138" w:lineRule="exact"/>
        <w:rPr>
          <w:sz w:val="20"/>
          <w:szCs w:val="20"/>
          <w:color w:val="auto"/>
        </w:rPr>
      </w:pPr>
    </w:p>
    <w:p>
      <w:pPr>
        <w:spacing w:after="0"/>
        <w:rPr>
          <w:sz w:val="20"/>
          <w:szCs w:val="20"/>
          <w:color w:val="auto"/>
        </w:rPr>
      </w:pPr>
      <w:r>
        <w:rPr>
          <w:rFonts w:ascii="Arial" w:cs="Arial" w:eastAsia="Arial" w:hAnsi="Arial"/>
          <w:sz w:val="15"/>
          <w:szCs w:val="15"/>
          <w:b w:val="1"/>
          <w:bCs w:val="1"/>
          <w:color w:val="455986"/>
        </w:rPr>
        <w:t>Key Skills</w:t>
      </w:r>
    </w:p>
    <w:p>
      <w:pPr>
        <w:spacing w:after="0" w:line="26" w:lineRule="exact"/>
        <w:rPr>
          <w:sz w:val="20"/>
          <w:szCs w:val="20"/>
          <w:color w:val="auto"/>
        </w:rPr>
      </w:pPr>
    </w:p>
    <w:p>
      <w:pPr>
        <w:ind w:left="120" w:hanging="118"/>
        <w:spacing w:after="0"/>
        <w:tabs>
          <w:tab w:leader="none" w:pos="120" w:val="left"/>
        </w:tabs>
        <w:numPr>
          <w:ilvl w:val="0"/>
          <w:numId w:val="37"/>
        </w:numPr>
        <w:rPr>
          <w:rFonts w:ascii="Times New Roman" w:cs="Times New Roman" w:eastAsia="Times New Roman" w:hAnsi="Times New Roman"/>
          <w:sz w:val="17"/>
          <w:szCs w:val="17"/>
          <w:color w:val="231F20"/>
        </w:rPr>
      </w:pPr>
      <w:r>
        <w:rPr>
          <w:rFonts w:ascii="Arial" w:cs="Arial" w:eastAsia="Arial" w:hAnsi="Arial"/>
          <w:sz w:val="15"/>
          <w:szCs w:val="15"/>
          <w:color w:val="231F20"/>
        </w:rPr>
        <w:t>Utility Industry</w:t>
      </w:r>
    </w:p>
    <w:p>
      <w:pPr>
        <w:spacing w:after="0" w:line="8" w:lineRule="exact"/>
        <w:rPr>
          <w:rFonts w:ascii="Times New Roman" w:cs="Times New Roman" w:eastAsia="Times New Roman" w:hAnsi="Times New Roman"/>
          <w:sz w:val="17"/>
          <w:szCs w:val="17"/>
          <w:color w:val="231F20"/>
        </w:rPr>
      </w:pPr>
    </w:p>
    <w:p>
      <w:pPr>
        <w:ind w:left="120" w:hanging="118"/>
        <w:spacing w:after="0"/>
        <w:tabs>
          <w:tab w:leader="none" w:pos="120" w:val="left"/>
        </w:tabs>
        <w:numPr>
          <w:ilvl w:val="0"/>
          <w:numId w:val="37"/>
        </w:numPr>
        <w:rPr>
          <w:rFonts w:ascii="Times New Roman" w:cs="Times New Roman" w:eastAsia="Times New Roman" w:hAnsi="Times New Roman"/>
          <w:sz w:val="17"/>
          <w:szCs w:val="17"/>
          <w:color w:val="231F20"/>
        </w:rPr>
      </w:pPr>
      <w:r>
        <w:rPr>
          <w:rFonts w:ascii="Arial" w:cs="Arial" w:eastAsia="Arial" w:hAnsi="Arial"/>
          <w:sz w:val="15"/>
          <w:szCs w:val="15"/>
          <w:color w:val="231F20"/>
        </w:rPr>
        <w:t>Regulatory</w:t>
      </w:r>
    </w:p>
    <w:p>
      <w:pPr>
        <w:spacing w:after="0" w:line="8" w:lineRule="exact"/>
        <w:rPr>
          <w:rFonts w:ascii="Times New Roman" w:cs="Times New Roman" w:eastAsia="Times New Roman" w:hAnsi="Times New Roman"/>
          <w:sz w:val="17"/>
          <w:szCs w:val="17"/>
          <w:color w:val="231F20"/>
        </w:rPr>
      </w:pPr>
    </w:p>
    <w:p>
      <w:pPr>
        <w:ind w:left="120" w:hanging="118"/>
        <w:spacing w:after="0"/>
        <w:tabs>
          <w:tab w:leader="none" w:pos="120" w:val="left"/>
        </w:tabs>
        <w:numPr>
          <w:ilvl w:val="0"/>
          <w:numId w:val="37"/>
        </w:numPr>
        <w:rPr>
          <w:rFonts w:ascii="Times New Roman" w:cs="Times New Roman" w:eastAsia="Times New Roman" w:hAnsi="Times New Roman"/>
          <w:sz w:val="17"/>
          <w:szCs w:val="17"/>
          <w:color w:val="231F20"/>
        </w:rPr>
      </w:pPr>
      <w:r>
        <w:rPr>
          <w:rFonts w:ascii="Arial" w:cs="Arial" w:eastAsia="Arial" w:hAnsi="Arial"/>
          <w:sz w:val="15"/>
          <w:szCs w:val="15"/>
          <w:color w:val="231F20"/>
        </w:rPr>
        <w:t>Legal Government</w:t>
      </w:r>
    </w:p>
    <w:p>
      <w:pPr>
        <w:spacing w:after="0" w:line="8" w:lineRule="exact"/>
        <w:rPr>
          <w:rFonts w:ascii="Times New Roman" w:cs="Times New Roman" w:eastAsia="Times New Roman" w:hAnsi="Times New Roman"/>
          <w:sz w:val="17"/>
          <w:szCs w:val="17"/>
          <w:color w:val="231F20"/>
        </w:rPr>
      </w:pPr>
    </w:p>
    <w:p>
      <w:pPr>
        <w:ind w:left="120" w:hanging="118"/>
        <w:spacing w:after="0"/>
        <w:tabs>
          <w:tab w:leader="none" w:pos="120" w:val="left"/>
        </w:tabs>
        <w:numPr>
          <w:ilvl w:val="0"/>
          <w:numId w:val="37"/>
        </w:numPr>
        <w:rPr>
          <w:rFonts w:ascii="Times New Roman" w:cs="Times New Roman" w:eastAsia="Times New Roman" w:hAnsi="Times New Roman"/>
          <w:sz w:val="17"/>
          <w:szCs w:val="17"/>
          <w:color w:val="231F20"/>
        </w:rPr>
      </w:pPr>
      <w:r>
        <w:rPr>
          <w:rFonts w:ascii="Arial" w:cs="Arial" w:eastAsia="Arial" w:hAnsi="Arial"/>
          <w:sz w:val="15"/>
          <w:szCs w:val="15"/>
          <w:color w:val="231F20"/>
        </w:rPr>
        <w:t>Leadership</w:t>
      </w:r>
    </w:p>
    <w:p>
      <w:pPr>
        <w:spacing w:after="0" w:line="8" w:lineRule="exact"/>
        <w:rPr>
          <w:rFonts w:ascii="Times New Roman" w:cs="Times New Roman" w:eastAsia="Times New Roman" w:hAnsi="Times New Roman"/>
          <w:sz w:val="17"/>
          <w:szCs w:val="17"/>
          <w:color w:val="231F20"/>
        </w:rPr>
      </w:pPr>
    </w:p>
    <w:p>
      <w:pPr>
        <w:ind w:left="120" w:hanging="118"/>
        <w:spacing w:after="0"/>
        <w:tabs>
          <w:tab w:leader="none" w:pos="120" w:val="left"/>
        </w:tabs>
        <w:numPr>
          <w:ilvl w:val="0"/>
          <w:numId w:val="37"/>
        </w:numPr>
        <w:rPr>
          <w:rFonts w:ascii="Times New Roman" w:cs="Times New Roman" w:eastAsia="Times New Roman" w:hAnsi="Times New Roman"/>
          <w:sz w:val="17"/>
          <w:szCs w:val="17"/>
          <w:color w:val="231F20"/>
        </w:rPr>
      </w:pPr>
      <w:r>
        <w:rPr>
          <w:rFonts w:ascii="Arial" w:cs="Arial" w:eastAsia="Arial" w:hAnsi="Arial"/>
          <w:sz w:val="15"/>
          <w:szCs w:val="15"/>
          <w:color w:val="231F20"/>
        </w:rPr>
        <w:t>Mergers &amp; Acquisitions</w:t>
      </w:r>
    </w:p>
    <w:p>
      <w:pPr>
        <w:spacing w:after="0" w:line="8" w:lineRule="exact"/>
        <w:rPr>
          <w:rFonts w:ascii="Times New Roman" w:cs="Times New Roman" w:eastAsia="Times New Roman" w:hAnsi="Times New Roman"/>
          <w:sz w:val="17"/>
          <w:szCs w:val="17"/>
          <w:color w:val="231F20"/>
        </w:rPr>
      </w:pPr>
    </w:p>
    <w:p>
      <w:pPr>
        <w:ind w:left="120" w:hanging="118"/>
        <w:spacing w:after="0"/>
        <w:tabs>
          <w:tab w:leader="none" w:pos="120" w:val="left"/>
        </w:tabs>
        <w:numPr>
          <w:ilvl w:val="0"/>
          <w:numId w:val="37"/>
        </w:numPr>
        <w:rPr>
          <w:rFonts w:ascii="Times New Roman" w:cs="Times New Roman" w:eastAsia="Times New Roman" w:hAnsi="Times New Roman"/>
          <w:sz w:val="17"/>
          <w:szCs w:val="17"/>
          <w:color w:val="231F20"/>
        </w:rPr>
      </w:pPr>
      <w:r>
        <w:rPr>
          <w:rFonts w:ascii="Arial" w:cs="Arial" w:eastAsia="Arial" w:hAnsi="Arial"/>
          <w:sz w:val="15"/>
          <w:szCs w:val="15"/>
          <w:color w:val="231F20"/>
        </w:rPr>
        <w:t>Geographic Diversity</w:t>
      </w:r>
    </w:p>
    <w:p>
      <w:pPr>
        <w:spacing w:after="0" w:line="8" w:lineRule="exact"/>
        <w:rPr>
          <w:rFonts w:ascii="Times New Roman" w:cs="Times New Roman" w:eastAsia="Times New Roman" w:hAnsi="Times New Roman"/>
          <w:sz w:val="17"/>
          <w:szCs w:val="17"/>
          <w:color w:val="231F20"/>
        </w:rPr>
      </w:pPr>
    </w:p>
    <w:p>
      <w:pPr>
        <w:ind w:left="120" w:hanging="118"/>
        <w:spacing w:after="0"/>
        <w:tabs>
          <w:tab w:leader="none" w:pos="120" w:val="left"/>
        </w:tabs>
        <w:numPr>
          <w:ilvl w:val="0"/>
          <w:numId w:val="37"/>
        </w:numPr>
        <w:rPr>
          <w:rFonts w:ascii="Times New Roman" w:cs="Times New Roman" w:eastAsia="Times New Roman" w:hAnsi="Times New Roman"/>
          <w:sz w:val="17"/>
          <w:szCs w:val="17"/>
          <w:color w:val="231F20"/>
        </w:rPr>
      </w:pPr>
      <w:r>
        <w:rPr>
          <w:rFonts w:ascii="Arial" w:cs="Arial" w:eastAsia="Arial" w:hAnsi="Arial"/>
          <w:sz w:val="15"/>
          <w:szCs w:val="15"/>
          <w:color w:val="231F20"/>
        </w:rPr>
        <w:t>C-Suite Experience</w:t>
      </w:r>
    </w:p>
    <w:p>
      <w:pPr>
        <w:spacing w:after="0" w:line="20" w:lineRule="exact"/>
        <w:rPr>
          <w:sz w:val="20"/>
          <w:szCs w:val="20"/>
          <w:color w:val="auto"/>
        </w:rPr>
      </w:pPr>
      <w:r>
        <w:rPr>
          <w:sz w:val="20"/>
          <w:szCs w:val="20"/>
          <w:color w:val="auto"/>
        </w:rPr>
        <w:br w:type="column"/>
      </w:r>
    </w:p>
    <w:p>
      <w:pPr>
        <w:spacing w:after="0" w:line="107" w:lineRule="exact"/>
        <w:rPr>
          <w:sz w:val="20"/>
          <w:szCs w:val="20"/>
          <w:color w:val="auto"/>
        </w:rPr>
      </w:pPr>
    </w:p>
    <w:p>
      <w:pPr>
        <w:ind w:right="140"/>
        <w:spacing w:after="0" w:line="244" w:lineRule="auto"/>
        <w:rPr>
          <w:sz w:val="20"/>
          <w:szCs w:val="20"/>
          <w:color w:val="auto"/>
        </w:rPr>
      </w:pPr>
      <w:r>
        <w:rPr>
          <w:rFonts w:ascii="Arial" w:cs="Arial" w:eastAsia="Arial" w:hAnsi="Arial"/>
          <w:sz w:val="14"/>
          <w:szCs w:val="14"/>
          <w:color w:val="231F20"/>
        </w:rPr>
        <w:t>Ms. Ruff joined Duke Energy in 1978 and during her career held a number of key positions, including: Vice President and General Counsel of Corporate, Gas and Electric Operations; Senior Vice President and General Counsel for Duke Energy; Senior Vice President of Asset Management for Duke Power; Senior Vice President of Power Policy and Planning; and Group Vice President of Planning and External Affairs.</w:t>
      </w:r>
    </w:p>
    <w:p>
      <w:pPr>
        <w:spacing w:after="0" w:line="153" w:lineRule="exact"/>
        <w:rPr>
          <w:sz w:val="20"/>
          <w:szCs w:val="20"/>
          <w:color w:val="auto"/>
        </w:rPr>
      </w:pPr>
    </w:p>
    <w:p>
      <w:pPr>
        <w:spacing w:after="0"/>
        <w:rPr>
          <w:sz w:val="20"/>
          <w:szCs w:val="20"/>
          <w:color w:val="auto"/>
        </w:rPr>
      </w:pPr>
      <w:r>
        <w:rPr>
          <w:rFonts w:ascii="Arial" w:cs="Arial" w:eastAsia="Arial" w:hAnsi="Arial"/>
          <w:sz w:val="15"/>
          <w:szCs w:val="15"/>
          <w:b w:val="1"/>
          <w:bCs w:val="1"/>
          <w:color w:val="455986"/>
        </w:rPr>
        <w:t>Qualifications:</w:t>
      </w:r>
    </w:p>
    <w:p>
      <w:pPr>
        <w:spacing w:after="0" w:line="26" w:lineRule="exact"/>
        <w:rPr>
          <w:sz w:val="20"/>
          <w:szCs w:val="20"/>
          <w:color w:val="auto"/>
        </w:rPr>
      </w:pPr>
    </w:p>
    <w:p>
      <w:pPr>
        <w:ind w:right="60"/>
        <w:spacing w:after="0" w:line="268" w:lineRule="auto"/>
        <w:rPr>
          <w:sz w:val="20"/>
          <w:szCs w:val="20"/>
          <w:color w:val="auto"/>
        </w:rPr>
      </w:pPr>
      <w:r>
        <w:rPr>
          <w:rFonts w:ascii="Arial" w:cs="Arial" w:eastAsia="Arial" w:hAnsi="Arial"/>
          <w:sz w:val="15"/>
          <w:szCs w:val="15"/>
          <w:color w:val="231F20"/>
        </w:rPr>
        <w:t>Ms. Ruff has over 30 years of experience with a major utility company in various management, operations, legal planning and public affairs positions. Ms. Ruff has lived and worked in North Carolina, an important area of the Company’s operations, for many years.</w:t>
      </w:r>
    </w:p>
    <w:p>
      <w:pPr>
        <w:spacing w:after="0" w:line="144" w:lineRule="exact"/>
        <w:rPr>
          <w:sz w:val="20"/>
          <w:szCs w:val="20"/>
          <w:color w:val="auto"/>
        </w:rPr>
      </w:pPr>
    </w:p>
    <w:p>
      <w:pPr>
        <w:ind w:right="140"/>
        <w:spacing w:after="0" w:line="272" w:lineRule="auto"/>
        <w:rPr>
          <w:sz w:val="20"/>
          <w:szCs w:val="20"/>
          <w:color w:val="auto"/>
        </w:rPr>
      </w:pPr>
      <w:r>
        <w:rPr>
          <w:rFonts w:ascii="Arial" w:cs="Arial" w:eastAsia="Arial" w:hAnsi="Arial"/>
          <w:sz w:val="15"/>
          <w:szCs w:val="15"/>
          <w:color w:val="231F20"/>
        </w:rPr>
        <w:t>The Board of Directors views Ms. Ruff’s independence, her experience with various aspects of the utility industry, her knowledge of North Carolina and her demonstrated leadership roles in business and community activities as important qualifications, skills and experience supporting the Board of Directors’ conclusion that Ms. Ruff should serve as a director of the Company.</w:t>
      </w:r>
    </w:p>
    <w:p>
      <w:pPr>
        <w:spacing w:after="0" w:line="141" w:lineRule="exact"/>
        <w:rPr>
          <w:sz w:val="20"/>
          <w:szCs w:val="20"/>
          <w:color w:val="auto"/>
        </w:rPr>
      </w:pPr>
    </w:p>
    <w:p>
      <w:pPr>
        <w:spacing w:after="0"/>
        <w:rPr>
          <w:sz w:val="20"/>
          <w:szCs w:val="20"/>
          <w:color w:val="auto"/>
        </w:rPr>
      </w:pPr>
      <w:r>
        <w:rPr>
          <w:rFonts w:ascii="Arial" w:cs="Arial" w:eastAsia="Arial" w:hAnsi="Arial"/>
          <w:sz w:val="15"/>
          <w:szCs w:val="15"/>
          <w:b w:val="1"/>
          <w:bCs w:val="1"/>
          <w:color w:val="455986"/>
        </w:rPr>
        <w:t>Other current public company directorships (0).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-1433195</wp:posOffset>
            </wp:positionH>
            <wp:positionV relativeFrom="paragraph">
              <wp:posOffset>615315</wp:posOffset>
            </wp:positionV>
            <wp:extent cx="713994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9940" cy="8255"/>
                    </a:xfrm>
                    <a:prstGeom prst="rect">
                      <a:avLst/>
                    </a:prstGeom>
                    <a:noFill/>
                  </pic:spPr>
                </pic:pic>
              </a:graphicData>
            </a:graphic>
          </wp:anchor>
        </w:drawing>
      </w:r>
    </w:p>
    <w:p>
      <w:pPr>
        <w:spacing w:after="0" w:line="969" w:lineRule="exact"/>
        <w:rPr>
          <w:sz w:val="20"/>
          <w:szCs w:val="20"/>
          <w:color w:val="auto"/>
        </w:rPr>
      </w:pPr>
    </w:p>
    <w:p>
      <w:pPr>
        <w:sectPr>
          <w:pgSz w:w="11900" w:h="16838" w:orient="portrait"/>
          <w:cols w:equalWidth="0" w:num="2">
            <w:col w:w="1820" w:space="440"/>
            <w:col w:w="8980"/>
          </w:cols>
          <w:pgMar w:left="320" w:top="636" w:right="339" w:bottom="1440" w:gutter="0" w:footer="0" w:header="0"/>
          <w:type w:val="continuous"/>
        </w:sectPr>
      </w:pPr>
    </w:p>
    <w:p>
      <w:pPr>
        <w:spacing w:after="0" w:line="45" w:lineRule="exact"/>
        <w:rPr>
          <w:sz w:val="20"/>
          <w:szCs w:val="20"/>
          <w:color w:val="auto"/>
        </w:rPr>
      </w:pPr>
    </w:p>
    <w:p>
      <w:pPr>
        <w:ind w:left="7940"/>
        <w:spacing w:after="0"/>
        <w:tabs>
          <w:tab w:leader="none" w:pos="11060" w:val="left"/>
        </w:tabs>
        <w:rPr>
          <w:sz w:val="20"/>
          <w:szCs w:val="20"/>
          <w:color w:val="auto"/>
        </w:rPr>
      </w:pPr>
      <w:r>
        <w:rPr>
          <w:rFonts w:ascii="Arial" w:cs="Arial" w:eastAsia="Arial" w:hAnsi="Arial"/>
          <w:sz w:val="12"/>
          <w:szCs w:val="12"/>
          <w:color w:val="4395D4"/>
        </w:rPr>
        <w:t xml:space="preserve">ESSENTIAL UTILITIES, INC. </w:t>
      </w:r>
      <w:r>
        <w:rPr>
          <w:rFonts w:ascii="Arial" w:cs="Arial" w:eastAsia="Arial" w:hAnsi="Arial"/>
          <w:sz w:val="12"/>
          <w:szCs w:val="12"/>
          <w:color w:val="455986"/>
        </w:rPr>
        <w:t>2021 PROXY STATEMENT</w:t>
      </w:r>
      <w:r>
        <w:rPr>
          <w:sz w:val="20"/>
          <w:szCs w:val="20"/>
          <w:color w:val="auto"/>
        </w:rPr>
        <w:tab/>
      </w:r>
      <w:r>
        <w:rPr>
          <w:rFonts w:ascii="Arial" w:cs="Arial" w:eastAsia="Arial" w:hAnsi="Arial"/>
          <w:sz w:val="14"/>
          <w:szCs w:val="14"/>
          <w:color w:val="455986"/>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339090</wp:posOffset>
            </wp:positionV>
            <wp:extent cx="7139940" cy="2413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9940" cy="24130"/>
                    </a:xfrm>
                    <a:prstGeom prst="rect">
                      <a:avLst/>
                    </a:prstGeom>
                    <a:noFill/>
                  </pic:spPr>
                </pic:pic>
              </a:graphicData>
            </a:graphic>
          </wp:anchor>
        </w:drawing>
      </w:r>
    </w:p>
    <w:p>
      <w:pPr>
        <w:sectPr>
          <w:pgSz w:w="11900" w:h="16838" w:orient="portrait"/>
          <w:cols w:equalWidth="0" w:num="1">
            <w:col w:w="11240"/>
          </w:cols>
          <w:pgMar w:left="320" w:top="636" w:right="339" w:bottom="1440" w:gutter="0" w:footer="0" w:header="0"/>
          <w:type w:val="continuous"/>
        </w:sectPr>
      </w:pPr>
    </w:p>
    <w:bookmarkStart w:id="18" w:name="page19"/>
    <w:bookmarkEnd w:id="18"/>
    <w:p>
      <w:pPr>
        <w:spacing w:after="0"/>
        <w:rPr>
          <w:sz w:val="20"/>
          <w:szCs w:val="20"/>
          <w:color w:val="auto"/>
        </w:rPr>
      </w:pPr>
      <w:r>
        <w:rPr>
          <w:rFonts w:ascii="Arial" w:cs="Arial" w:eastAsia="Arial" w:hAnsi="Arial"/>
          <w:sz w:val="14"/>
          <w:szCs w:val="14"/>
          <w:b w:val="1"/>
          <w:bCs w:val="1"/>
          <w:color w:val="455986"/>
        </w:rPr>
        <w:t>Proposal 1: Election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27940</wp:posOffset>
            </wp:positionV>
            <wp:extent cx="713994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9940" cy="8255"/>
                    </a:xfrm>
                    <a:prstGeom prst="rect">
                      <a:avLst/>
                    </a:prstGeom>
                    <a:noFill/>
                  </pic:spPr>
                </pic:pic>
              </a:graphicData>
            </a:graphic>
          </wp:anchor>
        </w:drawing>
      </w:r>
    </w:p>
    <w:p>
      <w:pPr>
        <w:spacing w:after="0" w:line="76" w:lineRule="exact"/>
        <w:rPr>
          <w:sz w:val="20"/>
          <w:szCs w:val="20"/>
          <w:color w:val="auto"/>
        </w:rPr>
      </w:pPr>
    </w:p>
    <w:p>
      <w:pPr>
        <w:spacing w:after="0"/>
        <w:rPr>
          <w:sz w:val="20"/>
          <w:szCs w:val="20"/>
          <w:color w:val="auto"/>
        </w:rPr>
      </w:pPr>
      <w:r>
        <w:rPr>
          <w:rFonts w:ascii="Arial" w:cs="Arial" w:eastAsia="Arial" w:hAnsi="Arial"/>
          <w:sz w:val="12"/>
          <w:szCs w:val="12"/>
          <w:color w:val="231F20"/>
        </w:rPr>
        <w:t>Nominees for Election at the 2021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138430</wp:posOffset>
            </wp:positionV>
            <wp:extent cx="713994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9940" cy="8255"/>
                    </a:xfrm>
                    <a:prstGeom prst="rect">
                      <a:avLst/>
                    </a:prstGeom>
                    <a:noFill/>
                  </pic:spPr>
                </pic:pic>
              </a:graphicData>
            </a:graphic>
          </wp:anchor>
        </w:drawing>
      </w:r>
    </w:p>
    <w:p>
      <w:pPr>
        <w:sectPr>
          <w:pgSz w:w="11900" w:h="16838" w:orient="portrait"/>
          <w:cols w:equalWidth="0" w:num="1">
            <w:col w:w="11220"/>
          </w:cols>
          <w:pgMar w:left="320" w:top="636" w:right="359" w:bottom="1440" w:gutter="0" w:footer="0" w:header="0"/>
        </w:sectPr>
      </w:pPr>
    </w:p>
    <w:p>
      <w:pPr>
        <w:spacing w:after="0" w:line="200" w:lineRule="exact"/>
        <w:rPr>
          <w:sz w:val="20"/>
          <w:szCs w:val="20"/>
          <w:color w:val="auto"/>
        </w:rPr>
      </w:pPr>
    </w:p>
    <w:p>
      <w:pPr>
        <w:spacing w:after="0" w:line="219" w:lineRule="exact"/>
        <w:rPr>
          <w:sz w:val="20"/>
          <w:szCs w:val="20"/>
          <w:color w:val="auto"/>
        </w:rPr>
      </w:pPr>
    </w:p>
    <w:p>
      <w:pPr>
        <w:ind w:left="2260"/>
        <w:spacing w:after="0"/>
        <w:rPr>
          <w:sz w:val="20"/>
          <w:szCs w:val="20"/>
          <w:color w:val="auto"/>
        </w:rPr>
      </w:pPr>
      <w:r>
        <w:rPr>
          <w:rFonts w:ascii="Arial" w:cs="Arial" w:eastAsia="Arial" w:hAnsi="Arial"/>
          <w:sz w:val="27"/>
          <w:szCs w:val="27"/>
          <w:b w:val="1"/>
          <w:bCs w:val="1"/>
          <w:color w:val="4395D4"/>
        </w:rPr>
        <w:t>Lee C. Stewart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-170180</wp:posOffset>
            </wp:positionV>
            <wp:extent cx="1029335" cy="120777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1029335" cy="1207770"/>
                    </a:xfrm>
                    <a:prstGeom prst="rect">
                      <a:avLst/>
                    </a:prstGeom>
                    <a:noFill/>
                  </pic:spPr>
                </pic:pic>
              </a:graphicData>
            </a:graphic>
          </wp:anchor>
        </w:drawing>
      </w:r>
    </w:p>
    <w:p>
      <w:pPr>
        <w:spacing w:after="0" w:line="35" w:lineRule="exact"/>
        <w:rPr>
          <w:sz w:val="20"/>
          <w:szCs w:val="20"/>
          <w:color w:val="auto"/>
        </w:rPr>
      </w:pPr>
    </w:p>
    <w:p>
      <w:pPr>
        <w:ind w:left="2260"/>
        <w:spacing w:after="0"/>
        <w:rPr>
          <w:sz w:val="20"/>
          <w:szCs w:val="20"/>
          <w:color w:val="auto"/>
        </w:rPr>
      </w:pPr>
      <w:r>
        <w:rPr>
          <w:rFonts w:ascii="Arial" w:cs="Arial" w:eastAsia="Arial" w:hAnsi="Arial"/>
          <w:sz w:val="14"/>
          <w:szCs w:val="14"/>
          <w:color w:val="231F20"/>
        </w:rPr>
        <w:t>Private Financial Consultant</w:t>
      </w:r>
    </w:p>
    <w:p>
      <w:pPr>
        <w:spacing w:after="0" w:line="200" w:lineRule="exact"/>
        <w:rPr>
          <w:sz w:val="20"/>
          <w:szCs w:val="20"/>
          <w:color w:val="auto"/>
        </w:rPr>
      </w:pPr>
    </w:p>
    <w:p>
      <w:pPr>
        <w:spacing w:after="0" w:line="357" w:lineRule="exact"/>
        <w:rPr>
          <w:sz w:val="20"/>
          <w:szCs w:val="20"/>
          <w:color w:val="auto"/>
        </w:rPr>
      </w:pPr>
    </w:p>
    <w:p>
      <w:pPr>
        <w:ind w:left="2260"/>
        <w:spacing w:after="0"/>
        <w:rPr>
          <w:sz w:val="20"/>
          <w:szCs w:val="20"/>
          <w:color w:val="auto"/>
        </w:rPr>
      </w:pPr>
      <w:r>
        <w:rPr>
          <w:rFonts w:ascii="Arial" w:cs="Arial" w:eastAsia="Arial" w:hAnsi="Arial"/>
          <w:sz w:val="15"/>
          <w:szCs w:val="15"/>
          <w:b w:val="1"/>
          <w:bCs w:val="1"/>
          <w:color w:val="455986"/>
        </w:rPr>
        <w:t>Experience</w:t>
      </w:r>
    </w:p>
    <w:p>
      <w:pPr>
        <w:spacing w:after="0" w:line="38" w:lineRule="exact"/>
        <w:rPr>
          <w:sz w:val="20"/>
          <w:szCs w:val="20"/>
          <w:color w:val="auto"/>
        </w:rPr>
      </w:pPr>
    </w:p>
    <w:p>
      <w:pPr>
        <w:ind w:left="2440" w:hanging="179"/>
        <w:spacing w:after="0" w:line="243" w:lineRule="auto"/>
        <w:tabs>
          <w:tab w:leader="none" w:pos="2388" w:val="left"/>
        </w:tabs>
        <w:numPr>
          <w:ilvl w:val="0"/>
          <w:numId w:val="38"/>
        </w:numPr>
        <w:rPr>
          <w:rFonts w:ascii="Times New Roman" w:cs="Times New Roman" w:eastAsia="Times New Roman" w:hAnsi="Times New Roman"/>
          <w:sz w:val="17"/>
          <w:szCs w:val="17"/>
          <w:color w:val="4395D4"/>
        </w:rPr>
      </w:pPr>
      <w:r>
        <w:rPr>
          <w:rFonts w:ascii="Arial" w:cs="Arial" w:eastAsia="Arial" w:hAnsi="Arial"/>
          <w:sz w:val="14"/>
          <w:szCs w:val="14"/>
          <w:color w:val="231F20"/>
        </w:rPr>
        <w:t>Mr. Stewart is a private financial consultant with over 25 years of experience as an investment banker.</w:t>
      </w:r>
    </w:p>
    <w:p>
      <w:pPr>
        <w:ind w:left="2440" w:hanging="179"/>
        <w:spacing w:after="0" w:line="241" w:lineRule="auto"/>
        <w:tabs>
          <w:tab w:leader="none" w:pos="2388" w:val="left"/>
        </w:tabs>
        <w:numPr>
          <w:ilvl w:val="0"/>
          <w:numId w:val="38"/>
        </w:numPr>
        <w:rPr>
          <w:rFonts w:ascii="Times New Roman" w:cs="Times New Roman" w:eastAsia="Times New Roman" w:hAnsi="Times New Roman"/>
          <w:sz w:val="17"/>
          <w:szCs w:val="17"/>
          <w:color w:val="4395D4"/>
        </w:rPr>
      </w:pPr>
      <w:r>
        <w:rPr>
          <w:rFonts w:ascii="Arial" w:cs="Arial" w:eastAsia="Arial" w:hAnsi="Arial"/>
          <w:sz w:val="14"/>
          <w:szCs w:val="14"/>
          <w:color w:val="231F20"/>
        </w:rPr>
        <w:t>Vice President at Union Carbide Corporation from 1996 to 2001, responsible for various treasury and finance functions.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2" w:lineRule="exact"/>
        <w:rPr>
          <w:sz w:val="20"/>
          <w:szCs w:val="20"/>
          <w:color w:val="auto"/>
        </w:rPr>
      </w:pPr>
    </w:p>
    <w:p>
      <w:pPr>
        <w:ind w:left="2247"/>
        <w:spacing w:after="0"/>
        <w:rPr>
          <w:sz w:val="20"/>
          <w:szCs w:val="20"/>
          <w:color w:val="auto"/>
        </w:rPr>
      </w:pPr>
      <w:r>
        <w:rPr>
          <w:rFonts w:ascii="Arial" w:cs="Arial" w:eastAsia="Arial" w:hAnsi="Arial"/>
          <w:sz w:val="15"/>
          <w:szCs w:val="15"/>
          <w:color w:val="231F20"/>
        </w:rPr>
        <w:t xml:space="preserve">Director since </w:t>
      </w:r>
      <w:r>
        <w:rPr>
          <w:rFonts w:ascii="Arial" w:cs="Arial" w:eastAsia="Arial" w:hAnsi="Arial"/>
          <w:sz w:val="15"/>
          <w:szCs w:val="15"/>
          <w:b w:val="1"/>
          <w:bCs w:val="1"/>
          <w:color w:val="4395D4"/>
        </w:rPr>
        <w:t>2018</w:t>
      </w:r>
    </w:p>
    <w:p>
      <w:pPr>
        <w:spacing w:after="0" w:line="42" w:lineRule="exact"/>
        <w:rPr>
          <w:sz w:val="20"/>
          <w:szCs w:val="20"/>
          <w:color w:val="auto"/>
        </w:rPr>
      </w:pPr>
    </w:p>
    <w:p>
      <w:pPr>
        <w:ind w:left="2247"/>
        <w:spacing w:after="0"/>
        <w:rPr>
          <w:sz w:val="20"/>
          <w:szCs w:val="20"/>
          <w:color w:val="auto"/>
        </w:rPr>
      </w:pPr>
      <w:r>
        <w:rPr>
          <w:rFonts w:ascii="Arial" w:cs="Arial" w:eastAsia="Arial" w:hAnsi="Arial"/>
          <w:sz w:val="15"/>
          <w:szCs w:val="15"/>
          <w:color w:val="231F20"/>
        </w:rPr>
        <w:t xml:space="preserve">Age </w:t>
      </w:r>
      <w:r>
        <w:rPr>
          <w:rFonts w:ascii="Arial" w:cs="Arial" w:eastAsia="Arial" w:hAnsi="Arial"/>
          <w:sz w:val="15"/>
          <w:szCs w:val="15"/>
          <w:b w:val="1"/>
          <w:bCs w:val="1"/>
          <w:color w:val="4395D4"/>
        </w:rPr>
        <w:t>72</w:t>
      </w:r>
    </w:p>
    <w:p>
      <w:pPr>
        <w:spacing w:after="0" w:line="34" w:lineRule="exact"/>
        <w:rPr>
          <w:sz w:val="20"/>
          <w:szCs w:val="20"/>
          <w:color w:val="auto"/>
        </w:rPr>
      </w:pPr>
    </w:p>
    <w:p>
      <w:pPr>
        <w:ind w:left="2247"/>
        <w:spacing w:after="0"/>
        <w:rPr>
          <w:sz w:val="20"/>
          <w:szCs w:val="20"/>
          <w:color w:val="auto"/>
        </w:rPr>
      </w:pPr>
      <w:r>
        <w:rPr>
          <w:rFonts w:ascii="Arial" w:cs="Arial" w:eastAsia="Arial" w:hAnsi="Arial"/>
          <w:sz w:val="15"/>
          <w:szCs w:val="15"/>
          <w:b w:val="1"/>
          <w:bCs w:val="1"/>
          <w:color w:val="4395D4"/>
        </w:rPr>
        <w:t>Independent Director</w:t>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127" w:hanging="127"/>
        <w:spacing w:after="0"/>
        <w:tabs>
          <w:tab w:leader="none" w:pos="127" w:val="left"/>
        </w:tabs>
        <w:numPr>
          <w:ilvl w:val="0"/>
          <w:numId w:val="39"/>
        </w:numPr>
        <w:rPr>
          <w:rFonts w:ascii="Times New Roman" w:cs="Times New Roman" w:eastAsia="Times New Roman" w:hAnsi="Times New Roman"/>
          <w:sz w:val="16"/>
          <w:szCs w:val="16"/>
          <w:color w:val="4395D4"/>
        </w:rPr>
      </w:pPr>
      <w:r>
        <w:rPr>
          <w:rFonts w:ascii="Arial" w:cs="Arial" w:eastAsia="Arial" w:hAnsi="Arial"/>
          <w:sz w:val="13"/>
          <w:szCs w:val="13"/>
          <w:color w:val="231F20"/>
        </w:rPr>
        <w:t>Chief Financial Officer of Foamex International, Inc. 2001 to 2002.</w:t>
      </w:r>
    </w:p>
    <w:p>
      <w:pPr>
        <w:spacing w:after="0" w:line="639" w:lineRule="exact"/>
        <w:rPr>
          <w:sz w:val="20"/>
          <w:szCs w:val="20"/>
          <w:color w:val="auto"/>
        </w:rPr>
      </w:pPr>
    </w:p>
    <w:p>
      <w:pPr>
        <w:sectPr>
          <w:pgSz w:w="11900" w:h="16838" w:orient="portrait"/>
          <w:cols w:equalWidth="0" w:num="2">
            <w:col w:w="6240" w:space="513"/>
            <w:col w:w="4467"/>
          </w:cols>
          <w:pgMar w:left="320" w:top="636" w:right="359" w:bottom="1440" w:gutter="0" w:footer="0" w:header="0"/>
          <w:type w:val="continuous"/>
        </w:sectPr>
      </w:pPr>
    </w:p>
    <w:p>
      <w:pPr>
        <w:spacing w:after="0"/>
        <w:rPr>
          <w:sz w:val="20"/>
          <w:szCs w:val="20"/>
          <w:color w:val="auto"/>
        </w:rPr>
      </w:pPr>
      <w:r>
        <w:rPr>
          <w:rFonts w:ascii="Arial" w:cs="Arial" w:eastAsia="Arial" w:hAnsi="Arial"/>
          <w:sz w:val="15"/>
          <w:szCs w:val="15"/>
          <w:b w:val="1"/>
          <w:bCs w:val="1"/>
          <w:color w:val="455986"/>
        </w:rPr>
        <w:t>Board Committees</w:t>
      </w:r>
    </w:p>
    <w:p>
      <w:pPr>
        <w:spacing w:after="0" w:line="26" w:lineRule="exact"/>
        <w:rPr>
          <w:sz w:val="20"/>
          <w:szCs w:val="20"/>
          <w:color w:val="auto"/>
        </w:rPr>
      </w:pPr>
    </w:p>
    <w:p>
      <w:pPr>
        <w:ind w:left="120" w:hanging="118"/>
        <w:spacing w:after="0"/>
        <w:tabs>
          <w:tab w:leader="none" w:pos="120" w:val="left"/>
        </w:tabs>
        <w:numPr>
          <w:ilvl w:val="0"/>
          <w:numId w:val="40"/>
        </w:numPr>
        <w:rPr>
          <w:rFonts w:ascii="Times New Roman" w:cs="Times New Roman" w:eastAsia="Times New Roman" w:hAnsi="Times New Roman"/>
          <w:sz w:val="17"/>
          <w:szCs w:val="17"/>
          <w:color w:val="231F20"/>
        </w:rPr>
      </w:pPr>
      <w:r>
        <w:rPr>
          <w:rFonts w:ascii="Arial" w:cs="Arial" w:eastAsia="Arial" w:hAnsi="Arial"/>
          <w:sz w:val="15"/>
          <w:szCs w:val="15"/>
          <w:color w:val="231F20"/>
        </w:rPr>
        <w:t>Chair, Audit Committee</w:t>
      </w:r>
    </w:p>
    <w:p>
      <w:pPr>
        <w:spacing w:after="0" w:line="8" w:lineRule="exact"/>
        <w:rPr>
          <w:rFonts w:ascii="Times New Roman" w:cs="Times New Roman" w:eastAsia="Times New Roman" w:hAnsi="Times New Roman"/>
          <w:sz w:val="17"/>
          <w:szCs w:val="17"/>
          <w:color w:val="231F20"/>
        </w:rPr>
      </w:pPr>
    </w:p>
    <w:p>
      <w:pPr>
        <w:jc w:val="both"/>
        <w:ind w:left="180" w:right="280" w:hanging="178"/>
        <w:spacing w:after="0" w:line="259" w:lineRule="auto"/>
        <w:tabs>
          <w:tab w:leader="none" w:pos="138" w:val="left"/>
        </w:tabs>
        <w:numPr>
          <w:ilvl w:val="0"/>
          <w:numId w:val="40"/>
        </w:numPr>
        <w:rPr>
          <w:rFonts w:ascii="Times New Roman" w:cs="Times New Roman" w:eastAsia="Times New Roman" w:hAnsi="Times New Roman"/>
          <w:sz w:val="17"/>
          <w:szCs w:val="17"/>
          <w:color w:val="231F20"/>
        </w:rPr>
      </w:pPr>
      <w:r>
        <w:rPr>
          <w:rFonts w:ascii="Arial" w:cs="Arial" w:eastAsia="Arial" w:hAnsi="Arial"/>
          <w:sz w:val="15"/>
          <w:szCs w:val="15"/>
          <w:color w:val="231F20"/>
        </w:rPr>
        <w:t>Risk Mitigation and Investment Policy Committee</w:t>
      </w:r>
    </w:p>
    <w:p>
      <w:pPr>
        <w:spacing w:after="0" w:line="151" w:lineRule="exact"/>
        <w:rPr>
          <w:sz w:val="20"/>
          <w:szCs w:val="20"/>
          <w:color w:val="auto"/>
        </w:rPr>
      </w:pPr>
    </w:p>
    <w:p>
      <w:pPr>
        <w:spacing w:after="0"/>
        <w:rPr>
          <w:sz w:val="20"/>
          <w:szCs w:val="20"/>
          <w:color w:val="auto"/>
        </w:rPr>
      </w:pPr>
      <w:r>
        <w:rPr>
          <w:rFonts w:ascii="Arial" w:cs="Arial" w:eastAsia="Arial" w:hAnsi="Arial"/>
          <w:sz w:val="15"/>
          <w:szCs w:val="15"/>
          <w:b w:val="1"/>
          <w:bCs w:val="1"/>
          <w:color w:val="455986"/>
        </w:rPr>
        <w:t>Key Skills</w:t>
      </w:r>
    </w:p>
    <w:p>
      <w:pPr>
        <w:spacing w:after="0" w:line="26" w:lineRule="exact"/>
        <w:rPr>
          <w:sz w:val="20"/>
          <w:szCs w:val="20"/>
          <w:color w:val="auto"/>
        </w:rPr>
      </w:pPr>
    </w:p>
    <w:p>
      <w:pPr>
        <w:ind w:left="120" w:hanging="118"/>
        <w:spacing w:after="0"/>
        <w:tabs>
          <w:tab w:leader="none" w:pos="120" w:val="left"/>
        </w:tabs>
        <w:numPr>
          <w:ilvl w:val="0"/>
          <w:numId w:val="41"/>
        </w:numPr>
        <w:rPr>
          <w:rFonts w:ascii="Times New Roman" w:cs="Times New Roman" w:eastAsia="Times New Roman" w:hAnsi="Times New Roman"/>
          <w:sz w:val="17"/>
          <w:szCs w:val="17"/>
          <w:color w:val="231F20"/>
        </w:rPr>
      </w:pPr>
      <w:r>
        <w:rPr>
          <w:rFonts w:ascii="Arial" w:cs="Arial" w:eastAsia="Arial" w:hAnsi="Arial"/>
          <w:sz w:val="15"/>
          <w:szCs w:val="15"/>
          <w:color w:val="231F20"/>
        </w:rPr>
        <w:t>Utility Industry</w:t>
      </w:r>
    </w:p>
    <w:p>
      <w:pPr>
        <w:spacing w:after="0" w:line="8" w:lineRule="exact"/>
        <w:rPr>
          <w:rFonts w:ascii="Times New Roman" w:cs="Times New Roman" w:eastAsia="Times New Roman" w:hAnsi="Times New Roman"/>
          <w:sz w:val="17"/>
          <w:szCs w:val="17"/>
          <w:color w:val="231F20"/>
        </w:rPr>
      </w:pPr>
    </w:p>
    <w:p>
      <w:pPr>
        <w:ind w:left="120" w:hanging="118"/>
        <w:spacing w:after="0"/>
        <w:tabs>
          <w:tab w:leader="none" w:pos="120" w:val="left"/>
        </w:tabs>
        <w:numPr>
          <w:ilvl w:val="0"/>
          <w:numId w:val="41"/>
        </w:numPr>
        <w:rPr>
          <w:rFonts w:ascii="Times New Roman" w:cs="Times New Roman" w:eastAsia="Times New Roman" w:hAnsi="Times New Roman"/>
          <w:sz w:val="17"/>
          <w:szCs w:val="17"/>
          <w:color w:val="231F20"/>
        </w:rPr>
      </w:pPr>
      <w:r>
        <w:rPr>
          <w:rFonts w:ascii="Arial" w:cs="Arial" w:eastAsia="Arial" w:hAnsi="Arial"/>
          <w:sz w:val="15"/>
          <w:szCs w:val="15"/>
          <w:color w:val="231F20"/>
        </w:rPr>
        <w:t>Regulatory</w:t>
      </w:r>
    </w:p>
    <w:p>
      <w:pPr>
        <w:spacing w:after="0" w:line="8" w:lineRule="exact"/>
        <w:rPr>
          <w:rFonts w:ascii="Times New Roman" w:cs="Times New Roman" w:eastAsia="Times New Roman" w:hAnsi="Times New Roman"/>
          <w:sz w:val="17"/>
          <w:szCs w:val="17"/>
          <w:color w:val="231F20"/>
        </w:rPr>
      </w:pPr>
    </w:p>
    <w:p>
      <w:pPr>
        <w:ind w:left="120" w:hanging="118"/>
        <w:spacing w:after="0"/>
        <w:tabs>
          <w:tab w:leader="none" w:pos="120" w:val="left"/>
        </w:tabs>
        <w:numPr>
          <w:ilvl w:val="0"/>
          <w:numId w:val="41"/>
        </w:numPr>
        <w:rPr>
          <w:rFonts w:ascii="Times New Roman" w:cs="Times New Roman" w:eastAsia="Times New Roman" w:hAnsi="Times New Roman"/>
          <w:sz w:val="17"/>
          <w:szCs w:val="17"/>
          <w:color w:val="231F20"/>
        </w:rPr>
      </w:pPr>
      <w:r>
        <w:rPr>
          <w:rFonts w:ascii="Arial" w:cs="Arial" w:eastAsia="Arial" w:hAnsi="Arial"/>
          <w:sz w:val="15"/>
          <w:szCs w:val="15"/>
          <w:color w:val="231F20"/>
        </w:rPr>
        <w:t>Financial</w:t>
      </w:r>
    </w:p>
    <w:p>
      <w:pPr>
        <w:spacing w:after="0" w:line="8" w:lineRule="exact"/>
        <w:rPr>
          <w:rFonts w:ascii="Times New Roman" w:cs="Times New Roman" w:eastAsia="Times New Roman" w:hAnsi="Times New Roman"/>
          <w:sz w:val="17"/>
          <w:szCs w:val="17"/>
          <w:color w:val="231F20"/>
        </w:rPr>
      </w:pPr>
    </w:p>
    <w:p>
      <w:pPr>
        <w:ind w:left="120" w:hanging="118"/>
        <w:spacing w:after="0"/>
        <w:tabs>
          <w:tab w:leader="none" w:pos="120" w:val="left"/>
        </w:tabs>
        <w:numPr>
          <w:ilvl w:val="0"/>
          <w:numId w:val="41"/>
        </w:numPr>
        <w:rPr>
          <w:rFonts w:ascii="Times New Roman" w:cs="Times New Roman" w:eastAsia="Times New Roman" w:hAnsi="Times New Roman"/>
          <w:sz w:val="17"/>
          <w:szCs w:val="17"/>
          <w:color w:val="231F20"/>
        </w:rPr>
      </w:pPr>
      <w:r>
        <w:rPr>
          <w:rFonts w:ascii="Arial" w:cs="Arial" w:eastAsia="Arial" w:hAnsi="Arial"/>
          <w:sz w:val="15"/>
          <w:szCs w:val="15"/>
          <w:color w:val="231F20"/>
        </w:rPr>
        <w:t>Leadership</w:t>
      </w:r>
    </w:p>
    <w:p>
      <w:pPr>
        <w:spacing w:after="0" w:line="8" w:lineRule="exact"/>
        <w:rPr>
          <w:rFonts w:ascii="Times New Roman" w:cs="Times New Roman" w:eastAsia="Times New Roman" w:hAnsi="Times New Roman"/>
          <w:sz w:val="17"/>
          <w:szCs w:val="17"/>
          <w:color w:val="231F20"/>
        </w:rPr>
      </w:pPr>
    </w:p>
    <w:p>
      <w:pPr>
        <w:ind w:left="120" w:hanging="118"/>
        <w:spacing w:after="0"/>
        <w:tabs>
          <w:tab w:leader="none" w:pos="120" w:val="left"/>
        </w:tabs>
        <w:numPr>
          <w:ilvl w:val="0"/>
          <w:numId w:val="41"/>
        </w:numPr>
        <w:rPr>
          <w:rFonts w:ascii="Times New Roman" w:cs="Times New Roman" w:eastAsia="Times New Roman" w:hAnsi="Times New Roman"/>
          <w:sz w:val="17"/>
          <w:szCs w:val="17"/>
          <w:color w:val="231F20"/>
        </w:rPr>
      </w:pPr>
      <w:r>
        <w:rPr>
          <w:rFonts w:ascii="Arial" w:cs="Arial" w:eastAsia="Arial" w:hAnsi="Arial"/>
          <w:sz w:val="15"/>
          <w:szCs w:val="15"/>
          <w:color w:val="231F20"/>
        </w:rPr>
        <w:t>Mergers &amp; Acquisitions</w:t>
      </w:r>
    </w:p>
    <w:p>
      <w:pPr>
        <w:spacing w:after="0" w:line="8" w:lineRule="exact"/>
        <w:rPr>
          <w:rFonts w:ascii="Times New Roman" w:cs="Times New Roman" w:eastAsia="Times New Roman" w:hAnsi="Times New Roman"/>
          <w:sz w:val="17"/>
          <w:szCs w:val="17"/>
          <w:color w:val="231F20"/>
        </w:rPr>
      </w:pPr>
    </w:p>
    <w:p>
      <w:pPr>
        <w:ind w:left="120" w:hanging="118"/>
        <w:spacing w:after="0"/>
        <w:tabs>
          <w:tab w:leader="none" w:pos="120" w:val="left"/>
        </w:tabs>
        <w:numPr>
          <w:ilvl w:val="0"/>
          <w:numId w:val="41"/>
        </w:numPr>
        <w:rPr>
          <w:rFonts w:ascii="Times New Roman" w:cs="Times New Roman" w:eastAsia="Times New Roman" w:hAnsi="Times New Roman"/>
          <w:sz w:val="17"/>
          <w:szCs w:val="17"/>
          <w:color w:val="231F20"/>
        </w:rPr>
      </w:pPr>
      <w:r>
        <w:rPr>
          <w:rFonts w:ascii="Arial" w:cs="Arial" w:eastAsia="Arial" w:hAnsi="Arial"/>
          <w:sz w:val="15"/>
          <w:szCs w:val="15"/>
          <w:color w:val="231F20"/>
        </w:rPr>
        <w:t>Geographic Diversity</w:t>
      </w:r>
    </w:p>
    <w:p>
      <w:pPr>
        <w:spacing w:after="0" w:line="8" w:lineRule="exact"/>
        <w:rPr>
          <w:rFonts w:ascii="Times New Roman" w:cs="Times New Roman" w:eastAsia="Times New Roman" w:hAnsi="Times New Roman"/>
          <w:sz w:val="17"/>
          <w:szCs w:val="17"/>
          <w:color w:val="231F20"/>
        </w:rPr>
      </w:pPr>
    </w:p>
    <w:p>
      <w:pPr>
        <w:ind w:left="120" w:hanging="118"/>
        <w:spacing w:after="0"/>
        <w:tabs>
          <w:tab w:leader="none" w:pos="120" w:val="left"/>
        </w:tabs>
        <w:numPr>
          <w:ilvl w:val="0"/>
          <w:numId w:val="41"/>
        </w:numPr>
        <w:rPr>
          <w:rFonts w:ascii="Times New Roman" w:cs="Times New Roman" w:eastAsia="Times New Roman" w:hAnsi="Times New Roman"/>
          <w:sz w:val="17"/>
          <w:szCs w:val="17"/>
          <w:color w:val="231F20"/>
        </w:rPr>
      </w:pPr>
      <w:r>
        <w:rPr>
          <w:rFonts w:ascii="Arial" w:cs="Arial" w:eastAsia="Arial" w:hAnsi="Arial"/>
          <w:sz w:val="15"/>
          <w:szCs w:val="15"/>
          <w:color w:val="231F20"/>
        </w:rPr>
        <w:t>C-Suite Experience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5"/>
          <w:szCs w:val="15"/>
          <w:b w:val="1"/>
          <w:bCs w:val="1"/>
          <w:color w:val="455986"/>
        </w:rPr>
        <w:t>Qualifications:</w:t>
      </w:r>
    </w:p>
    <w:p>
      <w:pPr>
        <w:spacing w:after="0" w:line="204" w:lineRule="exact"/>
        <w:rPr>
          <w:sz w:val="20"/>
          <w:szCs w:val="20"/>
          <w:color w:val="auto"/>
        </w:rPr>
      </w:pPr>
    </w:p>
    <w:p>
      <w:pPr>
        <w:spacing w:after="0" w:line="237" w:lineRule="auto"/>
        <w:rPr>
          <w:sz w:val="20"/>
          <w:szCs w:val="20"/>
          <w:color w:val="auto"/>
        </w:rPr>
      </w:pPr>
      <w:r>
        <w:rPr>
          <w:rFonts w:ascii="Arial" w:cs="Arial" w:eastAsia="Arial" w:hAnsi="Arial"/>
          <w:sz w:val="14"/>
          <w:szCs w:val="14"/>
          <w:color w:val="231F20"/>
        </w:rPr>
        <w:t>Mr. Stewart has over 25 years of experience as an investment banker and over 25 years of experience as a director of a public company. Mr. Stewart possesses significant experience with financial services, finance and banking, public Company accounting and financial reporting, strategic planning, operations and risk management, and corporate governance. The Board of Directors has determined that Mr. Stewart is an independent director. The Board of Directors views Mr. Stewart’s independence and his experience as important qualifications, skills and experience supporting the Board of Directors’ conclusion that Mr. Stewart should serve as a director of the Company.</w:t>
      </w:r>
    </w:p>
    <w:p>
      <w:pPr>
        <w:spacing w:after="0" w:line="156" w:lineRule="exact"/>
        <w:rPr>
          <w:sz w:val="20"/>
          <w:szCs w:val="20"/>
          <w:color w:val="auto"/>
        </w:rPr>
      </w:pPr>
    </w:p>
    <w:p>
      <w:pPr>
        <w:spacing w:after="0"/>
        <w:rPr>
          <w:sz w:val="20"/>
          <w:szCs w:val="20"/>
          <w:color w:val="auto"/>
        </w:rPr>
      </w:pPr>
      <w:r>
        <w:rPr>
          <w:rFonts w:ascii="Arial" w:cs="Arial" w:eastAsia="Arial" w:hAnsi="Arial"/>
          <w:sz w:val="15"/>
          <w:szCs w:val="15"/>
          <w:b w:val="1"/>
          <w:bCs w:val="1"/>
          <w:color w:val="455986"/>
        </w:rPr>
        <w:t>Other current public company directorships (1).</w:t>
      </w:r>
    </w:p>
    <w:p>
      <w:pPr>
        <w:spacing w:after="0" w:line="29" w:lineRule="exact"/>
        <w:rPr>
          <w:sz w:val="20"/>
          <w:szCs w:val="20"/>
          <w:color w:val="auto"/>
        </w:rPr>
      </w:pPr>
    </w:p>
    <w:p>
      <w:pPr>
        <w:ind w:right="280"/>
        <w:spacing w:after="0" w:line="238" w:lineRule="auto"/>
        <w:rPr>
          <w:sz w:val="20"/>
          <w:szCs w:val="20"/>
          <w:color w:val="auto"/>
        </w:rPr>
      </w:pPr>
      <w:r>
        <w:rPr>
          <w:rFonts w:ascii="Arial" w:cs="Arial" w:eastAsia="Arial" w:hAnsi="Arial"/>
          <w:sz w:val="14"/>
          <w:szCs w:val="14"/>
          <w:color w:val="231F20"/>
        </w:rPr>
        <w:t>Currently serves on the board of P. H. Glatfelter Company, a New York Stock Exchange-listed global supplier of specialty papers and engineered materials.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-1433195</wp:posOffset>
            </wp:positionH>
            <wp:positionV relativeFrom="paragraph">
              <wp:posOffset>434340</wp:posOffset>
            </wp:positionV>
            <wp:extent cx="713994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9940" cy="8255"/>
                    </a:xfrm>
                    <a:prstGeom prst="rect">
                      <a:avLst/>
                    </a:prstGeom>
                    <a:noFill/>
                  </pic:spPr>
                </pic:pic>
              </a:graphicData>
            </a:graphic>
          </wp:anchor>
        </w:drawing>
      </w:r>
    </w:p>
    <w:p>
      <w:pPr>
        <w:spacing w:after="0" w:line="685" w:lineRule="exact"/>
        <w:rPr>
          <w:sz w:val="20"/>
          <w:szCs w:val="20"/>
          <w:color w:val="auto"/>
        </w:rPr>
      </w:pPr>
    </w:p>
    <w:p>
      <w:pPr>
        <w:sectPr>
          <w:pgSz w:w="11900" w:h="16838" w:orient="portrait"/>
          <w:cols w:equalWidth="0" w:num="2">
            <w:col w:w="1700" w:space="560"/>
            <w:col w:w="8960"/>
          </w:cols>
          <w:pgMar w:left="320" w:top="636" w:right="359" w:bottom="1440" w:gutter="0" w:footer="0" w:header="0"/>
          <w:type w:val="continuous"/>
        </w:sectPr>
      </w:pPr>
    </w:p>
    <w:p>
      <w:pPr>
        <w:spacing w:after="0" w:line="72" w:lineRule="exact"/>
        <w:rPr>
          <w:sz w:val="20"/>
          <w:szCs w:val="20"/>
          <w:color w:val="auto"/>
        </w:rPr>
      </w:pPr>
    </w:p>
    <w:tbl>
      <w:tblPr>
        <w:tblLayout w:type="fixed"/>
        <w:tblInd w:w="2260" w:type="dxa"/>
        <w:tblCellMar>
          <w:top w:w="0" w:type="dxa"/>
          <w:left w:w="0" w:type="dxa"/>
          <w:bottom w:w="0" w:type="dxa"/>
          <w:right w:w="0" w:type="dxa"/>
        </w:tblCellMar>
      </w:tblPr>
      <w:tr>
        <w:trPr>
          <w:trHeight w:val="310"/>
        </w:trPr>
        <w:tc>
          <w:tcPr>
            <w:tcW w:w="4360" w:type="dxa"/>
            <w:vAlign w:val="bottom"/>
            <w:gridSpan w:val="2"/>
          </w:tcPr>
          <w:p>
            <w:pPr>
              <w:spacing w:after="0"/>
              <w:rPr>
                <w:sz w:val="20"/>
                <w:szCs w:val="20"/>
                <w:color w:val="auto"/>
              </w:rPr>
            </w:pPr>
            <w:r>
              <w:rPr>
                <w:rFonts w:ascii="Arial" w:cs="Arial" w:eastAsia="Arial" w:hAnsi="Arial"/>
                <w:sz w:val="27"/>
                <w:szCs w:val="27"/>
                <w:b w:val="1"/>
                <w:bCs w:val="1"/>
                <w:color w:val="4395D4"/>
              </w:rPr>
              <w:t>Christopher C. Womack</w:t>
            </w:r>
          </w:p>
        </w:tc>
        <w:tc>
          <w:tcPr>
            <w:tcW w:w="4520" w:type="dxa"/>
            <w:vAlign w:val="bottom"/>
            <w:vMerge w:val="restart"/>
          </w:tcPr>
          <w:p>
            <w:pPr>
              <w:ind w:left="2380"/>
              <w:spacing w:after="0"/>
              <w:rPr>
                <w:sz w:val="20"/>
                <w:szCs w:val="20"/>
                <w:color w:val="auto"/>
              </w:rPr>
            </w:pPr>
            <w:r>
              <w:rPr>
                <w:rFonts w:ascii="Arial" w:cs="Arial" w:eastAsia="Arial" w:hAnsi="Arial"/>
                <w:sz w:val="15"/>
                <w:szCs w:val="15"/>
                <w:color w:val="231F20"/>
              </w:rPr>
              <w:t xml:space="preserve">Director since </w:t>
            </w:r>
            <w:r>
              <w:rPr>
                <w:rFonts w:ascii="Arial" w:cs="Arial" w:eastAsia="Arial" w:hAnsi="Arial"/>
                <w:sz w:val="15"/>
                <w:szCs w:val="15"/>
                <w:b w:val="1"/>
                <w:bCs w:val="1"/>
                <w:color w:val="4395D4"/>
              </w:rPr>
              <w:t>2019</w:t>
            </w:r>
          </w:p>
        </w:tc>
        <w:tc>
          <w:tcPr>
            <w:tcW w:w="0" w:type="dxa"/>
            <w:vAlign w:val="bottom"/>
          </w:tcPr>
          <w:p>
            <w:pPr>
              <w:spacing w:after="0"/>
              <w:rPr>
                <w:sz w:val="1"/>
                <w:szCs w:val="1"/>
                <w:color w:val="auto"/>
              </w:rPr>
            </w:pPr>
          </w:p>
        </w:tc>
      </w:tr>
      <w:tr>
        <w:trPr>
          <w:trHeight w:val="46"/>
        </w:trPr>
        <w:tc>
          <w:tcPr>
            <w:tcW w:w="80" w:type="dxa"/>
            <w:vAlign w:val="bottom"/>
          </w:tcPr>
          <w:p>
            <w:pPr>
              <w:spacing w:after="0"/>
              <w:rPr>
                <w:sz w:val="3"/>
                <w:szCs w:val="3"/>
                <w:color w:val="auto"/>
              </w:rPr>
            </w:pPr>
          </w:p>
        </w:tc>
        <w:tc>
          <w:tcPr>
            <w:tcW w:w="4280" w:type="dxa"/>
            <w:vAlign w:val="bottom"/>
          </w:tcPr>
          <w:p>
            <w:pPr>
              <w:spacing w:after="0"/>
              <w:rPr>
                <w:sz w:val="3"/>
                <w:szCs w:val="3"/>
                <w:color w:val="auto"/>
              </w:rPr>
            </w:pPr>
          </w:p>
        </w:tc>
        <w:tc>
          <w:tcPr>
            <w:tcW w:w="452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15"/>
        </w:trPr>
        <w:tc>
          <w:tcPr>
            <w:tcW w:w="4360" w:type="dxa"/>
            <w:vAlign w:val="bottom"/>
            <w:gridSpan w:val="2"/>
            <w:vMerge w:val="restart"/>
          </w:tcPr>
          <w:p>
            <w:pPr>
              <w:spacing w:after="0"/>
              <w:rPr>
                <w:sz w:val="20"/>
                <w:szCs w:val="20"/>
                <w:color w:val="auto"/>
              </w:rPr>
            </w:pPr>
            <w:r>
              <w:rPr>
                <w:rFonts w:ascii="Arial" w:cs="Arial" w:eastAsia="Arial" w:hAnsi="Arial"/>
                <w:sz w:val="14"/>
                <w:szCs w:val="14"/>
                <w:color w:val="231F20"/>
              </w:rPr>
              <w:t>President, Georgia Power</w:t>
            </w:r>
          </w:p>
        </w:tc>
        <w:tc>
          <w:tcPr>
            <w:tcW w:w="4520" w:type="dxa"/>
            <w:vAlign w:val="bottom"/>
          </w:tcPr>
          <w:p>
            <w:pPr>
              <w:ind w:left="2380"/>
              <w:spacing w:after="0"/>
              <w:rPr>
                <w:sz w:val="20"/>
                <w:szCs w:val="20"/>
                <w:color w:val="auto"/>
              </w:rPr>
            </w:pPr>
            <w:r>
              <w:rPr>
                <w:rFonts w:ascii="Arial" w:cs="Arial" w:eastAsia="Arial" w:hAnsi="Arial"/>
                <w:sz w:val="15"/>
                <w:szCs w:val="15"/>
                <w:color w:val="231F20"/>
              </w:rPr>
              <w:t xml:space="preserve">Age </w:t>
            </w:r>
            <w:r>
              <w:rPr>
                <w:rFonts w:ascii="Arial" w:cs="Arial" w:eastAsia="Arial" w:hAnsi="Arial"/>
                <w:sz w:val="15"/>
                <w:szCs w:val="15"/>
                <w:b w:val="1"/>
                <w:bCs w:val="1"/>
                <w:color w:val="4395D4"/>
              </w:rPr>
              <w:t>63</w:t>
            </w:r>
          </w:p>
        </w:tc>
        <w:tc>
          <w:tcPr>
            <w:tcW w:w="0" w:type="dxa"/>
            <w:vAlign w:val="bottom"/>
          </w:tcPr>
          <w:p>
            <w:pPr>
              <w:spacing w:after="0"/>
              <w:rPr>
                <w:sz w:val="1"/>
                <w:szCs w:val="1"/>
                <w:color w:val="auto"/>
              </w:rPr>
            </w:pPr>
          </w:p>
        </w:tc>
      </w:tr>
      <w:tr>
        <w:trPr>
          <w:trHeight w:val="90"/>
        </w:trPr>
        <w:tc>
          <w:tcPr>
            <w:tcW w:w="4360" w:type="dxa"/>
            <w:vAlign w:val="bottom"/>
            <w:gridSpan w:val="2"/>
            <w:vMerge w:val="continue"/>
          </w:tcPr>
          <w:p>
            <w:pPr>
              <w:spacing w:after="0"/>
              <w:rPr>
                <w:sz w:val="7"/>
                <w:szCs w:val="7"/>
                <w:color w:val="auto"/>
              </w:rPr>
            </w:pPr>
          </w:p>
        </w:tc>
        <w:tc>
          <w:tcPr>
            <w:tcW w:w="4520" w:type="dxa"/>
            <w:vAlign w:val="bottom"/>
            <w:vMerge w:val="restart"/>
          </w:tcPr>
          <w:p>
            <w:pPr>
              <w:ind w:left="2380"/>
              <w:spacing w:after="0"/>
              <w:rPr>
                <w:sz w:val="20"/>
                <w:szCs w:val="20"/>
                <w:color w:val="auto"/>
              </w:rPr>
            </w:pPr>
            <w:r>
              <w:rPr>
                <w:rFonts w:ascii="Arial" w:cs="Arial" w:eastAsia="Arial" w:hAnsi="Arial"/>
                <w:sz w:val="15"/>
                <w:szCs w:val="15"/>
                <w:b w:val="1"/>
                <w:bCs w:val="1"/>
                <w:color w:val="4395D4"/>
              </w:rPr>
              <w:t>Independent Director</w:t>
            </w:r>
          </w:p>
        </w:tc>
        <w:tc>
          <w:tcPr>
            <w:tcW w:w="0" w:type="dxa"/>
            <w:vAlign w:val="bottom"/>
          </w:tcPr>
          <w:p>
            <w:pPr>
              <w:spacing w:after="0"/>
              <w:rPr>
                <w:sz w:val="1"/>
                <w:szCs w:val="1"/>
                <w:color w:val="auto"/>
              </w:rPr>
            </w:pPr>
          </w:p>
        </w:tc>
      </w:tr>
      <w:tr>
        <w:trPr>
          <w:trHeight w:val="127"/>
        </w:trPr>
        <w:tc>
          <w:tcPr>
            <w:tcW w:w="80" w:type="dxa"/>
            <w:vAlign w:val="bottom"/>
          </w:tcPr>
          <w:p>
            <w:pPr>
              <w:spacing w:after="0"/>
              <w:rPr>
                <w:sz w:val="11"/>
                <w:szCs w:val="11"/>
                <w:color w:val="auto"/>
              </w:rPr>
            </w:pPr>
          </w:p>
        </w:tc>
        <w:tc>
          <w:tcPr>
            <w:tcW w:w="4280" w:type="dxa"/>
            <w:vAlign w:val="bottom"/>
          </w:tcPr>
          <w:p>
            <w:pPr>
              <w:spacing w:after="0"/>
              <w:rPr>
                <w:sz w:val="11"/>
                <w:szCs w:val="11"/>
                <w:color w:val="auto"/>
              </w:rPr>
            </w:pPr>
          </w:p>
        </w:tc>
        <w:tc>
          <w:tcPr>
            <w:tcW w:w="45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459"/>
        </w:trPr>
        <w:tc>
          <w:tcPr>
            <w:tcW w:w="4360" w:type="dxa"/>
            <w:vAlign w:val="bottom"/>
            <w:gridSpan w:val="2"/>
          </w:tcPr>
          <w:p>
            <w:pPr>
              <w:spacing w:after="0"/>
              <w:rPr>
                <w:sz w:val="20"/>
                <w:szCs w:val="20"/>
                <w:color w:val="auto"/>
              </w:rPr>
            </w:pPr>
            <w:r>
              <w:rPr>
                <w:rFonts w:ascii="Arial" w:cs="Arial" w:eastAsia="Arial" w:hAnsi="Arial"/>
                <w:sz w:val="15"/>
                <w:szCs w:val="15"/>
                <w:b w:val="1"/>
                <w:bCs w:val="1"/>
                <w:color w:val="455986"/>
              </w:rPr>
              <w:t>Experience</w:t>
            </w:r>
          </w:p>
        </w:tc>
        <w:tc>
          <w:tcPr>
            <w:tcW w:w="4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80" w:type="dxa"/>
            <w:vAlign w:val="bottom"/>
          </w:tcPr>
          <w:p>
            <w:pPr>
              <w:spacing w:after="0"/>
              <w:rPr>
                <w:sz w:val="20"/>
                <w:szCs w:val="20"/>
                <w:color w:val="auto"/>
              </w:rPr>
            </w:pPr>
            <w:r>
              <w:rPr>
                <w:rFonts w:ascii="Times New Roman" w:cs="Times New Roman" w:eastAsia="Times New Roman" w:hAnsi="Times New Roman"/>
                <w:sz w:val="17"/>
                <w:szCs w:val="17"/>
                <w:color w:val="4395D4"/>
              </w:rPr>
              <w:t>·</w:t>
            </w:r>
          </w:p>
        </w:tc>
        <w:tc>
          <w:tcPr>
            <w:tcW w:w="4280" w:type="dxa"/>
            <w:vAlign w:val="bottom"/>
          </w:tcPr>
          <w:p>
            <w:pPr>
              <w:ind w:left="40"/>
              <w:spacing w:after="0"/>
              <w:rPr>
                <w:sz w:val="20"/>
                <w:szCs w:val="20"/>
                <w:color w:val="auto"/>
              </w:rPr>
            </w:pPr>
            <w:r>
              <w:rPr>
                <w:rFonts w:ascii="Arial" w:cs="Arial" w:eastAsia="Arial" w:hAnsi="Arial"/>
                <w:sz w:val="14"/>
                <w:szCs w:val="14"/>
                <w:color w:val="231F20"/>
                <w:w w:val="99"/>
              </w:rPr>
              <w:t>President, Georgia Power, a leading American gas and electric utility</w:t>
            </w:r>
          </w:p>
        </w:tc>
        <w:tc>
          <w:tcPr>
            <w:tcW w:w="4520" w:type="dxa"/>
            <w:vAlign w:val="bottom"/>
          </w:tcPr>
          <w:p>
            <w:pPr>
              <w:ind w:left="300"/>
              <w:spacing w:after="0"/>
              <w:rPr>
                <w:sz w:val="20"/>
                <w:szCs w:val="20"/>
                <w:color w:val="auto"/>
              </w:rPr>
            </w:pPr>
            <w:r>
              <w:rPr>
                <w:rFonts w:ascii="Arial" w:cs="Arial" w:eastAsia="Arial" w:hAnsi="Arial"/>
                <w:sz w:val="14"/>
                <w:szCs w:val="14"/>
                <w:color w:val="231F20"/>
              </w:rPr>
              <w:t>Company from 2006 to 2008; Senior Vice President, Fossil &amp; Hydro</w:t>
            </w:r>
          </w:p>
        </w:tc>
        <w:tc>
          <w:tcPr>
            <w:tcW w:w="0" w:type="dxa"/>
            <w:vAlign w:val="bottom"/>
          </w:tcPr>
          <w:p>
            <w:pPr>
              <w:spacing w:after="0"/>
              <w:rPr>
                <w:sz w:val="1"/>
                <w:szCs w:val="1"/>
                <w:color w:val="auto"/>
              </w:rPr>
            </w:pPr>
          </w:p>
        </w:tc>
      </w:tr>
      <w:tr>
        <w:trPr>
          <w:trHeight w:val="167"/>
        </w:trPr>
        <w:tc>
          <w:tcPr>
            <w:tcW w:w="80" w:type="dxa"/>
            <w:vAlign w:val="bottom"/>
            <w:vMerge w:val="restart"/>
          </w:tcPr>
          <w:p>
            <w:pPr>
              <w:spacing w:after="0"/>
              <w:rPr>
                <w:sz w:val="20"/>
                <w:szCs w:val="20"/>
                <w:color w:val="auto"/>
              </w:rPr>
            </w:pPr>
            <w:r>
              <w:rPr>
                <w:rFonts w:ascii="Times New Roman" w:cs="Times New Roman" w:eastAsia="Times New Roman" w:hAnsi="Times New Roman"/>
                <w:sz w:val="17"/>
                <w:szCs w:val="17"/>
                <w:color w:val="4395D4"/>
              </w:rPr>
              <w:t>·</w:t>
            </w:r>
          </w:p>
        </w:tc>
        <w:tc>
          <w:tcPr>
            <w:tcW w:w="4280" w:type="dxa"/>
            <w:vAlign w:val="bottom"/>
          </w:tcPr>
          <w:p>
            <w:pPr>
              <w:ind w:left="100"/>
              <w:spacing w:after="0"/>
              <w:rPr>
                <w:sz w:val="20"/>
                <w:szCs w:val="20"/>
                <w:color w:val="auto"/>
              </w:rPr>
            </w:pPr>
            <w:r>
              <w:rPr>
                <w:rFonts w:ascii="Arial" w:cs="Arial" w:eastAsia="Arial" w:hAnsi="Arial"/>
                <w:sz w:val="14"/>
                <w:szCs w:val="14"/>
                <w:color w:val="231F20"/>
              </w:rPr>
              <w:t>holding company based in Atlanta, Georgia, 2020 to present.</w:t>
            </w:r>
          </w:p>
        </w:tc>
        <w:tc>
          <w:tcPr>
            <w:tcW w:w="4520" w:type="dxa"/>
            <w:vAlign w:val="bottom"/>
          </w:tcPr>
          <w:p>
            <w:pPr>
              <w:ind w:left="300"/>
              <w:spacing w:after="0"/>
              <w:rPr>
                <w:sz w:val="20"/>
                <w:szCs w:val="20"/>
                <w:color w:val="auto"/>
              </w:rPr>
            </w:pPr>
            <w:r>
              <w:rPr>
                <w:rFonts w:ascii="Arial" w:cs="Arial" w:eastAsia="Arial" w:hAnsi="Arial"/>
                <w:sz w:val="14"/>
                <w:szCs w:val="14"/>
                <w:color w:val="231F20"/>
                <w:w w:val="97"/>
              </w:rPr>
              <w:t>Power, Georgia Power Company from 2001 to 2006; and Senior Vice</w:t>
            </w:r>
          </w:p>
        </w:tc>
        <w:tc>
          <w:tcPr>
            <w:tcW w:w="0" w:type="dxa"/>
            <w:vAlign w:val="bottom"/>
          </w:tcPr>
          <w:p>
            <w:pPr>
              <w:spacing w:after="0"/>
              <w:rPr>
                <w:sz w:val="1"/>
                <w:szCs w:val="1"/>
                <w:color w:val="auto"/>
              </w:rPr>
            </w:pPr>
          </w:p>
        </w:tc>
      </w:tr>
      <w:tr>
        <w:trPr>
          <w:trHeight w:val="148"/>
        </w:trPr>
        <w:tc>
          <w:tcPr>
            <w:tcW w:w="80" w:type="dxa"/>
            <w:vAlign w:val="bottom"/>
            <w:vMerge w:val="continue"/>
          </w:tcPr>
          <w:p>
            <w:pPr>
              <w:spacing w:after="0"/>
              <w:rPr>
                <w:sz w:val="12"/>
                <w:szCs w:val="12"/>
                <w:color w:val="auto"/>
              </w:rPr>
            </w:pPr>
          </w:p>
        </w:tc>
        <w:tc>
          <w:tcPr>
            <w:tcW w:w="4280" w:type="dxa"/>
            <w:vAlign w:val="bottom"/>
          </w:tcPr>
          <w:p>
            <w:pPr>
              <w:ind w:left="40"/>
              <w:spacing w:after="0" w:line="148" w:lineRule="exact"/>
              <w:rPr>
                <w:sz w:val="20"/>
                <w:szCs w:val="20"/>
                <w:color w:val="auto"/>
              </w:rPr>
            </w:pPr>
            <w:r>
              <w:rPr>
                <w:rFonts w:ascii="Arial" w:cs="Arial" w:eastAsia="Arial" w:hAnsi="Arial"/>
                <w:sz w:val="14"/>
                <w:szCs w:val="14"/>
                <w:color w:val="231F20"/>
              </w:rPr>
              <w:t>He worked in various executive leadership positions at Southern</w:t>
            </w:r>
          </w:p>
        </w:tc>
        <w:tc>
          <w:tcPr>
            <w:tcW w:w="4520" w:type="dxa"/>
            <w:vAlign w:val="bottom"/>
          </w:tcPr>
          <w:p>
            <w:pPr>
              <w:ind w:left="300"/>
              <w:spacing w:after="0" w:line="148" w:lineRule="exact"/>
              <w:rPr>
                <w:sz w:val="20"/>
                <w:szCs w:val="20"/>
                <w:color w:val="auto"/>
              </w:rPr>
            </w:pPr>
            <w:r>
              <w:rPr>
                <w:rFonts w:ascii="Arial" w:cs="Arial" w:eastAsia="Arial" w:hAnsi="Arial"/>
                <w:sz w:val="14"/>
                <w:szCs w:val="14"/>
                <w:color w:val="231F20"/>
              </w:rPr>
              <w:t>President, Human Resources from 1998 to 2001.</w:t>
            </w:r>
          </w:p>
        </w:tc>
        <w:tc>
          <w:tcPr>
            <w:tcW w:w="0" w:type="dxa"/>
            <w:vAlign w:val="bottom"/>
          </w:tcPr>
          <w:p>
            <w:pPr>
              <w:spacing w:after="0"/>
              <w:rPr>
                <w:sz w:val="1"/>
                <w:szCs w:val="1"/>
                <w:color w:val="auto"/>
              </w:rPr>
            </w:pPr>
          </w:p>
        </w:tc>
      </w:tr>
      <w:tr>
        <w:trPr>
          <w:trHeight w:val="184"/>
        </w:trPr>
        <w:tc>
          <w:tcPr>
            <w:tcW w:w="80" w:type="dxa"/>
            <w:vAlign w:val="bottom"/>
          </w:tcPr>
          <w:p>
            <w:pPr>
              <w:spacing w:after="0"/>
              <w:rPr>
                <w:sz w:val="15"/>
                <w:szCs w:val="15"/>
                <w:color w:val="auto"/>
              </w:rPr>
            </w:pPr>
          </w:p>
        </w:tc>
        <w:tc>
          <w:tcPr>
            <w:tcW w:w="4280" w:type="dxa"/>
            <w:vAlign w:val="bottom"/>
          </w:tcPr>
          <w:p>
            <w:pPr>
              <w:ind w:left="100"/>
              <w:spacing w:after="0"/>
              <w:rPr>
                <w:sz w:val="20"/>
                <w:szCs w:val="20"/>
                <w:color w:val="auto"/>
              </w:rPr>
            </w:pPr>
            <w:r>
              <w:rPr>
                <w:rFonts w:ascii="Arial" w:cs="Arial" w:eastAsia="Arial" w:hAnsi="Arial"/>
                <w:sz w:val="14"/>
                <w:szCs w:val="14"/>
                <w:color w:val="231F20"/>
              </w:rPr>
              <w:t>Company since 1988, including President of External Affairs and</w:t>
            </w:r>
          </w:p>
        </w:tc>
        <w:tc>
          <w:tcPr>
            <w:tcW w:w="4520" w:type="dxa"/>
            <w:vAlign w:val="bottom"/>
          </w:tcPr>
          <w:p>
            <w:pPr>
              <w:ind w:left="140"/>
              <w:spacing w:after="0" w:line="184" w:lineRule="exact"/>
              <w:rPr>
                <w:sz w:val="20"/>
                <w:szCs w:val="20"/>
                <w:color w:val="auto"/>
              </w:rPr>
            </w:pPr>
            <w:r>
              <w:rPr>
                <w:rFonts w:ascii="Times New Roman" w:cs="Times New Roman" w:eastAsia="Times New Roman" w:hAnsi="Times New Roman"/>
                <w:sz w:val="17"/>
                <w:szCs w:val="17"/>
                <w:color w:val="4395D4"/>
              </w:rPr>
              <w:t xml:space="preserve">· </w:t>
            </w:r>
            <w:r>
              <w:rPr>
                <w:rFonts w:ascii="Arial" w:cs="Arial" w:eastAsia="Arial" w:hAnsi="Arial"/>
                <w:sz w:val="13"/>
                <w:szCs w:val="13"/>
                <w:color w:val="231F20"/>
              </w:rPr>
              <w:t>From 1979 to 1987 he served as a legislative aide in the U.S. House of</w:t>
            </w:r>
          </w:p>
        </w:tc>
        <w:tc>
          <w:tcPr>
            <w:tcW w:w="0" w:type="dxa"/>
            <w:vAlign w:val="bottom"/>
          </w:tcPr>
          <w:p>
            <w:pPr>
              <w:spacing w:after="0"/>
              <w:rPr>
                <w:sz w:val="1"/>
                <w:szCs w:val="1"/>
                <w:color w:val="auto"/>
              </w:rPr>
            </w:pPr>
          </w:p>
        </w:tc>
      </w:tr>
      <w:tr>
        <w:trPr>
          <w:trHeight w:val="209"/>
        </w:trPr>
        <w:tc>
          <w:tcPr>
            <w:tcW w:w="80" w:type="dxa"/>
            <w:vAlign w:val="bottom"/>
          </w:tcPr>
          <w:p>
            <w:pPr>
              <w:spacing w:after="0"/>
              <w:rPr>
                <w:sz w:val="18"/>
                <w:szCs w:val="18"/>
                <w:color w:val="auto"/>
              </w:rPr>
            </w:pPr>
          </w:p>
        </w:tc>
        <w:tc>
          <w:tcPr>
            <w:tcW w:w="4280" w:type="dxa"/>
            <w:vAlign w:val="bottom"/>
          </w:tcPr>
          <w:p>
            <w:pPr>
              <w:ind w:left="100"/>
              <w:spacing w:after="0"/>
              <w:rPr>
                <w:sz w:val="20"/>
                <w:szCs w:val="20"/>
                <w:color w:val="auto"/>
              </w:rPr>
            </w:pPr>
            <w:r>
              <w:rPr>
                <w:rFonts w:ascii="Arial" w:cs="Arial" w:eastAsia="Arial" w:hAnsi="Arial"/>
                <w:sz w:val="14"/>
                <w:szCs w:val="14"/>
                <w:color w:val="231F20"/>
              </w:rPr>
              <w:t>Executive Vice President, Georgia Power</w:t>
            </w:r>
          </w:p>
        </w:tc>
        <w:tc>
          <w:tcPr>
            <w:tcW w:w="4520" w:type="dxa"/>
            <w:vAlign w:val="bottom"/>
          </w:tcPr>
          <w:p>
            <w:pPr>
              <w:ind w:left="300"/>
              <w:spacing w:after="0"/>
              <w:rPr>
                <w:sz w:val="20"/>
                <w:szCs w:val="20"/>
                <w:color w:val="auto"/>
              </w:rPr>
            </w:pPr>
            <w:r>
              <w:rPr>
                <w:rFonts w:ascii="Arial" w:cs="Arial" w:eastAsia="Arial" w:hAnsi="Arial"/>
                <w:sz w:val="14"/>
                <w:szCs w:val="14"/>
                <w:color w:val="231F20"/>
              </w:rPr>
              <w:t>Representatives.</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-1299845</wp:posOffset>
            </wp:positionV>
            <wp:extent cx="1029335" cy="120777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1029335" cy="1207770"/>
                    </a:xfrm>
                    <a:prstGeom prst="rect">
                      <a:avLst/>
                    </a:prstGeom>
                    <a:noFill/>
                  </pic:spPr>
                </pic:pic>
              </a:graphicData>
            </a:graphic>
          </wp:anchor>
        </w:drawing>
      </w:r>
    </w:p>
    <w:p>
      <w:pPr>
        <w:sectPr>
          <w:pgSz w:w="11900" w:h="16838" w:orient="portrait"/>
          <w:cols w:equalWidth="0" w:num="1">
            <w:col w:w="11220"/>
          </w:cols>
          <w:pgMar w:left="320" w:top="636" w:right="359" w:bottom="1440" w:gutter="0" w:footer="0" w:header="0"/>
          <w:type w:val="continuous"/>
        </w:sectPr>
      </w:pPr>
    </w:p>
    <w:p>
      <w:pPr>
        <w:spacing w:after="0" w:line="14" w:lineRule="exact"/>
        <w:rPr>
          <w:sz w:val="20"/>
          <w:szCs w:val="20"/>
          <w:color w:val="auto"/>
        </w:rPr>
      </w:pPr>
    </w:p>
    <w:p>
      <w:pPr>
        <w:spacing w:after="0"/>
        <w:rPr>
          <w:sz w:val="20"/>
          <w:szCs w:val="20"/>
          <w:color w:val="auto"/>
        </w:rPr>
      </w:pPr>
      <w:r>
        <w:rPr>
          <w:rFonts w:ascii="Arial" w:cs="Arial" w:eastAsia="Arial" w:hAnsi="Arial"/>
          <w:sz w:val="15"/>
          <w:szCs w:val="15"/>
          <w:b w:val="1"/>
          <w:bCs w:val="1"/>
          <w:color w:val="455986"/>
        </w:rPr>
        <w:t>Board Committees</w:t>
      </w:r>
    </w:p>
    <w:p>
      <w:pPr>
        <w:spacing w:after="0" w:line="26" w:lineRule="exact"/>
        <w:rPr>
          <w:sz w:val="20"/>
          <w:szCs w:val="20"/>
          <w:color w:val="auto"/>
        </w:rPr>
      </w:pPr>
    </w:p>
    <w:p>
      <w:pPr>
        <w:ind w:left="180" w:right="480" w:hanging="178"/>
        <w:spacing w:after="0" w:line="255" w:lineRule="auto"/>
        <w:tabs>
          <w:tab w:leader="none" w:pos="138" w:val="left"/>
        </w:tabs>
        <w:numPr>
          <w:ilvl w:val="0"/>
          <w:numId w:val="42"/>
        </w:numPr>
        <w:rPr>
          <w:rFonts w:ascii="Times New Roman" w:cs="Times New Roman" w:eastAsia="Times New Roman" w:hAnsi="Times New Roman"/>
          <w:sz w:val="17"/>
          <w:szCs w:val="17"/>
          <w:color w:val="231F20"/>
        </w:rPr>
      </w:pPr>
      <w:r>
        <w:rPr>
          <w:rFonts w:ascii="Arial" w:cs="Arial" w:eastAsia="Arial" w:hAnsi="Arial"/>
          <w:sz w:val="15"/>
          <w:szCs w:val="15"/>
          <w:color w:val="231F20"/>
        </w:rPr>
        <w:t>Corporate Governance Committee</w:t>
      </w:r>
    </w:p>
    <w:p>
      <w:pPr>
        <w:ind w:left="180" w:hanging="178"/>
        <w:spacing w:after="0" w:line="260" w:lineRule="auto"/>
        <w:tabs>
          <w:tab w:leader="none" w:pos="138" w:val="left"/>
        </w:tabs>
        <w:numPr>
          <w:ilvl w:val="0"/>
          <w:numId w:val="42"/>
        </w:numPr>
        <w:rPr>
          <w:rFonts w:ascii="Times New Roman" w:cs="Times New Roman" w:eastAsia="Times New Roman" w:hAnsi="Times New Roman"/>
          <w:sz w:val="17"/>
          <w:szCs w:val="17"/>
          <w:color w:val="231F20"/>
        </w:rPr>
      </w:pPr>
      <w:r>
        <w:rPr>
          <w:rFonts w:ascii="Arial" w:cs="Arial" w:eastAsia="Arial" w:hAnsi="Arial"/>
          <w:sz w:val="15"/>
          <w:szCs w:val="15"/>
          <w:color w:val="231F20"/>
        </w:rPr>
        <w:t>Risk Mitigation and Investment Policy Committee</w:t>
      </w:r>
    </w:p>
    <w:p>
      <w:pPr>
        <w:spacing w:after="0" w:line="148" w:lineRule="exact"/>
        <w:rPr>
          <w:sz w:val="20"/>
          <w:szCs w:val="20"/>
          <w:color w:val="auto"/>
        </w:rPr>
      </w:pPr>
    </w:p>
    <w:p>
      <w:pPr>
        <w:spacing w:after="0"/>
        <w:rPr>
          <w:sz w:val="20"/>
          <w:szCs w:val="20"/>
          <w:color w:val="auto"/>
        </w:rPr>
      </w:pPr>
      <w:r>
        <w:rPr>
          <w:rFonts w:ascii="Arial" w:cs="Arial" w:eastAsia="Arial" w:hAnsi="Arial"/>
          <w:sz w:val="15"/>
          <w:szCs w:val="15"/>
          <w:b w:val="1"/>
          <w:bCs w:val="1"/>
          <w:color w:val="455986"/>
        </w:rPr>
        <w:t>Key Skills</w:t>
      </w:r>
    </w:p>
    <w:p>
      <w:pPr>
        <w:spacing w:after="0" w:line="26" w:lineRule="exact"/>
        <w:rPr>
          <w:sz w:val="20"/>
          <w:szCs w:val="20"/>
          <w:color w:val="auto"/>
        </w:rPr>
      </w:pPr>
    </w:p>
    <w:p>
      <w:pPr>
        <w:ind w:left="120" w:hanging="118"/>
        <w:spacing w:after="0"/>
        <w:tabs>
          <w:tab w:leader="none" w:pos="120" w:val="left"/>
        </w:tabs>
        <w:numPr>
          <w:ilvl w:val="0"/>
          <w:numId w:val="43"/>
        </w:numPr>
        <w:rPr>
          <w:rFonts w:ascii="Times New Roman" w:cs="Times New Roman" w:eastAsia="Times New Roman" w:hAnsi="Times New Roman"/>
          <w:sz w:val="17"/>
          <w:szCs w:val="17"/>
          <w:color w:val="231F20"/>
        </w:rPr>
      </w:pPr>
      <w:r>
        <w:rPr>
          <w:rFonts w:ascii="Arial" w:cs="Arial" w:eastAsia="Arial" w:hAnsi="Arial"/>
          <w:sz w:val="15"/>
          <w:szCs w:val="15"/>
          <w:color w:val="231F20"/>
        </w:rPr>
        <w:t>Utility Industry</w:t>
      </w:r>
    </w:p>
    <w:p>
      <w:pPr>
        <w:spacing w:after="0" w:line="8" w:lineRule="exact"/>
        <w:rPr>
          <w:rFonts w:ascii="Times New Roman" w:cs="Times New Roman" w:eastAsia="Times New Roman" w:hAnsi="Times New Roman"/>
          <w:sz w:val="17"/>
          <w:szCs w:val="17"/>
          <w:color w:val="231F20"/>
        </w:rPr>
      </w:pPr>
    </w:p>
    <w:p>
      <w:pPr>
        <w:ind w:left="120" w:hanging="118"/>
        <w:spacing w:after="0"/>
        <w:tabs>
          <w:tab w:leader="none" w:pos="120" w:val="left"/>
        </w:tabs>
        <w:numPr>
          <w:ilvl w:val="0"/>
          <w:numId w:val="43"/>
        </w:numPr>
        <w:rPr>
          <w:rFonts w:ascii="Times New Roman" w:cs="Times New Roman" w:eastAsia="Times New Roman" w:hAnsi="Times New Roman"/>
          <w:sz w:val="17"/>
          <w:szCs w:val="17"/>
          <w:color w:val="231F20"/>
        </w:rPr>
      </w:pPr>
      <w:r>
        <w:rPr>
          <w:rFonts w:ascii="Arial" w:cs="Arial" w:eastAsia="Arial" w:hAnsi="Arial"/>
          <w:sz w:val="15"/>
          <w:szCs w:val="15"/>
          <w:color w:val="231F20"/>
        </w:rPr>
        <w:t>Regulatory</w:t>
      </w:r>
    </w:p>
    <w:p>
      <w:pPr>
        <w:spacing w:after="0" w:line="8" w:lineRule="exact"/>
        <w:rPr>
          <w:rFonts w:ascii="Times New Roman" w:cs="Times New Roman" w:eastAsia="Times New Roman" w:hAnsi="Times New Roman"/>
          <w:sz w:val="17"/>
          <w:szCs w:val="17"/>
          <w:color w:val="231F20"/>
        </w:rPr>
      </w:pPr>
    </w:p>
    <w:p>
      <w:pPr>
        <w:ind w:left="120" w:hanging="118"/>
        <w:spacing w:after="0"/>
        <w:tabs>
          <w:tab w:leader="none" w:pos="120" w:val="left"/>
        </w:tabs>
        <w:numPr>
          <w:ilvl w:val="0"/>
          <w:numId w:val="43"/>
        </w:numPr>
        <w:rPr>
          <w:rFonts w:ascii="Times New Roman" w:cs="Times New Roman" w:eastAsia="Times New Roman" w:hAnsi="Times New Roman"/>
          <w:sz w:val="17"/>
          <w:szCs w:val="17"/>
          <w:color w:val="231F20"/>
        </w:rPr>
      </w:pPr>
      <w:r>
        <w:rPr>
          <w:rFonts w:ascii="Arial" w:cs="Arial" w:eastAsia="Arial" w:hAnsi="Arial"/>
          <w:sz w:val="15"/>
          <w:szCs w:val="15"/>
          <w:color w:val="231F20"/>
        </w:rPr>
        <w:t>Legal/Government</w:t>
      </w:r>
    </w:p>
    <w:p>
      <w:pPr>
        <w:spacing w:after="0" w:line="8" w:lineRule="exact"/>
        <w:rPr>
          <w:rFonts w:ascii="Times New Roman" w:cs="Times New Roman" w:eastAsia="Times New Roman" w:hAnsi="Times New Roman"/>
          <w:sz w:val="17"/>
          <w:szCs w:val="17"/>
          <w:color w:val="231F20"/>
        </w:rPr>
      </w:pPr>
    </w:p>
    <w:p>
      <w:pPr>
        <w:ind w:left="120" w:hanging="118"/>
        <w:spacing w:after="0"/>
        <w:tabs>
          <w:tab w:leader="none" w:pos="120" w:val="left"/>
        </w:tabs>
        <w:numPr>
          <w:ilvl w:val="0"/>
          <w:numId w:val="43"/>
        </w:numPr>
        <w:rPr>
          <w:rFonts w:ascii="Times New Roman" w:cs="Times New Roman" w:eastAsia="Times New Roman" w:hAnsi="Times New Roman"/>
          <w:sz w:val="17"/>
          <w:szCs w:val="17"/>
          <w:color w:val="231F20"/>
        </w:rPr>
      </w:pPr>
      <w:r>
        <w:rPr>
          <w:rFonts w:ascii="Arial" w:cs="Arial" w:eastAsia="Arial" w:hAnsi="Arial"/>
          <w:sz w:val="15"/>
          <w:szCs w:val="15"/>
          <w:color w:val="231F20"/>
        </w:rPr>
        <w:t>Mergers &amp; Acquisitions</w:t>
      </w:r>
    </w:p>
    <w:p>
      <w:pPr>
        <w:spacing w:after="0" w:line="8" w:lineRule="exact"/>
        <w:rPr>
          <w:rFonts w:ascii="Times New Roman" w:cs="Times New Roman" w:eastAsia="Times New Roman" w:hAnsi="Times New Roman"/>
          <w:sz w:val="17"/>
          <w:szCs w:val="17"/>
          <w:color w:val="231F20"/>
        </w:rPr>
      </w:pPr>
    </w:p>
    <w:p>
      <w:pPr>
        <w:ind w:left="120" w:hanging="118"/>
        <w:spacing w:after="0"/>
        <w:tabs>
          <w:tab w:leader="none" w:pos="120" w:val="left"/>
        </w:tabs>
        <w:numPr>
          <w:ilvl w:val="0"/>
          <w:numId w:val="43"/>
        </w:numPr>
        <w:rPr>
          <w:rFonts w:ascii="Times New Roman" w:cs="Times New Roman" w:eastAsia="Times New Roman" w:hAnsi="Times New Roman"/>
          <w:sz w:val="17"/>
          <w:szCs w:val="17"/>
          <w:color w:val="231F20"/>
        </w:rPr>
      </w:pPr>
      <w:r>
        <w:rPr>
          <w:rFonts w:ascii="Arial" w:cs="Arial" w:eastAsia="Arial" w:hAnsi="Arial"/>
          <w:sz w:val="15"/>
          <w:szCs w:val="15"/>
          <w:color w:val="231F20"/>
        </w:rPr>
        <w:t>Leadership</w:t>
      </w:r>
    </w:p>
    <w:p>
      <w:pPr>
        <w:spacing w:after="0" w:line="8" w:lineRule="exact"/>
        <w:rPr>
          <w:rFonts w:ascii="Times New Roman" w:cs="Times New Roman" w:eastAsia="Times New Roman" w:hAnsi="Times New Roman"/>
          <w:sz w:val="17"/>
          <w:szCs w:val="17"/>
          <w:color w:val="231F20"/>
        </w:rPr>
      </w:pPr>
    </w:p>
    <w:p>
      <w:pPr>
        <w:ind w:left="120" w:hanging="118"/>
        <w:spacing w:after="0"/>
        <w:tabs>
          <w:tab w:leader="none" w:pos="120" w:val="left"/>
        </w:tabs>
        <w:numPr>
          <w:ilvl w:val="0"/>
          <w:numId w:val="43"/>
        </w:numPr>
        <w:rPr>
          <w:rFonts w:ascii="Times New Roman" w:cs="Times New Roman" w:eastAsia="Times New Roman" w:hAnsi="Times New Roman"/>
          <w:sz w:val="17"/>
          <w:szCs w:val="17"/>
          <w:color w:val="231F20"/>
        </w:rPr>
      </w:pPr>
      <w:r>
        <w:rPr>
          <w:rFonts w:ascii="Arial" w:cs="Arial" w:eastAsia="Arial" w:hAnsi="Arial"/>
          <w:sz w:val="15"/>
          <w:szCs w:val="15"/>
          <w:color w:val="231F20"/>
        </w:rPr>
        <w:t>Geographic Diversity</w:t>
      </w:r>
    </w:p>
    <w:p>
      <w:pPr>
        <w:spacing w:after="0" w:line="8" w:lineRule="exact"/>
        <w:rPr>
          <w:rFonts w:ascii="Times New Roman" w:cs="Times New Roman" w:eastAsia="Times New Roman" w:hAnsi="Times New Roman"/>
          <w:sz w:val="17"/>
          <w:szCs w:val="17"/>
          <w:color w:val="231F20"/>
        </w:rPr>
      </w:pPr>
    </w:p>
    <w:p>
      <w:pPr>
        <w:ind w:left="120" w:hanging="118"/>
        <w:spacing w:after="0"/>
        <w:tabs>
          <w:tab w:leader="none" w:pos="120" w:val="left"/>
        </w:tabs>
        <w:numPr>
          <w:ilvl w:val="0"/>
          <w:numId w:val="43"/>
        </w:numPr>
        <w:rPr>
          <w:rFonts w:ascii="Times New Roman" w:cs="Times New Roman" w:eastAsia="Times New Roman" w:hAnsi="Times New Roman"/>
          <w:sz w:val="17"/>
          <w:szCs w:val="17"/>
          <w:color w:val="231F20"/>
        </w:rPr>
      </w:pPr>
      <w:r>
        <w:rPr>
          <w:rFonts w:ascii="Arial" w:cs="Arial" w:eastAsia="Arial" w:hAnsi="Arial"/>
          <w:sz w:val="15"/>
          <w:szCs w:val="15"/>
          <w:color w:val="231F20"/>
        </w:rPr>
        <w:t>C-Suite Experience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spacing w:after="0"/>
        <w:rPr>
          <w:sz w:val="20"/>
          <w:szCs w:val="20"/>
          <w:color w:val="auto"/>
        </w:rPr>
      </w:pPr>
      <w:r>
        <w:rPr>
          <w:rFonts w:ascii="Arial" w:cs="Arial" w:eastAsia="Arial" w:hAnsi="Arial"/>
          <w:sz w:val="15"/>
          <w:szCs w:val="15"/>
          <w:b w:val="1"/>
          <w:bCs w:val="1"/>
          <w:color w:val="455986"/>
        </w:rPr>
        <w:t>Qualifications:</w:t>
      </w:r>
    </w:p>
    <w:p>
      <w:pPr>
        <w:spacing w:after="0" w:line="83" w:lineRule="exact"/>
        <w:rPr>
          <w:sz w:val="20"/>
          <w:szCs w:val="20"/>
          <w:color w:val="auto"/>
        </w:rPr>
      </w:pPr>
    </w:p>
    <w:p>
      <w:pPr>
        <w:ind w:right="260"/>
        <w:spacing w:after="0" w:line="264" w:lineRule="auto"/>
        <w:rPr>
          <w:sz w:val="20"/>
          <w:szCs w:val="20"/>
          <w:color w:val="auto"/>
        </w:rPr>
      </w:pPr>
      <w:r>
        <w:rPr>
          <w:rFonts w:ascii="Arial" w:cs="Arial" w:eastAsia="Arial" w:hAnsi="Arial"/>
          <w:sz w:val="15"/>
          <w:szCs w:val="15"/>
          <w:color w:val="231F20"/>
        </w:rPr>
        <w:t>Mr. Womack has over 20 years of experience as an executive of a gas and electric utility. Mr. Womack possesses significant experience with utility operations, human resources and governmental affairs. The Board of Directors views Mr. Womack’s independence and his experience as important qualifications, skills and experience supporting the Board of Directors’ conclusion that Mr. Womack should serve as a director of the Company.</w:t>
      </w:r>
    </w:p>
    <w:p>
      <w:pPr>
        <w:spacing w:after="0" w:line="147" w:lineRule="exact"/>
        <w:rPr>
          <w:sz w:val="20"/>
          <w:szCs w:val="20"/>
          <w:color w:val="auto"/>
        </w:rPr>
      </w:pPr>
    </w:p>
    <w:p>
      <w:pPr>
        <w:spacing w:after="0"/>
        <w:rPr>
          <w:sz w:val="20"/>
          <w:szCs w:val="20"/>
          <w:color w:val="auto"/>
        </w:rPr>
      </w:pPr>
      <w:r>
        <w:rPr>
          <w:rFonts w:ascii="Arial" w:cs="Arial" w:eastAsia="Arial" w:hAnsi="Arial"/>
          <w:sz w:val="15"/>
          <w:szCs w:val="15"/>
          <w:b w:val="1"/>
          <w:bCs w:val="1"/>
          <w:color w:val="455986"/>
        </w:rPr>
        <w:t>Other current public company directorships (0).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-1433195</wp:posOffset>
            </wp:positionH>
            <wp:positionV relativeFrom="paragraph">
              <wp:posOffset>1344295</wp:posOffset>
            </wp:positionV>
            <wp:extent cx="713994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9940" cy="8255"/>
                    </a:xfrm>
                    <a:prstGeom prst="rect">
                      <a:avLst/>
                    </a:prstGeom>
                    <a:noFill/>
                  </pic:spPr>
                </pic:pic>
              </a:graphicData>
            </a:graphic>
          </wp:anchor>
        </w:drawing>
        <w:drawing>
          <wp:anchor simplePos="0" relativeHeight="251657728" behindDoc="1" locked="0" layoutInCell="0" allowOverlap="1">
            <wp:simplePos x="0" y="0"/>
            <wp:positionH relativeFrom="column">
              <wp:posOffset>-1433195</wp:posOffset>
            </wp:positionH>
            <wp:positionV relativeFrom="paragraph">
              <wp:posOffset>542290</wp:posOffset>
            </wp:positionV>
            <wp:extent cx="5948680" cy="68072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5948680" cy="680720"/>
                    </a:xfrm>
                    <a:prstGeom prst="rect">
                      <a:avLst/>
                    </a:prstGeom>
                    <a:noFill/>
                  </pic:spPr>
                </pic:pic>
              </a:graphicData>
            </a:graphic>
          </wp:anchor>
        </w:drawing>
      </w:r>
    </w:p>
    <w:p>
      <w:pPr>
        <w:spacing w:after="0" w:line="854" w:lineRule="exact"/>
        <w:rPr>
          <w:sz w:val="20"/>
          <w:szCs w:val="20"/>
          <w:color w:val="auto"/>
        </w:rPr>
      </w:pPr>
    </w:p>
    <w:p>
      <w:pPr>
        <w:sectPr>
          <w:pgSz w:w="11900" w:h="16838" w:orient="portrait"/>
          <w:cols w:equalWidth="0" w:num="2">
            <w:col w:w="2160" w:space="100"/>
            <w:col w:w="8960"/>
          </w:cols>
          <w:pgMar w:left="320" w:top="636" w:right="3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ind w:left="300" w:hanging="298"/>
        <w:spacing w:after="0"/>
        <w:tabs>
          <w:tab w:leader="none" w:pos="300" w:val="left"/>
        </w:tabs>
        <w:numPr>
          <w:ilvl w:val="0"/>
          <w:numId w:val="44"/>
        </w:numPr>
        <w:rPr>
          <w:rFonts w:ascii="Arial" w:cs="Arial" w:eastAsia="Arial" w:hAnsi="Arial"/>
          <w:sz w:val="14"/>
          <w:szCs w:val="14"/>
          <w:color w:val="455986"/>
        </w:rPr>
      </w:pPr>
      <w:r>
        <w:rPr>
          <w:rFonts w:ascii="Arial" w:cs="Arial" w:eastAsia="Arial" w:hAnsi="Arial"/>
          <w:sz w:val="11"/>
          <w:szCs w:val="11"/>
          <w:color w:val="4395D4"/>
        </w:rPr>
        <w:t xml:space="preserve">ESSENTIAL UTILITIES, INC. </w:t>
      </w:r>
      <w:r>
        <w:rPr>
          <w:rFonts w:ascii="Arial" w:cs="Arial" w:eastAsia="Arial" w:hAnsi="Arial"/>
          <w:sz w:val="11"/>
          <w:szCs w:val="11"/>
          <w:color w:val="455986"/>
        </w:rPr>
        <w:t>2021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316230</wp:posOffset>
            </wp:positionV>
            <wp:extent cx="7139940" cy="2413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9940" cy="24130"/>
                    </a:xfrm>
                    <a:prstGeom prst="rect">
                      <a:avLst/>
                    </a:prstGeom>
                    <a:noFill/>
                  </pic:spPr>
                </pic:pic>
              </a:graphicData>
            </a:graphic>
          </wp:anchor>
        </w:drawing>
      </w:r>
    </w:p>
    <w:p>
      <w:pPr>
        <w:sectPr>
          <w:pgSz w:w="11900" w:h="16838" w:orient="portrait"/>
          <w:cols w:equalWidth="0" w:num="1">
            <w:col w:w="11220"/>
          </w:cols>
          <w:pgMar w:left="320" w:top="636" w:right="359" w:bottom="1440" w:gutter="0" w:footer="0" w:header="0"/>
          <w:type w:val="continuous"/>
        </w:sectPr>
      </w:pPr>
    </w:p>
    <w:bookmarkStart w:id="19" w:name="page20"/>
    <w:bookmarkEnd w:id="19"/>
    <w:p>
      <w:pPr>
        <w:spacing w:after="0"/>
        <w:rPr>
          <w:sz w:val="20"/>
          <w:szCs w:val="20"/>
          <w:color w:val="auto"/>
        </w:rPr>
      </w:pPr>
      <w:r>
        <w:rPr>
          <w:rFonts w:ascii="Arial" w:cs="Arial" w:eastAsia="Arial" w:hAnsi="Arial"/>
          <w:sz w:val="48"/>
          <w:szCs w:val="48"/>
          <w:b w:val="1"/>
          <w:bCs w:val="1"/>
          <w:color w:val="455986"/>
        </w:rPr>
        <w:t>Corporate Governance</w:t>
      </w:r>
    </w:p>
    <w:p>
      <w:pPr>
        <w:spacing w:after="0" w:line="226" w:lineRule="exact"/>
        <w:rPr>
          <w:sz w:val="20"/>
          <w:szCs w:val="20"/>
          <w:color w:val="auto"/>
        </w:rPr>
      </w:pPr>
    </w:p>
    <w:p>
      <w:pPr>
        <w:ind w:right="320"/>
        <w:spacing w:after="0" w:line="243" w:lineRule="auto"/>
        <w:rPr>
          <w:sz w:val="20"/>
          <w:szCs w:val="20"/>
          <w:color w:val="auto"/>
        </w:rPr>
      </w:pPr>
      <w:r>
        <w:rPr>
          <w:rFonts w:ascii="Arial" w:cs="Arial" w:eastAsia="Arial" w:hAnsi="Arial"/>
          <w:sz w:val="19"/>
          <w:szCs w:val="19"/>
          <w:color w:val="4395D4"/>
        </w:rPr>
        <w:t>The Board sets high standards for our employees, officers, and directors. Implicit in this philosophy is the importance of sound corporate governance. Following the principles of our Corporate Governance Guidelines, the Board serves as a prudent fiduciary for shareholders and oversees the management of our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114935</wp:posOffset>
            </wp:positionV>
            <wp:extent cx="5948680" cy="285242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5948680" cy="28524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Arial" w:cs="Arial" w:eastAsia="Arial" w:hAnsi="Arial"/>
          <w:sz w:val="24"/>
          <w:szCs w:val="24"/>
          <w:b w:val="1"/>
          <w:bCs w:val="1"/>
          <w:color w:val="455986"/>
        </w:rPr>
        <w:t>Board Leadership Structure</w:t>
      </w:r>
    </w:p>
    <w:p>
      <w:pPr>
        <w:spacing w:after="0" w:line="208" w:lineRule="exact"/>
        <w:rPr>
          <w:sz w:val="20"/>
          <w:szCs w:val="20"/>
          <w:color w:val="auto"/>
        </w:rPr>
      </w:pPr>
    </w:p>
    <w:p>
      <w:pPr>
        <w:ind w:right="100"/>
        <w:spacing w:after="0" w:line="253" w:lineRule="auto"/>
        <w:rPr>
          <w:sz w:val="20"/>
          <w:szCs w:val="20"/>
          <w:color w:val="auto"/>
        </w:rPr>
      </w:pPr>
      <w:r>
        <w:rPr>
          <w:rFonts w:ascii="Arial" w:cs="Arial" w:eastAsia="Arial" w:hAnsi="Arial"/>
          <w:sz w:val="14"/>
          <w:szCs w:val="14"/>
          <w:color w:val="231F20"/>
        </w:rPr>
        <w:t>Mr. Franklin serves as Chairman of the Board and Chief Executive Officer. The Board of Directors deliberately and intentionally determined that the structure of the combined Chairman and Chief Executive Officer along with the position of a strong lead independent director and independent Committee Chairs to be the most appropriate and efficient approach to managing the Company, while providing clear accountability to the execution of the Company’s strategy and its results.</w:t>
      </w:r>
    </w:p>
    <w:p>
      <w:pPr>
        <w:spacing w:after="0" w:line="142" w:lineRule="exact"/>
        <w:rPr>
          <w:sz w:val="20"/>
          <w:szCs w:val="20"/>
          <w:color w:val="auto"/>
        </w:rPr>
      </w:pPr>
    </w:p>
    <w:p>
      <w:pPr>
        <w:spacing w:after="0"/>
        <w:rPr>
          <w:sz w:val="20"/>
          <w:szCs w:val="20"/>
          <w:color w:val="auto"/>
        </w:rPr>
      </w:pPr>
      <w:r>
        <w:rPr>
          <w:rFonts w:ascii="Arial" w:cs="Arial" w:eastAsia="Arial" w:hAnsi="Arial"/>
          <w:sz w:val="20"/>
          <w:szCs w:val="20"/>
          <w:b w:val="1"/>
          <w:bCs w:val="1"/>
          <w:color w:val="231F20"/>
        </w:rPr>
        <w:t>Lead Independent Director</w:t>
      </w:r>
    </w:p>
    <w:p>
      <w:pPr>
        <w:spacing w:after="0" w:line="102" w:lineRule="exact"/>
        <w:rPr>
          <w:sz w:val="20"/>
          <w:szCs w:val="20"/>
          <w:color w:val="auto"/>
        </w:rPr>
      </w:pPr>
    </w:p>
    <w:p>
      <w:pPr>
        <w:spacing w:after="0"/>
        <w:rPr>
          <w:sz w:val="20"/>
          <w:szCs w:val="20"/>
          <w:color w:val="auto"/>
        </w:rPr>
      </w:pPr>
      <w:r>
        <w:rPr>
          <w:rFonts w:ascii="Arial" w:cs="Arial" w:eastAsia="Arial" w:hAnsi="Arial"/>
          <w:sz w:val="14"/>
          <w:szCs w:val="14"/>
          <w:color w:val="231F20"/>
        </w:rPr>
        <w:t>The Board of Directors annually elects the lead independent director to execute the following clear and specific duties:</w:t>
      </w:r>
    </w:p>
    <w:p>
      <w:pPr>
        <w:sectPr>
          <w:pgSz w:w="11900" w:h="16838" w:orient="portrait"/>
          <w:cols w:equalWidth="0" w:num="1">
            <w:col w:w="11240"/>
          </w:cols>
          <w:pgMar w:left="320" w:top="585" w:right="339" w:bottom="1440" w:gutter="0" w:footer="0" w:header="0"/>
        </w:sectPr>
      </w:pPr>
    </w:p>
    <w:p>
      <w:pPr>
        <w:spacing w:after="0" w:line="171" w:lineRule="exact"/>
        <w:rPr>
          <w:sz w:val="20"/>
          <w:szCs w:val="20"/>
          <w:color w:val="auto"/>
        </w:rPr>
      </w:pPr>
    </w:p>
    <w:p>
      <w:pPr>
        <w:ind w:left="180" w:right="180" w:hanging="178"/>
        <w:spacing w:after="0" w:line="277" w:lineRule="auto"/>
        <w:tabs>
          <w:tab w:leader="none" w:pos="126" w:val="left"/>
        </w:tabs>
        <w:numPr>
          <w:ilvl w:val="0"/>
          <w:numId w:val="45"/>
        </w:numPr>
        <w:rPr>
          <w:rFonts w:ascii="Times New Roman" w:cs="Times New Roman" w:eastAsia="Times New Roman" w:hAnsi="Times New Roman"/>
          <w:sz w:val="14"/>
          <w:szCs w:val="14"/>
          <w:color w:val="4395D4"/>
        </w:rPr>
      </w:pPr>
      <w:r>
        <w:rPr>
          <w:rFonts w:ascii="Arial" w:cs="Arial" w:eastAsia="Arial" w:hAnsi="Arial"/>
          <w:sz w:val="14"/>
          <w:szCs w:val="14"/>
          <w:color w:val="231F20"/>
        </w:rPr>
        <w:t>Preside at all meetings of the Board at which the Chairman of the Board is not present, including executive sessions of the independent directors;</w:t>
      </w:r>
    </w:p>
    <w:p>
      <w:pPr>
        <w:spacing w:after="0" w:line="10" w:lineRule="exact"/>
        <w:rPr>
          <w:rFonts w:ascii="Times New Roman" w:cs="Times New Roman" w:eastAsia="Times New Roman" w:hAnsi="Times New Roman"/>
          <w:sz w:val="14"/>
          <w:szCs w:val="14"/>
          <w:color w:val="4395D4"/>
        </w:rPr>
      </w:pPr>
    </w:p>
    <w:p>
      <w:pPr>
        <w:ind w:left="180" w:right="300" w:hanging="178"/>
        <w:spacing w:after="0" w:line="277" w:lineRule="auto"/>
        <w:tabs>
          <w:tab w:leader="none" w:pos="126" w:val="left"/>
        </w:tabs>
        <w:numPr>
          <w:ilvl w:val="0"/>
          <w:numId w:val="45"/>
        </w:numPr>
        <w:rPr>
          <w:rFonts w:ascii="Times New Roman" w:cs="Times New Roman" w:eastAsia="Times New Roman" w:hAnsi="Times New Roman"/>
          <w:sz w:val="14"/>
          <w:szCs w:val="14"/>
          <w:color w:val="4395D4"/>
        </w:rPr>
      </w:pPr>
      <w:r>
        <w:rPr>
          <w:rFonts w:ascii="Arial" w:cs="Arial" w:eastAsia="Arial" w:hAnsi="Arial"/>
          <w:sz w:val="14"/>
          <w:szCs w:val="14"/>
          <w:color w:val="231F20"/>
        </w:rPr>
        <w:t>Serve as liaison between the independent directors and the Chairman of the Board;</w:t>
      </w:r>
    </w:p>
    <w:p>
      <w:pPr>
        <w:spacing w:after="0" w:line="23" w:lineRule="exact"/>
        <w:rPr>
          <w:rFonts w:ascii="Times New Roman" w:cs="Times New Roman" w:eastAsia="Times New Roman" w:hAnsi="Times New Roman"/>
          <w:sz w:val="14"/>
          <w:szCs w:val="14"/>
          <w:color w:val="4395D4"/>
        </w:rPr>
      </w:pPr>
    </w:p>
    <w:p>
      <w:pPr>
        <w:ind w:left="180" w:right="360" w:hanging="178"/>
        <w:spacing w:after="0" w:line="253" w:lineRule="auto"/>
        <w:tabs>
          <w:tab w:leader="none" w:pos="126" w:val="left"/>
        </w:tabs>
        <w:numPr>
          <w:ilvl w:val="0"/>
          <w:numId w:val="45"/>
        </w:numPr>
        <w:rPr>
          <w:rFonts w:ascii="Times New Roman" w:cs="Times New Roman" w:eastAsia="Times New Roman" w:hAnsi="Times New Roman"/>
          <w:sz w:val="14"/>
          <w:szCs w:val="14"/>
          <w:color w:val="4395D4"/>
        </w:rPr>
      </w:pPr>
      <w:r>
        <w:rPr>
          <w:rFonts w:ascii="Arial" w:cs="Arial" w:eastAsia="Arial" w:hAnsi="Arial"/>
          <w:sz w:val="14"/>
          <w:szCs w:val="14"/>
          <w:color w:val="231F20"/>
        </w:rPr>
        <w:t>Consult with the Chairman of the Board, reviewing and approving meeting agendas and information provided to the Board for meetings, including the authority to add items to the agendas for any Board meeting;</w:t>
      </w:r>
    </w:p>
    <w:p>
      <w:pPr>
        <w:spacing w:after="0" w:line="39" w:lineRule="exact"/>
        <w:rPr>
          <w:rFonts w:ascii="Times New Roman" w:cs="Times New Roman" w:eastAsia="Times New Roman" w:hAnsi="Times New Roman"/>
          <w:sz w:val="14"/>
          <w:szCs w:val="14"/>
          <w:color w:val="4395D4"/>
        </w:rPr>
      </w:pPr>
    </w:p>
    <w:p>
      <w:pPr>
        <w:ind w:left="180" w:right="320" w:hanging="178"/>
        <w:spacing w:after="0" w:line="277" w:lineRule="auto"/>
        <w:tabs>
          <w:tab w:leader="none" w:pos="126" w:val="left"/>
        </w:tabs>
        <w:numPr>
          <w:ilvl w:val="0"/>
          <w:numId w:val="45"/>
        </w:numPr>
        <w:rPr>
          <w:rFonts w:ascii="Times New Roman" w:cs="Times New Roman" w:eastAsia="Times New Roman" w:hAnsi="Times New Roman"/>
          <w:sz w:val="14"/>
          <w:szCs w:val="14"/>
          <w:color w:val="4395D4"/>
        </w:rPr>
      </w:pPr>
      <w:r>
        <w:rPr>
          <w:rFonts w:ascii="Arial" w:cs="Arial" w:eastAsia="Arial" w:hAnsi="Arial"/>
          <w:sz w:val="14"/>
          <w:szCs w:val="14"/>
          <w:color w:val="231F20"/>
        </w:rPr>
        <w:t>Review and approve meeting schedules to assure there is sufficient time for discussion of all agenda items;</w:t>
      </w:r>
    </w:p>
    <w:p>
      <w:pPr>
        <w:spacing w:after="0" w:line="10" w:lineRule="exact"/>
        <w:rPr>
          <w:rFonts w:ascii="Times New Roman" w:cs="Times New Roman" w:eastAsia="Times New Roman" w:hAnsi="Times New Roman"/>
          <w:sz w:val="14"/>
          <w:szCs w:val="14"/>
          <w:color w:val="4395D4"/>
        </w:rPr>
      </w:pPr>
    </w:p>
    <w:p>
      <w:pPr>
        <w:ind w:left="180" w:hanging="178"/>
        <w:spacing w:after="0" w:line="277" w:lineRule="auto"/>
        <w:tabs>
          <w:tab w:leader="none" w:pos="126" w:val="left"/>
        </w:tabs>
        <w:numPr>
          <w:ilvl w:val="0"/>
          <w:numId w:val="45"/>
        </w:numPr>
        <w:rPr>
          <w:rFonts w:ascii="Times New Roman" w:cs="Times New Roman" w:eastAsia="Times New Roman" w:hAnsi="Times New Roman"/>
          <w:sz w:val="14"/>
          <w:szCs w:val="14"/>
          <w:color w:val="4395D4"/>
        </w:rPr>
      </w:pPr>
      <w:r>
        <w:rPr>
          <w:rFonts w:ascii="Arial" w:cs="Arial" w:eastAsia="Arial" w:hAnsi="Arial"/>
          <w:sz w:val="14"/>
          <w:szCs w:val="14"/>
          <w:color w:val="231F20"/>
        </w:rPr>
        <w:t>Possess the authority to call executive sessions of the independent directors and to prepare the agendas for the executive sessions;</w:t>
      </w:r>
    </w:p>
    <w:p>
      <w:pPr>
        <w:spacing w:after="0" w:line="20" w:lineRule="exact"/>
        <w:rPr>
          <w:sz w:val="20"/>
          <w:szCs w:val="20"/>
          <w:color w:val="auto"/>
        </w:rPr>
      </w:pPr>
      <w:r>
        <w:rPr>
          <w:sz w:val="20"/>
          <w:szCs w:val="20"/>
          <w:color w:val="auto"/>
        </w:rPr>
        <w:br w:type="column"/>
      </w:r>
    </w:p>
    <w:p>
      <w:pPr>
        <w:spacing w:after="0" w:line="151" w:lineRule="exact"/>
        <w:rPr>
          <w:sz w:val="20"/>
          <w:szCs w:val="20"/>
          <w:color w:val="auto"/>
        </w:rPr>
      </w:pPr>
    </w:p>
    <w:p>
      <w:pPr>
        <w:ind w:left="180" w:right="240" w:hanging="180"/>
        <w:spacing w:after="0" w:line="277" w:lineRule="auto"/>
        <w:tabs>
          <w:tab w:leader="none" w:pos="126" w:val="left"/>
        </w:tabs>
        <w:numPr>
          <w:ilvl w:val="0"/>
          <w:numId w:val="46"/>
        </w:numPr>
        <w:rPr>
          <w:rFonts w:ascii="Times New Roman" w:cs="Times New Roman" w:eastAsia="Times New Roman" w:hAnsi="Times New Roman"/>
          <w:sz w:val="14"/>
          <w:szCs w:val="14"/>
          <w:color w:val="4395D4"/>
        </w:rPr>
      </w:pPr>
      <w:r>
        <w:rPr>
          <w:rFonts w:ascii="Arial" w:cs="Arial" w:eastAsia="Arial" w:hAnsi="Arial"/>
          <w:sz w:val="14"/>
          <w:szCs w:val="14"/>
          <w:color w:val="231F20"/>
        </w:rPr>
        <w:t>If requested by major shareholders, ensure that he is available for consultation and direct communications;</w:t>
      </w:r>
    </w:p>
    <w:p>
      <w:pPr>
        <w:spacing w:after="0" w:line="10" w:lineRule="exact"/>
        <w:rPr>
          <w:rFonts w:ascii="Times New Roman" w:cs="Times New Roman" w:eastAsia="Times New Roman" w:hAnsi="Times New Roman"/>
          <w:sz w:val="14"/>
          <w:szCs w:val="14"/>
          <w:color w:val="4395D4"/>
        </w:rPr>
      </w:pPr>
    </w:p>
    <w:p>
      <w:pPr>
        <w:ind w:left="120" w:hanging="120"/>
        <w:spacing w:after="0"/>
        <w:tabs>
          <w:tab w:leader="none" w:pos="120" w:val="left"/>
        </w:tabs>
        <w:numPr>
          <w:ilvl w:val="0"/>
          <w:numId w:val="46"/>
        </w:numPr>
        <w:rPr>
          <w:rFonts w:ascii="Times New Roman" w:cs="Times New Roman" w:eastAsia="Times New Roman" w:hAnsi="Times New Roman"/>
          <w:sz w:val="14"/>
          <w:szCs w:val="14"/>
          <w:color w:val="4395D4"/>
        </w:rPr>
      </w:pPr>
      <w:r>
        <w:rPr>
          <w:rFonts w:ascii="Arial" w:cs="Arial" w:eastAsia="Arial" w:hAnsi="Arial"/>
          <w:sz w:val="14"/>
          <w:szCs w:val="14"/>
          <w:color w:val="231F20"/>
        </w:rPr>
        <w:t>Serve as a member of the Executive Committee;</w:t>
      </w:r>
    </w:p>
    <w:p>
      <w:pPr>
        <w:spacing w:after="0" w:line="80" w:lineRule="exact"/>
        <w:rPr>
          <w:rFonts w:ascii="Times New Roman" w:cs="Times New Roman" w:eastAsia="Times New Roman" w:hAnsi="Times New Roman"/>
          <w:sz w:val="14"/>
          <w:szCs w:val="14"/>
          <w:color w:val="4395D4"/>
        </w:rPr>
      </w:pPr>
    </w:p>
    <w:p>
      <w:pPr>
        <w:ind w:left="180" w:right="520" w:hanging="180"/>
        <w:spacing w:after="0" w:line="277" w:lineRule="auto"/>
        <w:tabs>
          <w:tab w:leader="none" w:pos="126" w:val="left"/>
        </w:tabs>
        <w:numPr>
          <w:ilvl w:val="0"/>
          <w:numId w:val="46"/>
        </w:numPr>
        <w:rPr>
          <w:rFonts w:ascii="Times New Roman" w:cs="Times New Roman" w:eastAsia="Times New Roman" w:hAnsi="Times New Roman"/>
          <w:sz w:val="14"/>
          <w:szCs w:val="14"/>
          <w:color w:val="4395D4"/>
        </w:rPr>
      </w:pPr>
      <w:r>
        <w:rPr>
          <w:rFonts w:ascii="Arial" w:cs="Arial" w:eastAsia="Arial" w:hAnsi="Arial"/>
          <w:sz w:val="14"/>
          <w:szCs w:val="14"/>
          <w:color w:val="231F20"/>
        </w:rPr>
        <w:t>In the event of the death or incapacity of the Chairman, become the acting Chairman of the Board until a new Chairman is selected; and</w:t>
      </w:r>
    </w:p>
    <w:p>
      <w:pPr>
        <w:spacing w:after="0" w:line="23" w:lineRule="exact"/>
        <w:rPr>
          <w:rFonts w:ascii="Times New Roman" w:cs="Times New Roman" w:eastAsia="Times New Roman" w:hAnsi="Times New Roman"/>
          <w:sz w:val="14"/>
          <w:szCs w:val="14"/>
          <w:color w:val="4395D4"/>
        </w:rPr>
      </w:pPr>
    </w:p>
    <w:p>
      <w:pPr>
        <w:ind w:left="180" w:right="200" w:hanging="180"/>
        <w:spacing w:after="0" w:line="244" w:lineRule="auto"/>
        <w:tabs>
          <w:tab w:leader="none" w:pos="126" w:val="left"/>
        </w:tabs>
        <w:numPr>
          <w:ilvl w:val="0"/>
          <w:numId w:val="46"/>
        </w:numPr>
        <w:rPr>
          <w:rFonts w:ascii="Times New Roman" w:cs="Times New Roman" w:eastAsia="Times New Roman" w:hAnsi="Times New Roman"/>
          <w:sz w:val="14"/>
          <w:szCs w:val="14"/>
          <w:color w:val="4395D4"/>
        </w:rPr>
      </w:pPr>
      <w:r>
        <w:rPr>
          <w:rFonts w:ascii="Arial" w:cs="Arial" w:eastAsia="Arial" w:hAnsi="Arial"/>
          <w:sz w:val="14"/>
          <w:szCs w:val="14"/>
          <w:color w:val="231F20"/>
        </w:rPr>
        <w:t>Has the authority (with the approval of at least the majority of the directors) to engage legal, financial or other advisors as the independent directors deem appropriate at the Company’s expense and without consultation or the need to obtain approval from any officer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-3719195</wp:posOffset>
            </wp:positionH>
            <wp:positionV relativeFrom="paragraph">
              <wp:posOffset>359410</wp:posOffset>
            </wp:positionV>
            <wp:extent cx="713994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9940" cy="8255"/>
                    </a:xfrm>
                    <a:prstGeom prst="rect">
                      <a:avLst/>
                    </a:prstGeom>
                    <a:noFill/>
                  </pic:spPr>
                </pic:pic>
              </a:graphicData>
            </a:graphic>
          </wp:anchor>
        </w:drawing>
      </w:r>
    </w:p>
    <w:p>
      <w:pPr>
        <w:spacing w:after="0" w:line="606" w:lineRule="exact"/>
        <w:rPr>
          <w:sz w:val="20"/>
          <w:szCs w:val="20"/>
          <w:color w:val="auto"/>
        </w:rPr>
      </w:pPr>
    </w:p>
    <w:p>
      <w:pPr>
        <w:sectPr>
          <w:pgSz w:w="11900" w:h="16838" w:orient="portrait"/>
          <w:cols w:equalWidth="0" w:num="2">
            <w:col w:w="5280" w:space="580"/>
            <w:col w:w="5380"/>
          </w:cols>
          <w:pgMar w:left="320" w:top="585" w:right="339" w:bottom="1440" w:gutter="0" w:footer="0" w:header="0"/>
          <w:type w:val="continuous"/>
        </w:sectPr>
      </w:pPr>
    </w:p>
    <w:p>
      <w:pPr>
        <w:spacing w:after="0" w:line="5" w:lineRule="exact"/>
        <w:rPr>
          <w:sz w:val="20"/>
          <w:szCs w:val="20"/>
          <w:color w:val="auto"/>
        </w:rPr>
      </w:pPr>
    </w:p>
    <w:p>
      <w:pPr>
        <w:ind w:left="7940"/>
        <w:spacing w:after="0"/>
        <w:tabs>
          <w:tab w:leader="none" w:pos="11060" w:val="left"/>
        </w:tabs>
        <w:rPr>
          <w:sz w:val="20"/>
          <w:szCs w:val="20"/>
          <w:color w:val="auto"/>
        </w:rPr>
      </w:pPr>
      <w:r>
        <w:rPr>
          <w:rFonts w:ascii="Arial" w:cs="Arial" w:eastAsia="Arial" w:hAnsi="Arial"/>
          <w:sz w:val="12"/>
          <w:szCs w:val="12"/>
          <w:color w:val="4395D4"/>
        </w:rPr>
        <w:t xml:space="preserve">ESSENTIAL UTILITIES, INC. </w:t>
      </w:r>
      <w:r>
        <w:rPr>
          <w:rFonts w:ascii="Arial" w:cs="Arial" w:eastAsia="Arial" w:hAnsi="Arial"/>
          <w:sz w:val="12"/>
          <w:szCs w:val="12"/>
          <w:color w:val="455986"/>
        </w:rPr>
        <w:t>2021 PROXY STATEMENT</w:t>
      </w:r>
      <w:r>
        <w:rPr>
          <w:sz w:val="20"/>
          <w:szCs w:val="20"/>
          <w:color w:val="auto"/>
        </w:rPr>
        <w:tab/>
      </w:r>
      <w:r>
        <w:rPr>
          <w:rFonts w:ascii="Arial" w:cs="Arial" w:eastAsia="Arial" w:hAnsi="Arial"/>
          <w:sz w:val="14"/>
          <w:szCs w:val="14"/>
          <w:color w:val="455986"/>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339090</wp:posOffset>
            </wp:positionV>
            <wp:extent cx="7139940" cy="2413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9940" cy="24130"/>
                    </a:xfrm>
                    <a:prstGeom prst="rect">
                      <a:avLst/>
                    </a:prstGeom>
                    <a:noFill/>
                  </pic:spPr>
                </pic:pic>
              </a:graphicData>
            </a:graphic>
          </wp:anchor>
        </w:drawing>
      </w:r>
    </w:p>
    <w:p>
      <w:pPr>
        <w:sectPr>
          <w:pgSz w:w="11900" w:h="16838" w:orient="portrait"/>
          <w:cols w:equalWidth="0" w:num="1">
            <w:col w:w="11240"/>
          </w:cols>
          <w:pgMar w:left="320" w:top="585" w:right="339" w:bottom="1440" w:gutter="0" w:footer="0" w:header="0"/>
          <w:type w:val="continuous"/>
        </w:sectPr>
      </w:pPr>
    </w:p>
    <w:bookmarkStart w:id="20" w:name="page21"/>
    <w:bookmarkEnd w:id="20"/>
    <w:p>
      <w:pPr>
        <w:spacing w:after="0"/>
        <w:rPr>
          <w:sz w:val="20"/>
          <w:szCs w:val="20"/>
          <w:color w:val="auto"/>
        </w:rPr>
      </w:pPr>
      <w:r>
        <w:rPr>
          <w:rFonts w:ascii="Arial" w:cs="Arial" w:eastAsia="Arial" w:hAnsi="Arial"/>
          <w:sz w:val="14"/>
          <w:szCs w:val="14"/>
          <w:b w:val="1"/>
          <w:bCs w:val="1"/>
          <w:color w:val="455986"/>
        </w:rPr>
        <w:t>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27940</wp:posOffset>
            </wp:positionV>
            <wp:extent cx="713994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9940" cy="8255"/>
                    </a:xfrm>
                    <a:prstGeom prst="rect">
                      <a:avLst/>
                    </a:prstGeom>
                    <a:noFill/>
                  </pic:spPr>
                </pic:pic>
              </a:graphicData>
            </a:graphic>
          </wp:anchor>
        </w:drawing>
      </w:r>
    </w:p>
    <w:p>
      <w:pPr>
        <w:spacing w:after="0" w:line="76" w:lineRule="exact"/>
        <w:rPr>
          <w:sz w:val="20"/>
          <w:szCs w:val="20"/>
          <w:color w:val="auto"/>
        </w:rPr>
      </w:pPr>
    </w:p>
    <w:p>
      <w:pPr>
        <w:spacing w:after="0"/>
        <w:rPr>
          <w:sz w:val="20"/>
          <w:szCs w:val="20"/>
          <w:color w:val="auto"/>
        </w:rPr>
      </w:pPr>
      <w:r>
        <w:rPr>
          <w:rFonts w:ascii="Arial" w:cs="Arial" w:eastAsia="Arial" w:hAnsi="Arial"/>
          <w:sz w:val="14"/>
          <w:szCs w:val="14"/>
          <w:color w:val="231F20"/>
        </w:rPr>
        <w:t>Board Committee Membership, Meetings and Director Attendance</w:t>
      </w:r>
    </w:p>
    <w:p>
      <w:pPr>
        <w:spacing w:after="0" w:line="163" w:lineRule="exact"/>
        <w:rPr>
          <w:sz w:val="20"/>
          <w:szCs w:val="20"/>
          <w:color w:val="auto"/>
        </w:rPr>
      </w:pPr>
    </w:p>
    <w:p>
      <w:pPr>
        <w:spacing w:after="0"/>
        <w:rPr>
          <w:sz w:val="20"/>
          <w:szCs w:val="20"/>
          <w:color w:val="auto"/>
        </w:rPr>
      </w:pPr>
      <w:r>
        <w:rPr>
          <w:rFonts w:ascii="Arial" w:cs="Arial" w:eastAsia="Arial" w:hAnsi="Arial"/>
          <w:sz w:val="24"/>
          <w:szCs w:val="24"/>
          <w:b w:val="1"/>
          <w:bCs w:val="1"/>
          <w:color w:val="455986"/>
        </w:rPr>
        <w:t>Board Committee Membership, Meetings and Director Attendance</w:t>
      </w:r>
    </w:p>
    <w:p>
      <w:pPr>
        <w:spacing w:after="0" w:line="208" w:lineRule="exact"/>
        <w:rPr>
          <w:sz w:val="20"/>
          <w:szCs w:val="20"/>
          <w:color w:val="auto"/>
        </w:rPr>
      </w:pPr>
    </w:p>
    <w:p>
      <w:pPr>
        <w:ind w:right="140"/>
        <w:spacing w:after="0" w:line="245" w:lineRule="auto"/>
        <w:rPr>
          <w:sz w:val="20"/>
          <w:szCs w:val="20"/>
          <w:color w:val="auto"/>
        </w:rPr>
      </w:pPr>
      <w:r>
        <w:rPr>
          <w:rFonts w:ascii="Arial" w:cs="Arial" w:eastAsia="Arial" w:hAnsi="Arial"/>
          <w:sz w:val="14"/>
          <w:szCs w:val="14"/>
          <w:color w:val="231F20"/>
        </w:rPr>
        <w:t>Under our Bylaws, the Board of Directors may designate an Executive Committee and one or more other committees, with each committee to consist of two or more directors except for the Audit Committee and Executive Compensation Committee, which must have at least three members. The Board of Directors annually elects from its members the Executive, Audit, Executive Compensation, Risk Mitigation and Investment Policy, and Corporate Governance Committees. The Board may also appoint ad hoc committees. The Retirement and Employee Benefits Committee, which is comprised of senior management of the Company, reports periodically to the Board of Directors.</w:t>
      </w:r>
    </w:p>
    <w:p>
      <w:pPr>
        <w:spacing w:after="0" w:line="147" w:lineRule="exact"/>
        <w:rPr>
          <w:sz w:val="20"/>
          <w:szCs w:val="20"/>
          <w:color w:val="auto"/>
        </w:rPr>
      </w:pPr>
    </w:p>
    <w:p>
      <w:pPr>
        <w:spacing w:after="0"/>
        <w:rPr>
          <w:sz w:val="20"/>
          <w:szCs w:val="20"/>
          <w:color w:val="auto"/>
        </w:rPr>
      </w:pPr>
      <w:r>
        <w:rPr>
          <w:rFonts w:ascii="Arial" w:cs="Arial" w:eastAsia="Arial" w:hAnsi="Arial"/>
          <w:sz w:val="20"/>
          <w:szCs w:val="20"/>
          <w:b w:val="1"/>
          <w:bCs w:val="1"/>
          <w:color w:val="231F20"/>
        </w:rPr>
        <w:t>The Board of Directors held 12 meetings in 2020</w:t>
      </w:r>
    </w:p>
    <w:p>
      <w:pPr>
        <w:spacing w:after="0" w:line="64" w:lineRule="exact"/>
        <w:rPr>
          <w:sz w:val="20"/>
          <w:szCs w:val="20"/>
          <w:color w:val="auto"/>
        </w:rPr>
      </w:pPr>
    </w:p>
    <w:p>
      <w:pPr>
        <w:ind w:left="160" w:hanging="158"/>
        <w:spacing w:after="0"/>
        <w:tabs>
          <w:tab w:leader="none" w:pos="160" w:val="left"/>
        </w:tabs>
        <w:numPr>
          <w:ilvl w:val="0"/>
          <w:numId w:val="47"/>
        </w:numPr>
        <w:rPr>
          <w:rFonts w:ascii="Times New Roman" w:cs="Times New Roman" w:eastAsia="Times New Roman" w:hAnsi="Times New Roman"/>
          <w:sz w:val="14"/>
          <w:szCs w:val="14"/>
          <w:color w:val="4395D4"/>
        </w:rPr>
      </w:pPr>
      <w:r>
        <w:rPr>
          <w:rFonts w:ascii="Arial" w:cs="Arial" w:eastAsia="Arial" w:hAnsi="Arial"/>
          <w:sz w:val="14"/>
          <w:szCs w:val="14"/>
          <w:color w:val="231F20"/>
        </w:rPr>
        <w:t>In 2020, each director attended at least 75% of the aggregate of all meetings of the Board and the Committees on which each director served.</w:t>
      </w:r>
    </w:p>
    <w:p>
      <w:pPr>
        <w:spacing w:after="0" w:line="42" w:lineRule="exact"/>
        <w:rPr>
          <w:rFonts w:ascii="Times New Roman" w:cs="Times New Roman" w:eastAsia="Times New Roman" w:hAnsi="Times New Roman"/>
          <w:sz w:val="14"/>
          <w:szCs w:val="14"/>
          <w:color w:val="4395D4"/>
        </w:rPr>
      </w:pPr>
    </w:p>
    <w:p>
      <w:pPr>
        <w:ind w:left="160" w:hanging="158"/>
        <w:spacing w:after="0"/>
        <w:tabs>
          <w:tab w:leader="none" w:pos="160" w:val="left"/>
        </w:tabs>
        <w:numPr>
          <w:ilvl w:val="0"/>
          <w:numId w:val="47"/>
        </w:numPr>
        <w:rPr>
          <w:rFonts w:ascii="Times New Roman" w:cs="Times New Roman" w:eastAsia="Times New Roman" w:hAnsi="Times New Roman"/>
          <w:sz w:val="14"/>
          <w:szCs w:val="14"/>
          <w:color w:val="4395D4"/>
        </w:rPr>
      </w:pPr>
      <w:r>
        <w:rPr>
          <w:rFonts w:ascii="Arial" w:cs="Arial" w:eastAsia="Arial" w:hAnsi="Arial"/>
          <w:sz w:val="14"/>
          <w:szCs w:val="14"/>
          <w:color w:val="231F20"/>
        </w:rPr>
        <w:t>All of the directors who were elected at the 2020 Annual Meeting of Shareholders attended the 2020 Annual Meeting of Shareholders.</w:t>
      </w:r>
    </w:p>
    <w:p>
      <w:pPr>
        <w:spacing w:after="0" w:line="133" w:lineRule="exact"/>
        <w:rPr>
          <w:sz w:val="20"/>
          <w:szCs w:val="20"/>
          <w:color w:val="auto"/>
        </w:rPr>
      </w:pPr>
    </w:p>
    <w:p>
      <w:pPr>
        <w:spacing w:after="0"/>
        <w:rPr>
          <w:sz w:val="20"/>
          <w:szCs w:val="20"/>
          <w:color w:val="auto"/>
        </w:rPr>
      </w:pPr>
      <w:r>
        <w:rPr>
          <w:rFonts w:ascii="Arial" w:cs="Arial" w:eastAsia="Arial" w:hAnsi="Arial"/>
          <w:sz w:val="24"/>
          <w:szCs w:val="24"/>
          <w:b w:val="1"/>
          <w:bCs w:val="1"/>
          <w:color w:val="455986"/>
        </w:rPr>
        <w:t>Board Committees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145415</wp:posOffset>
            </wp:positionV>
            <wp:extent cx="713994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9940" cy="8255"/>
                    </a:xfrm>
                    <a:prstGeom prst="rect">
                      <a:avLst/>
                    </a:prstGeom>
                    <a:noFill/>
                  </pic:spPr>
                </pic:pic>
              </a:graphicData>
            </a:graphic>
          </wp:anchor>
        </w:drawing>
      </w:r>
    </w:p>
    <w:p>
      <w:pPr>
        <w:sectPr>
          <w:pgSz w:w="11900" w:h="16838" w:orient="portrait"/>
          <w:cols w:equalWidth="0" w:num="1">
            <w:col w:w="11220"/>
          </w:cols>
          <w:pgMar w:left="320" w:top="636"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14"/>
          <w:szCs w:val="14"/>
          <w:b w:val="1"/>
          <w:bCs w:val="1"/>
          <w:color w:val="4395D4"/>
        </w:rPr>
        <w:t>Chair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-1349375</wp:posOffset>
            </wp:positionV>
            <wp:extent cx="1029335" cy="120777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1029335" cy="1207770"/>
                    </a:xfrm>
                    <a:prstGeom prst="rect">
                      <a:avLst/>
                    </a:prstGeom>
                    <a:noFill/>
                  </pic:spPr>
                </pic:pic>
              </a:graphicData>
            </a:graphic>
          </wp:anchor>
        </w:drawing>
      </w:r>
    </w:p>
    <w:p>
      <w:pPr>
        <w:spacing w:after="0" w:line="61" w:lineRule="exact"/>
        <w:rPr>
          <w:sz w:val="20"/>
          <w:szCs w:val="20"/>
          <w:color w:val="auto"/>
        </w:rPr>
      </w:pPr>
    </w:p>
    <w:p>
      <w:pPr>
        <w:spacing w:after="0"/>
        <w:rPr>
          <w:sz w:val="20"/>
          <w:szCs w:val="20"/>
          <w:color w:val="auto"/>
        </w:rPr>
      </w:pPr>
      <w:r>
        <w:rPr>
          <w:rFonts w:ascii="Arial" w:cs="Arial" w:eastAsia="Arial" w:hAnsi="Arial"/>
          <w:sz w:val="14"/>
          <w:szCs w:val="14"/>
          <w:b w:val="1"/>
          <w:bCs w:val="1"/>
          <w:color w:val="231F20"/>
        </w:rPr>
        <w:t>Lee C. Stewart</w:t>
      </w:r>
    </w:p>
    <w:p>
      <w:pPr>
        <w:spacing w:after="0" w:line="145" w:lineRule="exact"/>
        <w:rPr>
          <w:sz w:val="20"/>
          <w:szCs w:val="20"/>
          <w:color w:val="auto"/>
        </w:rPr>
      </w:pPr>
    </w:p>
    <w:p>
      <w:pPr>
        <w:spacing w:after="0"/>
        <w:rPr>
          <w:sz w:val="20"/>
          <w:szCs w:val="20"/>
          <w:color w:val="auto"/>
        </w:rPr>
      </w:pPr>
      <w:r>
        <w:rPr>
          <w:rFonts w:ascii="Arial" w:cs="Arial" w:eastAsia="Arial" w:hAnsi="Arial"/>
          <w:sz w:val="14"/>
          <w:szCs w:val="14"/>
          <w:b w:val="1"/>
          <w:bCs w:val="1"/>
          <w:color w:val="455986"/>
        </w:rPr>
        <w:t>Members</w:t>
      </w:r>
    </w:p>
    <w:p>
      <w:pPr>
        <w:spacing w:after="0" w:line="83" w:lineRule="exact"/>
        <w:rPr>
          <w:sz w:val="20"/>
          <w:szCs w:val="20"/>
          <w:color w:val="auto"/>
        </w:rPr>
      </w:pPr>
    </w:p>
    <w:p>
      <w:pPr>
        <w:spacing w:after="0"/>
        <w:rPr>
          <w:sz w:val="20"/>
          <w:szCs w:val="20"/>
          <w:color w:val="auto"/>
        </w:rPr>
      </w:pPr>
      <w:r>
        <w:rPr>
          <w:rFonts w:ascii="Arial" w:cs="Arial" w:eastAsia="Arial" w:hAnsi="Arial"/>
          <w:sz w:val="14"/>
          <w:szCs w:val="14"/>
          <w:color w:val="231F20"/>
        </w:rPr>
        <w:t>Wendy A. Franks*</w:t>
      </w:r>
    </w:p>
    <w:p>
      <w:pPr>
        <w:spacing w:after="0" w:line="8" w:lineRule="exact"/>
        <w:rPr>
          <w:sz w:val="20"/>
          <w:szCs w:val="20"/>
          <w:color w:val="auto"/>
        </w:rPr>
      </w:pPr>
    </w:p>
    <w:p>
      <w:pPr>
        <w:spacing w:after="0"/>
        <w:rPr>
          <w:sz w:val="20"/>
          <w:szCs w:val="20"/>
          <w:color w:val="auto"/>
        </w:rPr>
      </w:pPr>
      <w:r>
        <w:rPr>
          <w:rFonts w:ascii="Arial" w:cs="Arial" w:eastAsia="Arial" w:hAnsi="Arial"/>
          <w:sz w:val="14"/>
          <w:szCs w:val="14"/>
          <w:color w:val="231F20"/>
        </w:rPr>
        <w:t>Francis O. Idehen</w:t>
      </w:r>
    </w:p>
    <w:p>
      <w:pPr>
        <w:spacing w:after="0" w:line="53" w:lineRule="exact"/>
        <w:rPr>
          <w:sz w:val="20"/>
          <w:szCs w:val="20"/>
          <w:color w:val="auto"/>
        </w:rPr>
      </w:pPr>
    </w:p>
    <w:p>
      <w:pPr>
        <w:jc w:val="both"/>
        <w:spacing w:after="0" w:line="244" w:lineRule="auto"/>
        <w:rPr>
          <w:sz w:val="20"/>
          <w:szCs w:val="20"/>
          <w:color w:val="auto"/>
        </w:rPr>
      </w:pPr>
      <w:r>
        <w:rPr>
          <w:rFonts w:ascii="Arial" w:cs="Arial" w:eastAsia="Arial" w:hAnsi="Arial"/>
          <w:sz w:val="14"/>
          <w:szCs w:val="14"/>
          <w:color w:val="231F20"/>
        </w:rPr>
        <w:t>All members are independent under NYSE listing requirements and SEC rules.</w:t>
      </w:r>
    </w:p>
    <w:p>
      <w:pPr>
        <w:spacing w:after="0" w:line="50" w:lineRule="exact"/>
        <w:rPr>
          <w:sz w:val="20"/>
          <w:szCs w:val="20"/>
          <w:color w:val="auto"/>
        </w:rPr>
      </w:pPr>
    </w:p>
    <w:p>
      <w:pPr>
        <w:ind w:right="140"/>
        <w:spacing w:after="0" w:line="235" w:lineRule="auto"/>
        <w:rPr>
          <w:sz w:val="20"/>
          <w:szCs w:val="20"/>
          <w:color w:val="auto"/>
        </w:rPr>
      </w:pPr>
      <w:r>
        <w:rPr>
          <w:rFonts w:ascii="Arial" w:cs="Arial" w:eastAsia="Arial" w:hAnsi="Arial"/>
          <w:sz w:val="12"/>
          <w:szCs w:val="12"/>
          <w:color w:val="231F20"/>
        </w:rPr>
        <w:t>All members are financially literate and two members of the Committee are financial experts within the meaning of applicable SEC rules.</w:t>
      </w:r>
    </w:p>
    <w:p>
      <w:pPr>
        <w:spacing w:after="0" w:line="59" w:lineRule="exact"/>
        <w:rPr>
          <w:sz w:val="20"/>
          <w:szCs w:val="20"/>
          <w:color w:val="auto"/>
        </w:rPr>
      </w:pPr>
    </w:p>
    <w:p>
      <w:pPr>
        <w:ind w:right="40" w:firstLine="2"/>
        <w:spacing w:after="0" w:line="233" w:lineRule="auto"/>
        <w:tabs>
          <w:tab w:leader="none" w:pos="79" w:val="left"/>
        </w:tabs>
        <w:numPr>
          <w:ilvl w:val="0"/>
          <w:numId w:val="48"/>
        </w:numPr>
        <w:rPr>
          <w:rFonts w:ascii="Arial" w:cs="Arial" w:eastAsia="Arial" w:hAnsi="Arial"/>
          <w:sz w:val="12"/>
          <w:szCs w:val="12"/>
          <w:color w:val="231F20"/>
        </w:rPr>
      </w:pPr>
      <w:r>
        <w:rPr>
          <w:rFonts w:ascii="Arial" w:cs="Arial" w:eastAsia="Arial" w:hAnsi="Arial"/>
          <w:sz w:val="12"/>
          <w:szCs w:val="12"/>
          <w:color w:val="231F20"/>
        </w:rPr>
        <w:t>If Ms. Kelly is elected as a Director, it is anticipated that she will replace Wendy Franks as a member of the Company’s Audit and Risk Mitigation &amp; Investment Policy Committees.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7"/>
        </w:trPr>
        <w:tc>
          <w:tcPr>
            <w:tcW w:w="3160" w:type="dxa"/>
            <w:vAlign w:val="bottom"/>
            <w:vMerge w:val="restart"/>
          </w:tcPr>
          <w:p>
            <w:pPr>
              <w:spacing w:after="0"/>
              <w:rPr>
                <w:sz w:val="20"/>
                <w:szCs w:val="20"/>
                <w:color w:val="auto"/>
              </w:rPr>
            </w:pPr>
            <w:r>
              <w:rPr>
                <w:rFonts w:ascii="Arial" w:cs="Arial" w:eastAsia="Arial" w:hAnsi="Arial"/>
                <w:sz w:val="27"/>
                <w:szCs w:val="27"/>
                <w:b w:val="1"/>
                <w:bCs w:val="1"/>
                <w:color w:val="4395D4"/>
              </w:rPr>
              <w:t>Audit</w:t>
            </w:r>
          </w:p>
        </w:tc>
        <w:tc>
          <w:tcPr>
            <w:tcW w:w="3900" w:type="dxa"/>
            <w:vAlign w:val="bottom"/>
          </w:tcPr>
          <w:p>
            <w:pPr>
              <w:ind w:left="2460"/>
              <w:spacing w:after="0"/>
              <w:rPr>
                <w:sz w:val="20"/>
                <w:szCs w:val="20"/>
                <w:color w:val="auto"/>
              </w:rPr>
            </w:pPr>
            <w:r>
              <w:rPr>
                <w:rFonts w:ascii="Arial" w:cs="Arial" w:eastAsia="Arial" w:hAnsi="Arial"/>
                <w:sz w:val="14"/>
                <w:szCs w:val="14"/>
                <w:color w:val="231F20"/>
              </w:rPr>
              <w:t xml:space="preserve">Meetings Required: </w:t>
            </w:r>
            <w:r>
              <w:rPr>
                <w:rFonts w:ascii="Arial" w:cs="Arial" w:eastAsia="Arial" w:hAnsi="Arial"/>
                <w:sz w:val="14"/>
                <w:szCs w:val="14"/>
                <w:b w:val="1"/>
                <w:bCs w:val="1"/>
                <w:color w:val="4395D4"/>
              </w:rPr>
              <w:t>4</w:t>
            </w:r>
          </w:p>
        </w:tc>
        <w:tc>
          <w:tcPr>
            <w:tcW w:w="0" w:type="dxa"/>
            <w:vAlign w:val="bottom"/>
          </w:tcPr>
          <w:p>
            <w:pPr>
              <w:spacing w:after="0"/>
              <w:rPr>
                <w:sz w:val="1"/>
                <w:szCs w:val="1"/>
                <w:color w:val="auto"/>
              </w:rPr>
            </w:pPr>
          </w:p>
        </w:tc>
      </w:tr>
      <w:tr>
        <w:trPr>
          <w:trHeight w:val="205"/>
        </w:trPr>
        <w:tc>
          <w:tcPr>
            <w:tcW w:w="3160" w:type="dxa"/>
            <w:vAlign w:val="bottom"/>
            <w:vMerge w:val="continue"/>
          </w:tcPr>
          <w:p>
            <w:pPr>
              <w:spacing w:after="0"/>
              <w:rPr>
                <w:sz w:val="17"/>
                <w:szCs w:val="17"/>
                <w:color w:val="auto"/>
              </w:rPr>
            </w:pPr>
          </w:p>
        </w:tc>
        <w:tc>
          <w:tcPr>
            <w:tcW w:w="3900" w:type="dxa"/>
            <w:vAlign w:val="bottom"/>
          </w:tcPr>
          <w:p>
            <w:pPr>
              <w:ind w:left="2460"/>
              <w:spacing w:after="0"/>
              <w:rPr>
                <w:sz w:val="20"/>
                <w:szCs w:val="20"/>
                <w:color w:val="auto"/>
              </w:rPr>
            </w:pPr>
            <w:r>
              <w:rPr>
                <w:rFonts w:ascii="Arial" w:cs="Arial" w:eastAsia="Arial" w:hAnsi="Arial"/>
                <w:sz w:val="14"/>
                <w:szCs w:val="14"/>
                <w:color w:val="231F20"/>
              </w:rPr>
              <w:t xml:space="preserve">2020 Meetings Held: </w:t>
            </w:r>
            <w:r>
              <w:rPr>
                <w:rFonts w:ascii="Arial" w:cs="Arial" w:eastAsia="Arial" w:hAnsi="Arial"/>
                <w:sz w:val="14"/>
                <w:szCs w:val="14"/>
                <w:b w:val="1"/>
                <w:bCs w:val="1"/>
                <w:color w:val="4395D4"/>
              </w:rPr>
              <w:t>8</w:t>
            </w:r>
          </w:p>
        </w:tc>
        <w:tc>
          <w:tcPr>
            <w:tcW w:w="0" w:type="dxa"/>
            <w:vAlign w:val="bottom"/>
          </w:tcPr>
          <w:p>
            <w:pPr>
              <w:spacing w:after="0"/>
              <w:rPr>
                <w:sz w:val="1"/>
                <w:szCs w:val="1"/>
                <w:color w:val="auto"/>
              </w:rPr>
            </w:pPr>
          </w:p>
        </w:tc>
      </w:tr>
    </w:tbl>
    <w:p>
      <w:pPr>
        <w:spacing w:after="0" w:line="308" w:lineRule="exact"/>
        <w:rPr>
          <w:sz w:val="20"/>
          <w:szCs w:val="20"/>
          <w:color w:val="auto"/>
        </w:rPr>
      </w:pPr>
    </w:p>
    <w:p>
      <w:pPr>
        <w:spacing w:after="0"/>
        <w:rPr>
          <w:sz w:val="20"/>
          <w:szCs w:val="20"/>
          <w:color w:val="auto"/>
        </w:rPr>
      </w:pPr>
      <w:r>
        <w:rPr>
          <w:rFonts w:ascii="Arial" w:cs="Arial" w:eastAsia="Arial" w:hAnsi="Arial"/>
          <w:sz w:val="14"/>
          <w:szCs w:val="14"/>
          <w:color w:val="231F20"/>
        </w:rPr>
        <w:t>The Committee’s primary responsibilities are to:</w:t>
      </w:r>
    </w:p>
    <w:p>
      <w:pPr>
        <w:spacing w:after="0" w:line="69" w:lineRule="exact"/>
        <w:rPr>
          <w:sz w:val="20"/>
          <w:szCs w:val="20"/>
          <w:color w:val="auto"/>
        </w:rPr>
      </w:pPr>
    </w:p>
    <w:p>
      <w:pPr>
        <w:ind w:left="180" w:right="100" w:hanging="179"/>
        <w:spacing w:after="0" w:line="277" w:lineRule="auto"/>
        <w:tabs>
          <w:tab w:leader="none" w:pos="126" w:val="left"/>
        </w:tabs>
        <w:numPr>
          <w:ilvl w:val="0"/>
          <w:numId w:val="49"/>
        </w:numPr>
        <w:rPr>
          <w:rFonts w:ascii="Times New Roman" w:cs="Times New Roman" w:eastAsia="Times New Roman" w:hAnsi="Times New Roman"/>
          <w:sz w:val="14"/>
          <w:szCs w:val="14"/>
          <w:color w:val="4395D4"/>
        </w:rPr>
      </w:pPr>
      <w:r>
        <w:rPr>
          <w:rFonts w:ascii="Arial" w:cs="Arial" w:eastAsia="Arial" w:hAnsi="Arial"/>
          <w:sz w:val="14"/>
          <w:szCs w:val="14"/>
          <w:color w:val="231F20"/>
        </w:rPr>
        <w:t>monitor the integrity of the Company’s financial reporting process and systems of internal controls, including the review of the Company’s annual audited financial statements; and</w:t>
      </w:r>
    </w:p>
    <w:p>
      <w:pPr>
        <w:spacing w:after="0" w:line="23" w:lineRule="exact"/>
        <w:rPr>
          <w:rFonts w:ascii="Times New Roman" w:cs="Times New Roman" w:eastAsia="Times New Roman" w:hAnsi="Times New Roman"/>
          <w:sz w:val="14"/>
          <w:szCs w:val="14"/>
          <w:color w:val="4395D4"/>
        </w:rPr>
      </w:pPr>
    </w:p>
    <w:p>
      <w:pPr>
        <w:ind w:left="120" w:hanging="119"/>
        <w:spacing w:after="0"/>
        <w:tabs>
          <w:tab w:leader="none" w:pos="120" w:val="left"/>
        </w:tabs>
        <w:numPr>
          <w:ilvl w:val="0"/>
          <w:numId w:val="49"/>
        </w:numPr>
        <w:rPr>
          <w:rFonts w:ascii="Times New Roman" w:cs="Times New Roman" w:eastAsia="Times New Roman" w:hAnsi="Times New Roman"/>
          <w:sz w:val="14"/>
          <w:szCs w:val="14"/>
          <w:color w:val="4395D4"/>
        </w:rPr>
      </w:pPr>
      <w:r>
        <w:rPr>
          <w:rFonts w:ascii="Arial" w:cs="Arial" w:eastAsia="Arial" w:hAnsi="Arial"/>
          <w:sz w:val="14"/>
          <w:szCs w:val="14"/>
          <w:color w:val="231F20"/>
        </w:rPr>
        <w:t>monitor the independence of our independent registered public accounting firm.</w:t>
      </w:r>
    </w:p>
    <w:p>
      <w:pPr>
        <w:spacing w:after="0" w:line="81" w:lineRule="exact"/>
        <w:rPr>
          <w:sz w:val="20"/>
          <w:szCs w:val="20"/>
          <w:color w:val="auto"/>
        </w:rPr>
      </w:pPr>
    </w:p>
    <w:p>
      <w:pPr>
        <w:spacing w:after="0" w:line="278" w:lineRule="auto"/>
        <w:rPr>
          <w:sz w:val="20"/>
          <w:szCs w:val="20"/>
          <w:color w:val="auto"/>
        </w:rPr>
      </w:pPr>
      <w:r>
        <w:rPr>
          <w:rFonts w:ascii="Arial" w:cs="Arial" w:eastAsia="Arial" w:hAnsi="Arial"/>
          <w:sz w:val="14"/>
          <w:szCs w:val="14"/>
          <w:color w:val="231F20"/>
        </w:rPr>
        <w:t>The Committee has the exclusive authority to select, evaluate and, where appropriate, replace the Company’s independent registered public accounting firm.</w:t>
      </w:r>
    </w:p>
    <w:p>
      <w:pPr>
        <w:spacing w:after="0" w:line="86" w:lineRule="exact"/>
        <w:rPr>
          <w:sz w:val="20"/>
          <w:szCs w:val="20"/>
          <w:color w:val="auto"/>
        </w:rPr>
      </w:pPr>
    </w:p>
    <w:p>
      <w:pPr>
        <w:ind w:right="220"/>
        <w:spacing w:after="0" w:line="278" w:lineRule="auto"/>
        <w:rPr>
          <w:sz w:val="20"/>
          <w:szCs w:val="20"/>
          <w:color w:val="auto"/>
        </w:rPr>
      </w:pPr>
      <w:r>
        <w:rPr>
          <w:rFonts w:ascii="Arial" w:cs="Arial" w:eastAsia="Arial" w:hAnsi="Arial"/>
          <w:sz w:val="14"/>
          <w:szCs w:val="14"/>
          <w:color w:val="231F20"/>
        </w:rPr>
        <w:t>The Committee has considered the extent and scope of non-audit services provided to the Company by its independent registered public accounting firm and has determined that these services are compatible with maintaining its independence.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-1433195</wp:posOffset>
            </wp:positionH>
            <wp:positionV relativeFrom="paragraph">
              <wp:posOffset>1746250</wp:posOffset>
            </wp:positionV>
            <wp:extent cx="713994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9940" cy="8255"/>
                    </a:xfrm>
                    <a:prstGeom prst="rect">
                      <a:avLst/>
                    </a:prstGeom>
                    <a:noFill/>
                  </pic:spPr>
                </pic:pic>
              </a:graphicData>
            </a:graphic>
          </wp:anchor>
        </w:drawing>
      </w:r>
    </w:p>
    <w:p>
      <w:pPr>
        <w:spacing w:after="0" w:line="2782" w:lineRule="exact"/>
        <w:rPr>
          <w:sz w:val="20"/>
          <w:szCs w:val="20"/>
          <w:color w:val="auto"/>
        </w:rPr>
      </w:pPr>
    </w:p>
    <w:p>
      <w:pPr>
        <w:sectPr>
          <w:pgSz w:w="11900" w:h="16838" w:orient="portrait"/>
          <w:cols w:equalWidth="0" w:num="2">
            <w:col w:w="2180" w:space="80"/>
            <w:col w:w="8960"/>
          </w:cols>
          <w:pgMar w:left="320" w:top="636" w:right="359" w:bottom="1440" w:gutter="0" w:footer="0" w:header="0"/>
          <w:type w:val="continuous"/>
        </w:sectPr>
      </w:pPr>
    </w:p>
    <w:p>
      <w:pPr>
        <w:spacing w:after="0" w:line="48" w:lineRule="exact"/>
        <w:rPr>
          <w:sz w:val="20"/>
          <w:szCs w:val="20"/>
          <w:color w:val="auto"/>
        </w:rPr>
      </w:pPr>
    </w:p>
    <w:p>
      <w:pPr>
        <w:ind w:left="300" w:hanging="298"/>
        <w:spacing w:after="0"/>
        <w:tabs>
          <w:tab w:leader="none" w:pos="300" w:val="left"/>
        </w:tabs>
        <w:numPr>
          <w:ilvl w:val="0"/>
          <w:numId w:val="50"/>
        </w:numPr>
        <w:rPr>
          <w:rFonts w:ascii="Arial" w:cs="Arial" w:eastAsia="Arial" w:hAnsi="Arial"/>
          <w:sz w:val="14"/>
          <w:szCs w:val="14"/>
          <w:color w:val="455986"/>
        </w:rPr>
      </w:pPr>
      <w:r>
        <w:rPr>
          <w:rFonts w:ascii="Arial" w:cs="Arial" w:eastAsia="Arial" w:hAnsi="Arial"/>
          <w:sz w:val="11"/>
          <w:szCs w:val="11"/>
          <w:color w:val="4395D4"/>
        </w:rPr>
        <w:t xml:space="preserve">ESSENTIAL UTILITIES, INC. </w:t>
      </w:r>
      <w:r>
        <w:rPr>
          <w:rFonts w:ascii="Arial" w:cs="Arial" w:eastAsia="Arial" w:hAnsi="Arial"/>
          <w:sz w:val="11"/>
          <w:szCs w:val="11"/>
          <w:color w:val="455986"/>
        </w:rPr>
        <w:t>2021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316230</wp:posOffset>
            </wp:positionV>
            <wp:extent cx="7139940" cy="2413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9940" cy="24130"/>
                    </a:xfrm>
                    <a:prstGeom prst="rect">
                      <a:avLst/>
                    </a:prstGeom>
                    <a:noFill/>
                  </pic:spPr>
                </pic:pic>
              </a:graphicData>
            </a:graphic>
          </wp:anchor>
        </w:drawing>
      </w:r>
    </w:p>
    <w:p>
      <w:pPr>
        <w:sectPr>
          <w:pgSz w:w="11900" w:h="16838" w:orient="portrait"/>
          <w:cols w:equalWidth="0" w:num="1">
            <w:col w:w="11220"/>
          </w:cols>
          <w:pgMar w:left="320" w:top="636" w:right="359" w:bottom="1440" w:gutter="0" w:footer="0" w:header="0"/>
          <w:type w:val="continuous"/>
        </w:sectPr>
      </w:pPr>
    </w:p>
    <w:bookmarkStart w:id="21" w:name="page22"/>
    <w:bookmarkEnd w:id="21"/>
    <w:p>
      <w:pPr>
        <w:spacing w:after="0"/>
        <w:rPr>
          <w:sz w:val="20"/>
          <w:szCs w:val="20"/>
          <w:color w:val="auto"/>
        </w:rPr>
      </w:pPr>
      <w:r>
        <w:rPr>
          <w:rFonts w:ascii="Arial" w:cs="Arial" w:eastAsia="Arial" w:hAnsi="Arial"/>
          <w:sz w:val="14"/>
          <w:szCs w:val="14"/>
          <w:b w:val="1"/>
          <w:bCs w:val="1"/>
          <w:color w:val="455986"/>
        </w:rPr>
        <w:t>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27940</wp:posOffset>
            </wp:positionV>
            <wp:extent cx="713994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9940" cy="8255"/>
                    </a:xfrm>
                    <a:prstGeom prst="rect">
                      <a:avLst/>
                    </a:prstGeom>
                    <a:noFill/>
                  </pic:spPr>
                </pic:pic>
              </a:graphicData>
            </a:graphic>
          </wp:anchor>
        </w:drawing>
      </w:r>
    </w:p>
    <w:p>
      <w:pPr>
        <w:spacing w:after="0" w:line="76" w:lineRule="exact"/>
        <w:rPr>
          <w:sz w:val="20"/>
          <w:szCs w:val="20"/>
          <w:color w:val="auto"/>
        </w:rPr>
      </w:pPr>
    </w:p>
    <w:p>
      <w:pPr>
        <w:spacing w:after="0"/>
        <w:rPr>
          <w:sz w:val="20"/>
          <w:szCs w:val="20"/>
          <w:color w:val="auto"/>
        </w:rPr>
      </w:pPr>
      <w:r>
        <w:rPr>
          <w:rFonts w:ascii="Arial" w:cs="Arial" w:eastAsia="Arial" w:hAnsi="Arial"/>
          <w:sz w:val="12"/>
          <w:szCs w:val="12"/>
          <w:color w:val="231F20"/>
        </w:rPr>
        <w:t>Board Committee Membership, Meetings and Director Attendance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138430</wp:posOffset>
            </wp:positionV>
            <wp:extent cx="713994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9940" cy="8255"/>
                    </a:xfrm>
                    <a:prstGeom prst="rect">
                      <a:avLst/>
                    </a:prstGeom>
                    <a:noFill/>
                  </pic:spPr>
                </pic:pic>
              </a:graphicData>
            </a:graphic>
          </wp:anchor>
        </w:drawing>
      </w:r>
    </w:p>
    <w:p>
      <w:pPr>
        <w:sectPr>
          <w:pgSz w:w="11900" w:h="16838" w:orient="portrait"/>
          <w:cols w:equalWidth="0" w:num="1">
            <w:col w:w="11240"/>
          </w:cols>
          <w:pgMar w:left="320" w:top="636"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spacing w:after="0"/>
        <w:rPr>
          <w:sz w:val="20"/>
          <w:szCs w:val="20"/>
          <w:color w:val="auto"/>
        </w:rPr>
      </w:pPr>
      <w:r>
        <w:rPr>
          <w:rFonts w:ascii="Arial" w:cs="Arial" w:eastAsia="Arial" w:hAnsi="Arial"/>
          <w:sz w:val="14"/>
          <w:szCs w:val="14"/>
          <w:b w:val="1"/>
          <w:bCs w:val="1"/>
          <w:color w:val="4395D4"/>
        </w:rPr>
        <w:t>Chair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-1349375</wp:posOffset>
            </wp:positionV>
            <wp:extent cx="1029335" cy="120777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1029335" cy="1207770"/>
                    </a:xfrm>
                    <a:prstGeom prst="rect">
                      <a:avLst/>
                    </a:prstGeom>
                    <a:noFill/>
                  </pic:spPr>
                </pic:pic>
              </a:graphicData>
            </a:graphic>
          </wp:anchor>
        </w:drawing>
      </w:r>
    </w:p>
    <w:p>
      <w:pPr>
        <w:spacing w:after="0" w:line="61" w:lineRule="exact"/>
        <w:rPr>
          <w:sz w:val="20"/>
          <w:szCs w:val="20"/>
          <w:color w:val="auto"/>
        </w:rPr>
      </w:pPr>
    </w:p>
    <w:p>
      <w:pPr>
        <w:spacing w:after="0"/>
        <w:rPr>
          <w:sz w:val="20"/>
          <w:szCs w:val="20"/>
          <w:color w:val="auto"/>
        </w:rPr>
      </w:pPr>
      <w:r>
        <w:rPr>
          <w:rFonts w:ascii="Arial" w:cs="Arial" w:eastAsia="Arial" w:hAnsi="Arial"/>
          <w:sz w:val="14"/>
          <w:szCs w:val="14"/>
          <w:b w:val="1"/>
          <w:bCs w:val="1"/>
          <w:color w:val="231F20"/>
        </w:rPr>
        <w:t>Daniel J. Hilferty</w:t>
      </w:r>
    </w:p>
    <w:p>
      <w:pPr>
        <w:spacing w:after="0" w:line="145" w:lineRule="exact"/>
        <w:rPr>
          <w:sz w:val="20"/>
          <w:szCs w:val="20"/>
          <w:color w:val="auto"/>
        </w:rPr>
      </w:pPr>
    </w:p>
    <w:p>
      <w:pPr>
        <w:spacing w:after="0"/>
        <w:rPr>
          <w:sz w:val="20"/>
          <w:szCs w:val="20"/>
          <w:color w:val="auto"/>
        </w:rPr>
      </w:pPr>
      <w:r>
        <w:rPr>
          <w:rFonts w:ascii="Arial" w:cs="Arial" w:eastAsia="Arial" w:hAnsi="Arial"/>
          <w:sz w:val="14"/>
          <w:szCs w:val="14"/>
          <w:b w:val="1"/>
          <w:bCs w:val="1"/>
          <w:color w:val="455986"/>
        </w:rPr>
        <w:t>Members</w:t>
      </w:r>
    </w:p>
    <w:p>
      <w:pPr>
        <w:spacing w:after="0" w:line="83" w:lineRule="exact"/>
        <w:rPr>
          <w:sz w:val="20"/>
          <w:szCs w:val="20"/>
          <w:color w:val="auto"/>
        </w:rPr>
      </w:pPr>
    </w:p>
    <w:p>
      <w:pPr>
        <w:ind w:right="1000"/>
        <w:spacing w:after="0" w:line="410" w:lineRule="auto"/>
        <w:rPr>
          <w:sz w:val="20"/>
          <w:szCs w:val="20"/>
          <w:color w:val="auto"/>
        </w:rPr>
      </w:pPr>
      <w:r>
        <w:rPr>
          <w:rFonts w:ascii="Arial" w:cs="Arial" w:eastAsia="Arial" w:hAnsi="Arial"/>
          <w:sz w:val="12"/>
          <w:szCs w:val="12"/>
          <w:color w:val="231F20"/>
        </w:rPr>
        <w:t>Elizabeth B. Amato Ellen T. Ruff</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231F20"/>
        </w:rPr>
        <w:t>Lee C. Stewart</w:t>
      </w:r>
    </w:p>
    <w:p>
      <w:pPr>
        <w:spacing w:after="0" w:line="81" w:lineRule="exact"/>
        <w:rPr>
          <w:sz w:val="20"/>
          <w:szCs w:val="20"/>
          <w:color w:val="auto"/>
        </w:rPr>
      </w:pPr>
    </w:p>
    <w:p>
      <w:pPr>
        <w:spacing w:after="0" w:line="261" w:lineRule="auto"/>
        <w:rPr>
          <w:sz w:val="20"/>
          <w:szCs w:val="20"/>
          <w:color w:val="auto"/>
        </w:rPr>
      </w:pPr>
      <w:r>
        <w:rPr>
          <w:rFonts w:ascii="Arial" w:cs="Arial" w:eastAsia="Arial" w:hAnsi="Arial"/>
          <w:sz w:val="14"/>
          <w:szCs w:val="14"/>
          <w:color w:val="231F20"/>
        </w:rPr>
        <w:t>All members are independent under NYSE listing requirements</w:t>
      </w:r>
    </w:p>
    <w:p>
      <w:pPr>
        <w:spacing w:after="0" w:line="20" w:lineRule="exact"/>
        <w:rPr>
          <w:sz w:val="20"/>
          <w:szCs w:val="20"/>
          <w:color w:val="auto"/>
        </w:rPr>
      </w:pPr>
      <w:r>
        <w:rPr>
          <w:sz w:val="20"/>
          <w:szCs w:val="20"/>
          <w:color w:val="auto"/>
        </w:rPr>
        <w:br w:type="column"/>
      </w:r>
    </w:p>
    <w:p>
      <w:pPr>
        <w:spacing w:after="0" w:line="21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310"/>
        </w:trPr>
        <w:tc>
          <w:tcPr>
            <w:tcW w:w="4420" w:type="dxa"/>
            <w:vAlign w:val="bottom"/>
          </w:tcPr>
          <w:p>
            <w:pPr>
              <w:spacing w:after="0"/>
              <w:rPr>
                <w:sz w:val="20"/>
                <w:szCs w:val="20"/>
                <w:color w:val="auto"/>
              </w:rPr>
            </w:pPr>
            <w:r>
              <w:rPr>
                <w:rFonts w:ascii="Arial" w:cs="Arial" w:eastAsia="Arial" w:hAnsi="Arial"/>
                <w:sz w:val="27"/>
                <w:szCs w:val="27"/>
                <w:b w:val="1"/>
                <w:bCs w:val="1"/>
                <w:color w:val="4395D4"/>
              </w:rPr>
              <w:t>Executive Compensation</w:t>
            </w:r>
          </w:p>
        </w:tc>
        <w:tc>
          <w:tcPr>
            <w:tcW w:w="2640" w:type="dxa"/>
            <w:vAlign w:val="bottom"/>
            <w:vMerge w:val="restart"/>
          </w:tcPr>
          <w:p>
            <w:pPr>
              <w:ind w:left="1200"/>
              <w:spacing w:after="0"/>
              <w:rPr>
                <w:sz w:val="20"/>
                <w:szCs w:val="20"/>
                <w:color w:val="auto"/>
              </w:rPr>
            </w:pPr>
            <w:r>
              <w:rPr>
                <w:rFonts w:ascii="Arial" w:cs="Arial" w:eastAsia="Arial" w:hAnsi="Arial"/>
                <w:sz w:val="14"/>
                <w:szCs w:val="14"/>
                <w:color w:val="231F20"/>
              </w:rPr>
              <w:t xml:space="preserve">2020 Meetings Held: </w:t>
            </w:r>
            <w:r>
              <w:rPr>
                <w:rFonts w:ascii="Arial" w:cs="Arial" w:eastAsia="Arial" w:hAnsi="Arial"/>
                <w:sz w:val="14"/>
                <w:szCs w:val="14"/>
                <w:b w:val="1"/>
                <w:bCs w:val="1"/>
                <w:color w:val="4395D4"/>
              </w:rPr>
              <w:t>6</w:t>
            </w:r>
          </w:p>
        </w:tc>
        <w:tc>
          <w:tcPr>
            <w:tcW w:w="0" w:type="dxa"/>
            <w:vAlign w:val="bottom"/>
          </w:tcPr>
          <w:p>
            <w:pPr>
              <w:spacing w:after="0"/>
              <w:rPr>
                <w:sz w:val="1"/>
                <w:szCs w:val="1"/>
                <w:color w:val="auto"/>
              </w:rPr>
            </w:pPr>
          </w:p>
        </w:tc>
      </w:tr>
      <w:tr>
        <w:trPr>
          <w:trHeight w:val="54"/>
        </w:trPr>
        <w:tc>
          <w:tcPr>
            <w:tcW w:w="4420" w:type="dxa"/>
            <w:vAlign w:val="bottom"/>
          </w:tcPr>
          <w:p>
            <w:pPr>
              <w:spacing w:after="0"/>
              <w:rPr>
                <w:sz w:val="4"/>
                <w:szCs w:val="4"/>
                <w:color w:val="auto"/>
              </w:rPr>
            </w:pPr>
          </w:p>
        </w:tc>
        <w:tc>
          <w:tcPr>
            <w:tcW w:w="26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71" w:lineRule="exact"/>
        <w:rPr>
          <w:sz w:val="20"/>
          <w:szCs w:val="20"/>
          <w:color w:val="auto"/>
        </w:rPr>
      </w:pPr>
    </w:p>
    <w:p>
      <w:pPr>
        <w:spacing w:after="0"/>
        <w:rPr>
          <w:sz w:val="20"/>
          <w:szCs w:val="20"/>
          <w:color w:val="auto"/>
        </w:rPr>
      </w:pPr>
      <w:r>
        <w:rPr>
          <w:rFonts w:ascii="Arial" w:cs="Arial" w:eastAsia="Arial" w:hAnsi="Arial"/>
          <w:sz w:val="14"/>
          <w:szCs w:val="14"/>
          <w:color w:val="231F20"/>
        </w:rPr>
        <w:t>The Committee is responsible for administering our equity compensation plans and determining executive compensation each year.</w:t>
      </w:r>
    </w:p>
    <w:p>
      <w:pPr>
        <w:spacing w:after="0" w:line="81" w:lineRule="exact"/>
        <w:rPr>
          <w:sz w:val="20"/>
          <w:szCs w:val="20"/>
          <w:color w:val="auto"/>
        </w:rPr>
      </w:pPr>
    </w:p>
    <w:p>
      <w:pPr>
        <w:spacing w:after="0"/>
        <w:rPr>
          <w:sz w:val="20"/>
          <w:szCs w:val="20"/>
          <w:color w:val="auto"/>
        </w:rPr>
      </w:pPr>
      <w:r>
        <w:rPr>
          <w:rFonts w:ascii="Arial" w:cs="Arial" w:eastAsia="Arial" w:hAnsi="Arial"/>
          <w:sz w:val="14"/>
          <w:szCs w:val="14"/>
          <w:color w:val="231F20"/>
        </w:rPr>
        <w:t>As part of its annual compensation-setting process, the Committee:</w:t>
      </w:r>
    </w:p>
    <w:p>
      <w:pPr>
        <w:spacing w:after="0" w:line="81" w:lineRule="exact"/>
        <w:rPr>
          <w:sz w:val="20"/>
          <w:szCs w:val="20"/>
          <w:color w:val="auto"/>
        </w:rPr>
      </w:pPr>
    </w:p>
    <w:p>
      <w:pPr>
        <w:ind w:left="180" w:right="240" w:hanging="179"/>
        <w:spacing w:after="0" w:line="277" w:lineRule="auto"/>
        <w:tabs>
          <w:tab w:leader="none" w:pos="126" w:val="left"/>
        </w:tabs>
        <w:numPr>
          <w:ilvl w:val="0"/>
          <w:numId w:val="51"/>
        </w:numPr>
        <w:rPr>
          <w:rFonts w:ascii="Times New Roman" w:cs="Times New Roman" w:eastAsia="Times New Roman" w:hAnsi="Times New Roman"/>
          <w:sz w:val="14"/>
          <w:szCs w:val="14"/>
          <w:color w:val="4395D4"/>
        </w:rPr>
      </w:pPr>
      <w:r>
        <w:rPr>
          <w:rFonts w:ascii="Arial" w:cs="Arial" w:eastAsia="Arial" w:hAnsi="Arial"/>
          <w:sz w:val="14"/>
          <w:szCs w:val="14"/>
          <w:color w:val="231F20"/>
        </w:rPr>
        <w:t>reviews the recommendations of the Chief Executive Officer as to appropriate compensation of the Company’s executive officers (other than the Chief Executive Officer) and determines the compensation of these executive officers; and</w:t>
      </w:r>
    </w:p>
    <w:p>
      <w:pPr>
        <w:spacing w:after="0" w:line="10" w:lineRule="exact"/>
        <w:rPr>
          <w:rFonts w:ascii="Times New Roman" w:cs="Times New Roman" w:eastAsia="Times New Roman" w:hAnsi="Times New Roman"/>
          <w:sz w:val="14"/>
          <w:szCs w:val="14"/>
          <w:color w:val="4395D4"/>
        </w:rPr>
      </w:pPr>
    </w:p>
    <w:p>
      <w:pPr>
        <w:ind w:left="180" w:right="140" w:hanging="179"/>
        <w:spacing w:after="0" w:line="277" w:lineRule="auto"/>
        <w:tabs>
          <w:tab w:leader="none" w:pos="126" w:val="left"/>
        </w:tabs>
        <w:numPr>
          <w:ilvl w:val="0"/>
          <w:numId w:val="51"/>
        </w:numPr>
        <w:rPr>
          <w:rFonts w:ascii="Times New Roman" w:cs="Times New Roman" w:eastAsia="Times New Roman" w:hAnsi="Times New Roman"/>
          <w:sz w:val="14"/>
          <w:szCs w:val="14"/>
          <w:color w:val="4395D4"/>
        </w:rPr>
      </w:pPr>
      <w:r>
        <w:rPr>
          <w:rFonts w:ascii="Arial" w:cs="Arial" w:eastAsia="Arial" w:hAnsi="Arial"/>
          <w:sz w:val="14"/>
          <w:szCs w:val="14"/>
          <w:color w:val="231F20"/>
        </w:rPr>
        <w:t>reviews and recommends to the Board of Directors the compensation for the Chief Executive Officer, which is subject to final approval by the independent members of the Board of Directors.</w:t>
      </w:r>
    </w:p>
    <w:p>
      <w:pPr>
        <w:spacing w:after="0" w:line="23" w:lineRule="exact"/>
        <w:rPr>
          <w:sz w:val="20"/>
          <w:szCs w:val="20"/>
          <w:color w:val="auto"/>
        </w:rPr>
      </w:pPr>
    </w:p>
    <w:p>
      <w:pPr>
        <w:ind w:right="700"/>
        <w:spacing w:after="0" w:line="278" w:lineRule="auto"/>
        <w:rPr>
          <w:sz w:val="20"/>
          <w:szCs w:val="20"/>
          <w:color w:val="auto"/>
        </w:rPr>
      </w:pPr>
      <w:r>
        <w:rPr>
          <w:rFonts w:ascii="Arial" w:cs="Arial" w:eastAsia="Arial" w:hAnsi="Arial"/>
          <w:sz w:val="14"/>
          <w:szCs w:val="14"/>
          <w:color w:val="231F20"/>
        </w:rPr>
        <w:t>The Committee has retained an independent compensation consultant, Pay Governance LLC, to assist in designing our executive compensation program and assessing its competitiveness through benchmarking peer analysis and other methodologies.</w:t>
      </w:r>
    </w:p>
    <w:p>
      <w:pPr>
        <w:spacing w:after="0" w:line="86" w:lineRule="exact"/>
        <w:rPr>
          <w:sz w:val="20"/>
          <w:szCs w:val="20"/>
          <w:color w:val="auto"/>
        </w:rPr>
      </w:pPr>
    </w:p>
    <w:p>
      <w:pPr>
        <w:spacing w:after="0"/>
        <w:rPr>
          <w:sz w:val="20"/>
          <w:szCs w:val="20"/>
          <w:color w:val="auto"/>
        </w:rPr>
      </w:pPr>
      <w:r>
        <w:rPr>
          <w:rFonts w:ascii="Arial" w:cs="Arial" w:eastAsia="Arial" w:hAnsi="Arial"/>
          <w:sz w:val="14"/>
          <w:szCs w:val="14"/>
          <w:color w:val="231F20"/>
        </w:rPr>
        <w:t>The Committee has the power to delegate aspects of its work to subcommittees, with the approval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-1433195</wp:posOffset>
            </wp:positionH>
            <wp:positionV relativeFrom="paragraph">
              <wp:posOffset>981075</wp:posOffset>
            </wp:positionV>
            <wp:extent cx="713994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39940" cy="8255"/>
                    </a:xfrm>
                    <a:prstGeom prst="rect">
                      <a:avLst/>
                    </a:prstGeom>
                    <a:noFill/>
                  </pic:spPr>
                </pic:pic>
              </a:graphicData>
            </a:graphic>
          </wp:anchor>
        </w:drawing>
      </w:r>
    </w:p>
    <w:p>
      <w:pPr>
        <w:spacing w:after="0" w:line="1585" w:lineRule="exact"/>
        <w:rPr>
          <w:sz w:val="20"/>
          <w:szCs w:val="20"/>
          <w:color w:val="auto"/>
        </w:rPr>
      </w:pPr>
    </w:p>
    <w:p>
      <w:pPr>
        <w:sectPr>
          <w:pgSz w:w="11900" w:h="16838" w:orient="portrait"/>
          <w:cols w:equalWidth="0" w:num="2">
            <w:col w:w="2160" w:space="100"/>
            <w:col w:w="8980"/>
          </w:cols>
          <w:pgMar w:left="320" w:top="636"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Arial" w:cs="Arial" w:eastAsia="Arial" w:hAnsi="Arial"/>
          <w:sz w:val="14"/>
          <w:szCs w:val="14"/>
          <w:b w:val="1"/>
          <w:bCs w:val="1"/>
          <w:color w:val="4395D4"/>
        </w:rPr>
        <w:t>Chair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-1365250</wp:posOffset>
            </wp:positionV>
            <wp:extent cx="1029335" cy="120777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1029335" cy="1207770"/>
                    </a:xfrm>
                    <a:prstGeom prst="rect">
                      <a:avLst/>
                    </a:prstGeom>
                    <a:noFill/>
                  </pic:spPr>
                </pic:pic>
              </a:graphicData>
            </a:graphic>
          </wp:anchor>
        </w:drawing>
      </w:r>
    </w:p>
    <w:p>
      <w:pPr>
        <w:spacing w:after="0" w:line="61" w:lineRule="exact"/>
        <w:rPr>
          <w:sz w:val="20"/>
          <w:szCs w:val="20"/>
          <w:color w:val="auto"/>
        </w:rPr>
      </w:pPr>
    </w:p>
    <w:p>
      <w:pPr>
        <w:spacing w:after="0"/>
        <w:rPr>
          <w:sz w:val="20"/>
          <w:szCs w:val="20"/>
          <w:color w:val="auto"/>
        </w:rPr>
      </w:pPr>
      <w:r>
        <w:rPr>
          <w:rFonts w:ascii="Arial" w:cs="Arial" w:eastAsia="Arial" w:hAnsi="Arial"/>
          <w:sz w:val="14"/>
          <w:szCs w:val="14"/>
          <w:b w:val="1"/>
          <w:bCs w:val="1"/>
          <w:color w:val="231F20"/>
        </w:rPr>
        <w:t>Elizabeth B. Amato</w:t>
      </w:r>
    </w:p>
    <w:p>
      <w:pPr>
        <w:spacing w:after="0" w:line="145" w:lineRule="exact"/>
        <w:rPr>
          <w:sz w:val="20"/>
          <w:szCs w:val="20"/>
          <w:color w:val="auto"/>
        </w:rPr>
      </w:pPr>
    </w:p>
    <w:p>
      <w:pPr>
        <w:spacing w:after="0"/>
        <w:rPr>
          <w:sz w:val="20"/>
          <w:szCs w:val="20"/>
          <w:color w:val="auto"/>
        </w:rPr>
      </w:pPr>
      <w:r>
        <w:rPr>
          <w:rFonts w:ascii="Arial" w:cs="Arial" w:eastAsia="Arial" w:hAnsi="Arial"/>
          <w:sz w:val="14"/>
          <w:szCs w:val="14"/>
          <w:b w:val="1"/>
          <w:bCs w:val="1"/>
          <w:color w:val="455986"/>
        </w:rPr>
        <w:t>Members</w:t>
      </w:r>
    </w:p>
    <w:p>
      <w:pPr>
        <w:spacing w:after="0" w:line="83" w:lineRule="exact"/>
        <w:rPr>
          <w:sz w:val="20"/>
          <w:szCs w:val="20"/>
          <w:color w:val="auto"/>
        </w:rPr>
      </w:pPr>
    </w:p>
    <w:p>
      <w:pPr>
        <w:spacing w:after="0"/>
        <w:rPr>
          <w:sz w:val="20"/>
          <w:szCs w:val="20"/>
          <w:color w:val="auto"/>
        </w:rPr>
      </w:pPr>
      <w:r>
        <w:rPr>
          <w:rFonts w:ascii="Arial" w:cs="Arial" w:eastAsia="Arial" w:hAnsi="Arial"/>
          <w:sz w:val="14"/>
          <w:szCs w:val="14"/>
          <w:color w:val="231F20"/>
        </w:rPr>
        <w:t>Daniel J. Hilferty</w:t>
      </w:r>
    </w:p>
    <w:p>
      <w:pPr>
        <w:spacing w:after="0" w:line="69" w:lineRule="exact"/>
        <w:rPr>
          <w:sz w:val="20"/>
          <w:szCs w:val="20"/>
          <w:color w:val="auto"/>
        </w:rPr>
      </w:pPr>
    </w:p>
    <w:p>
      <w:pPr>
        <w:ind w:right="720"/>
        <w:spacing w:after="0" w:line="414" w:lineRule="auto"/>
        <w:rPr>
          <w:sz w:val="20"/>
          <w:szCs w:val="20"/>
          <w:color w:val="auto"/>
        </w:rPr>
      </w:pPr>
      <w:r>
        <w:rPr>
          <w:rFonts w:ascii="Arial" w:cs="Arial" w:eastAsia="Arial" w:hAnsi="Arial"/>
          <w:sz w:val="12"/>
          <w:szCs w:val="12"/>
          <w:color w:val="231F20"/>
        </w:rPr>
        <w:t>Francis O. Idehen Ellen T. Ruff Christopher C. Womack</w:t>
      </w:r>
    </w:p>
    <w:p>
      <w:pPr>
        <w:spacing w:after="0" w:line="1" w:lineRule="exact"/>
        <w:rPr>
          <w:sz w:val="20"/>
          <w:szCs w:val="20"/>
          <w:color w:val="auto"/>
        </w:rPr>
      </w:pPr>
    </w:p>
    <w:p>
      <w:pPr>
        <w:spacing w:after="0" w:line="261" w:lineRule="auto"/>
        <w:rPr>
          <w:sz w:val="20"/>
          <w:szCs w:val="20"/>
          <w:color w:val="auto"/>
        </w:rPr>
      </w:pPr>
      <w:r>
        <w:rPr>
          <w:rFonts w:ascii="Arial" w:cs="Arial" w:eastAsia="Arial" w:hAnsi="Arial"/>
          <w:sz w:val="14"/>
          <w:szCs w:val="14"/>
          <w:color w:val="231F20"/>
        </w:rPr>
        <w:t>All members are independent under NYSE listing requirements</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310"/>
        </w:trPr>
        <w:tc>
          <w:tcPr>
            <w:tcW w:w="4280" w:type="dxa"/>
            <w:vAlign w:val="bottom"/>
          </w:tcPr>
          <w:p>
            <w:pPr>
              <w:spacing w:after="0"/>
              <w:rPr>
                <w:sz w:val="20"/>
                <w:szCs w:val="20"/>
                <w:color w:val="auto"/>
              </w:rPr>
            </w:pPr>
            <w:r>
              <w:rPr>
                <w:rFonts w:ascii="Arial" w:cs="Arial" w:eastAsia="Arial" w:hAnsi="Arial"/>
                <w:sz w:val="27"/>
                <w:szCs w:val="27"/>
                <w:b w:val="1"/>
                <w:bCs w:val="1"/>
                <w:color w:val="4395D4"/>
              </w:rPr>
              <w:t>Corporate Governance</w:t>
            </w:r>
          </w:p>
        </w:tc>
        <w:tc>
          <w:tcPr>
            <w:tcW w:w="2780" w:type="dxa"/>
            <w:vAlign w:val="bottom"/>
            <w:vMerge w:val="restart"/>
          </w:tcPr>
          <w:p>
            <w:pPr>
              <w:ind w:left="1340"/>
              <w:spacing w:after="0"/>
              <w:rPr>
                <w:sz w:val="20"/>
                <w:szCs w:val="20"/>
                <w:color w:val="auto"/>
              </w:rPr>
            </w:pPr>
            <w:r>
              <w:rPr>
                <w:rFonts w:ascii="Arial" w:cs="Arial" w:eastAsia="Arial" w:hAnsi="Arial"/>
                <w:sz w:val="14"/>
                <w:szCs w:val="14"/>
                <w:color w:val="231F20"/>
              </w:rPr>
              <w:t xml:space="preserve">2020 Meetings Held: </w:t>
            </w:r>
            <w:r>
              <w:rPr>
                <w:rFonts w:ascii="Arial" w:cs="Arial" w:eastAsia="Arial" w:hAnsi="Arial"/>
                <w:sz w:val="14"/>
                <w:szCs w:val="14"/>
                <w:b w:val="1"/>
                <w:bCs w:val="1"/>
                <w:color w:val="4395D4"/>
              </w:rPr>
              <w:t>5</w:t>
            </w:r>
          </w:p>
        </w:tc>
        <w:tc>
          <w:tcPr>
            <w:tcW w:w="0" w:type="dxa"/>
            <w:vAlign w:val="bottom"/>
          </w:tcPr>
          <w:p>
            <w:pPr>
              <w:spacing w:after="0"/>
              <w:rPr>
                <w:sz w:val="1"/>
                <w:szCs w:val="1"/>
                <w:color w:val="auto"/>
              </w:rPr>
            </w:pPr>
          </w:p>
        </w:tc>
      </w:tr>
      <w:tr>
        <w:trPr>
          <w:trHeight w:val="54"/>
        </w:trPr>
        <w:tc>
          <w:tcPr>
            <w:tcW w:w="4280" w:type="dxa"/>
            <w:vAlign w:val="bottom"/>
          </w:tcPr>
          <w:p>
            <w:pPr>
              <w:spacing w:after="0"/>
              <w:rPr>
                <w:sz w:val="4"/>
                <w:szCs w:val="4"/>
                <w:color w:val="auto"/>
              </w:rPr>
            </w:pPr>
          </w:p>
        </w:tc>
        <w:tc>
          <w:tcPr>
            <w:tcW w:w="27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Arial" w:cs="Arial" w:eastAsia="Arial" w:hAnsi="Arial"/>
          <w:sz w:val="14"/>
          <w:szCs w:val="14"/>
          <w:color w:val="231F20"/>
        </w:rPr>
        <w:t>The Committee’s primary responsibilities include:</w:t>
      </w:r>
    </w:p>
    <w:p>
      <w:pPr>
        <w:spacing w:after="0" w:line="145" w:lineRule="exact"/>
        <w:rPr>
          <w:sz w:val="20"/>
          <w:szCs w:val="20"/>
          <w:color w:val="auto"/>
        </w:rPr>
      </w:pPr>
    </w:p>
    <w:p>
      <w:pPr>
        <w:ind w:left="120" w:hanging="119"/>
        <w:spacing w:after="0"/>
        <w:tabs>
          <w:tab w:leader="none" w:pos="120" w:val="left"/>
        </w:tabs>
        <w:numPr>
          <w:ilvl w:val="0"/>
          <w:numId w:val="52"/>
        </w:numPr>
        <w:rPr>
          <w:rFonts w:ascii="Times New Roman" w:cs="Times New Roman" w:eastAsia="Times New Roman" w:hAnsi="Times New Roman"/>
          <w:sz w:val="14"/>
          <w:szCs w:val="14"/>
          <w:color w:val="4395D4"/>
        </w:rPr>
      </w:pPr>
      <w:r>
        <w:rPr>
          <w:rFonts w:ascii="Arial" w:cs="Arial" w:eastAsia="Arial" w:hAnsi="Arial"/>
          <w:sz w:val="14"/>
          <w:szCs w:val="14"/>
          <w:color w:val="231F20"/>
        </w:rPr>
        <w:t>identifying and considering qualified nominees for directors;</w:t>
      </w:r>
    </w:p>
    <w:p>
      <w:pPr>
        <w:spacing w:after="0" w:line="80" w:lineRule="exact"/>
        <w:rPr>
          <w:rFonts w:ascii="Times New Roman" w:cs="Times New Roman" w:eastAsia="Times New Roman" w:hAnsi="Times New Roman"/>
          <w:sz w:val="14"/>
          <w:szCs w:val="14"/>
          <w:color w:val="4395D4"/>
        </w:rPr>
      </w:pPr>
    </w:p>
    <w:p>
      <w:pPr>
        <w:ind w:left="120" w:hanging="119"/>
        <w:spacing w:after="0"/>
        <w:tabs>
          <w:tab w:leader="none" w:pos="120" w:val="left"/>
        </w:tabs>
        <w:numPr>
          <w:ilvl w:val="0"/>
          <w:numId w:val="52"/>
        </w:numPr>
        <w:rPr>
          <w:rFonts w:ascii="Times New Roman" w:cs="Times New Roman" w:eastAsia="Times New Roman" w:hAnsi="Times New Roman"/>
          <w:sz w:val="14"/>
          <w:szCs w:val="14"/>
          <w:color w:val="4395D4"/>
        </w:rPr>
      </w:pPr>
      <w:r>
        <w:rPr>
          <w:rFonts w:ascii="Arial" w:cs="Arial" w:eastAsia="Arial" w:hAnsi="Arial"/>
          <w:sz w:val="14"/>
          <w:szCs w:val="14"/>
          <w:color w:val="231F20"/>
        </w:rPr>
        <w:t>developing and periodically reviewing the Corporate Governance Guidelines;</w:t>
      </w:r>
    </w:p>
    <w:p>
      <w:pPr>
        <w:spacing w:after="0" w:line="144" w:lineRule="exact"/>
        <w:rPr>
          <w:rFonts w:ascii="Times New Roman" w:cs="Times New Roman" w:eastAsia="Times New Roman" w:hAnsi="Times New Roman"/>
          <w:sz w:val="14"/>
          <w:szCs w:val="14"/>
          <w:color w:val="4395D4"/>
        </w:rPr>
      </w:pPr>
    </w:p>
    <w:p>
      <w:pPr>
        <w:ind w:left="180" w:right="200" w:hanging="179"/>
        <w:spacing w:after="0" w:line="277" w:lineRule="auto"/>
        <w:tabs>
          <w:tab w:leader="none" w:pos="126" w:val="left"/>
        </w:tabs>
        <w:numPr>
          <w:ilvl w:val="0"/>
          <w:numId w:val="52"/>
        </w:numPr>
        <w:rPr>
          <w:rFonts w:ascii="Times New Roman" w:cs="Times New Roman" w:eastAsia="Times New Roman" w:hAnsi="Times New Roman"/>
          <w:sz w:val="14"/>
          <w:szCs w:val="14"/>
          <w:color w:val="4395D4"/>
        </w:rPr>
      </w:pPr>
      <w:r>
        <w:rPr>
          <w:rFonts w:ascii="Arial" w:cs="Arial" w:eastAsia="Arial" w:hAnsi="Arial"/>
          <w:sz w:val="14"/>
          <w:szCs w:val="14"/>
          <w:color w:val="231F20"/>
        </w:rPr>
        <w:t>advising the Board of Directors on director nominees, executive selections and succession planning, including a succession plan for the CEO and other senior executives; and</w:t>
      </w:r>
    </w:p>
    <w:p>
      <w:pPr>
        <w:spacing w:after="0" w:line="87" w:lineRule="exact"/>
        <w:rPr>
          <w:rFonts w:ascii="Times New Roman" w:cs="Times New Roman" w:eastAsia="Times New Roman" w:hAnsi="Times New Roman"/>
          <w:sz w:val="14"/>
          <w:szCs w:val="14"/>
          <w:color w:val="4395D4"/>
        </w:rPr>
      </w:pPr>
    </w:p>
    <w:p>
      <w:pPr>
        <w:ind w:left="120" w:hanging="119"/>
        <w:spacing w:after="0"/>
        <w:tabs>
          <w:tab w:leader="none" w:pos="120" w:val="left"/>
        </w:tabs>
        <w:numPr>
          <w:ilvl w:val="0"/>
          <w:numId w:val="52"/>
        </w:numPr>
        <w:rPr>
          <w:rFonts w:ascii="Times New Roman" w:cs="Times New Roman" w:eastAsia="Times New Roman" w:hAnsi="Times New Roman"/>
          <w:sz w:val="14"/>
          <w:szCs w:val="14"/>
          <w:color w:val="4395D4"/>
        </w:rPr>
      </w:pPr>
      <w:r>
        <w:rPr>
          <w:rFonts w:ascii="Arial" w:cs="Arial" w:eastAsia="Arial" w:hAnsi="Arial"/>
          <w:sz w:val="14"/>
          <w:szCs w:val="14"/>
          <w:color w:val="231F20"/>
        </w:rPr>
        <w:t>implementing and overseeing the comprehensive Board, Committee and peer review process.</w:t>
      </w:r>
    </w:p>
    <w:p>
      <w:pPr>
        <w:spacing w:after="0" w:line="145" w:lineRule="exact"/>
        <w:rPr>
          <w:sz w:val="20"/>
          <w:szCs w:val="20"/>
          <w:color w:val="auto"/>
        </w:rPr>
      </w:pPr>
    </w:p>
    <w:p>
      <w:pPr>
        <w:spacing w:after="0"/>
        <w:rPr>
          <w:sz w:val="20"/>
          <w:szCs w:val="20"/>
          <w:color w:val="auto"/>
        </w:rPr>
      </w:pPr>
      <w:r>
        <w:rPr>
          <w:rFonts w:ascii="Arial" w:cs="Arial" w:eastAsia="Arial" w:hAnsi="Arial"/>
          <w:sz w:val="14"/>
          <w:szCs w:val="14"/>
          <w:color w:val="231F20"/>
        </w:rPr>
        <w:t>The Committee also reviews and approves, ratifies or rejects related person transactions under the Company’s written policy.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-1433195</wp:posOffset>
            </wp:positionH>
            <wp:positionV relativeFrom="paragraph">
              <wp:posOffset>1264920</wp:posOffset>
            </wp:positionV>
            <wp:extent cx="713994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39940" cy="8255"/>
                    </a:xfrm>
                    <a:prstGeom prst="rect">
                      <a:avLst/>
                    </a:prstGeom>
                    <a:noFill/>
                  </pic:spPr>
                </pic:pic>
              </a:graphicData>
            </a:graphic>
          </wp:anchor>
        </w:drawing>
      </w:r>
    </w:p>
    <w:p>
      <w:pPr>
        <w:spacing w:after="0" w:line="1790" w:lineRule="exact"/>
        <w:rPr>
          <w:sz w:val="20"/>
          <w:szCs w:val="20"/>
          <w:color w:val="auto"/>
        </w:rPr>
      </w:pPr>
    </w:p>
    <w:p>
      <w:pPr>
        <w:sectPr>
          <w:pgSz w:w="11900" w:h="16838" w:orient="portrait"/>
          <w:cols w:equalWidth="0" w:num="2">
            <w:col w:w="2160" w:space="100"/>
            <w:col w:w="8980"/>
          </w:cols>
          <w:pgMar w:left="320" w:top="636" w:right="339" w:bottom="1440" w:gutter="0" w:footer="0" w:header="0"/>
          <w:type w:val="continuous"/>
        </w:sectPr>
      </w:pPr>
    </w:p>
    <w:p>
      <w:pPr>
        <w:spacing w:after="0" w:line="247" w:lineRule="exact"/>
        <w:rPr>
          <w:sz w:val="20"/>
          <w:szCs w:val="20"/>
          <w:color w:val="auto"/>
        </w:rPr>
      </w:pPr>
    </w:p>
    <w:p>
      <w:pPr>
        <w:ind w:left="7940"/>
        <w:spacing w:after="0"/>
        <w:tabs>
          <w:tab w:leader="none" w:pos="11060" w:val="left"/>
        </w:tabs>
        <w:rPr>
          <w:sz w:val="20"/>
          <w:szCs w:val="20"/>
          <w:color w:val="auto"/>
        </w:rPr>
      </w:pPr>
      <w:r>
        <w:rPr>
          <w:rFonts w:ascii="Arial" w:cs="Arial" w:eastAsia="Arial" w:hAnsi="Arial"/>
          <w:sz w:val="12"/>
          <w:szCs w:val="12"/>
          <w:color w:val="4395D4"/>
        </w:rPr>
        <w:t xml:space="preserve">ESSENTIAL UTILITIES, INC. </w:t>
      </w:r>
      <w:r>
        <w:rPr>
          <w:rFonts w:ascii="Arial" w:cs="Arial" w:eastAsia="Arial" w:hAnsi="Arial"/>
          <w:sz w:val="12"/>
          <w:szCs w:val="12"/>
          <w:color w:val="455986"/>
        </w:rPr>
        <w:t>2021 PROXY STATEMENT</w:t>
      </w:r>
      <w:r>
        <w:rPr>
          <w:sz w:val="20"/>
          <w:szCs w:val="20"/>
          <w:color w:val="auto"/>
        </w:rPr>
        <w:tab/>
      </w:r>
      <w:r>
        <w:rPr>
          <w:rFonts w:ascii="Arial" w:cs="Arial" w:eastAsia="Arial" w:hAnsi="Arial"/>
          <w:sz w:val="14"/>
          <w:szCs w:val="14"/>
          <w:color w:val="455986"/>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339090</wp:posOffset>
            </wp:positionV>
            <wp:extent cx="7139940" cy="2413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39940" cy="24130"/>
                    </a:xfrm>
                    <a:prstGeom prst="rect">
                      <a:avLst/>
                    </a:prstGeom>
                    <a:noFill/>
                  </pic:spPr>
                </pic:pic>
              </a:graphicData>
            </a:graphic>
          </wp:anchor>
        </w:drawing>
      </w:r>
    </w:p>
    <w:p>
      <w:pPr>
        <w:sectPr>
          <w:pgSz w:w="11900" w:h="16838" w:orient="portrait"/>
          <w:cols w:equalWidth="0" w:num="1">
            <w:col w:w="11240"/>
          </w:cols>
          <w:pgMar w:left="320" w:top="636" w:right="339" w:bottom="1440" w:gutter="0" w:footer="0" w:header="0"/>
          <w:type w:val="continuous"/>
        </w:sectPr>
      </w:pPr>
    </w:p>
    <w:bookmarkStart w:id="22" w:name="page23"/>
    <w:bookmarkEnd w:id="22"/>
    <w:p>
      <w:pPr>
        <w:spacing w:after="0"/>
        <w:rPr>
          <w:sz w:val="20"/>
          <w:szCs w:val="20"/>
          <w:color w:val="auto"/>
        </w:rPr>
      </w:pPr>
      <w:r>
        <w:rPr>
          <w:rFonts w:ascii="Arial" w:cs="Arial" w:eastAsia="Arial" w:hAnsi="Arial"/>
          <w:sz w:val="14"/>
          <w:szCs w:val="14"/>
          <w:b w:val="1"/>
          <w:bCs w:val="1"/>
          <w:color w:val="455986"/>
        </w:rPr>
        <w:t>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27940</wp:posOffset>
            </wp:positionV>
            <wp:extent cx="713994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39940" cy="8255"/>
                    </a:xfrm>
                    <a:prstGeom prst="rect">
                      <a:avLst/>
                    </a:prstGeom>
                    <a:noFill/>
                  </pic:spPr>
                </pic:pic>
              </a:graphicData>
            </a:graphic>
          </wp:anchor>
        </w:drawing>
      </w:r>
    </w:p>
    <w:p>
      <w:pPr>
        <w:spacing w:after="0" w:line="76" w:lineRule="exact"/>
        <w:rPr>
          <w:sz w:val="20"/>
          <w:szCs w:val="20"/>
          <w:color w:val="auto"/>
        </w:rPr>
      </w:pPr>
    </w:p>
    <w:p>
      <w:pPr>
        <w:spacing w:after="0"/>
        <w:rPr>
          <w:sz w:val="20"/>
          <w:szCs w:val="20"/>
          <w:color w:val="auto"/>
        </w:rPr>
      </w:pPr>
      <w:r>
        <w:rPr>
          <w:rFonts w:ascii="Arial" w:cs="Arial" w:eastAsia="Arial" w:hAnsi="Arial"/>
          <w:sz w:val="12"/>
          <w:szCs w:val="12"/>
          <w:color w:val="231F20"/>
        </w:rPr>
        <w:t>Board Committee Membership, Meetings and Director Attendance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138430</wp:posOffset>
            </wp:positionV>
            <wp:extent cx="713994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39940" cy="8255"/>
                    </a:xfrm>
                    <a:prstGeom prst="rect">
                      <a:avLst/>
                    </a:prstGeom>
                    <a:noFill/>
                  </pic:spPr>
                </pic:pic>
              </a:graphicData>
            </a:graphic>
          </wp:anchor>
        </w:drawing>
      </w:r>
    </w:p>
    <w:p>
      <w:pPr>
        <w:sectPr>
          <w:pgSz w:w="11900" w:h="16838" w:orient="portrait"/>
          <w:cols w:equalWidth="0" w:num="1">
            <w:col w:w="11240"/>
          </w:cols>
          <w:pgMar w:left="320" w:top="63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Arial" w:cs="Arial" w:eastAsia="Arial" w:hAnsi="Arial"/>
          <w:sz w:val="14"/>
          <w:szCs w:val="14"/>
          <w:b w:val="1"/>
          <w:bCs w:val="1"/>
          <w:color w:val="4395D4"/>
        </w:rPr>
        <w:t>Chair*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-1341120</wp:posOffset>
            </wp:positionV>
            <wp:extent cx="1029335" cy="119951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1029335" cy="1199515"/>
                    </a:xfrm>
                    <a:prstGeom prst="rect">
                      <a:avLst/>
                    </a:prstGeom>
                    <a:noFill/>
                  </pic:spPr>
                </pic:pic>
              </a:graphicData>
            </a:graphic>
          </wp:anchor>
        </w:drawing>
      </w:r>
    </w:p>
    <w:p>
      <w:pPr>
        <w:spacing w:after="0"/>
        <w:rPr>
          <w:sz w:val="20"/>
          <w:szCs w:val="20"/>
          <w:color w:val="auto"/>
        </w:rPr>
      </w:pPr>
      <w:r>
        <w:rPr>
          <w:rFonts w:ascii="Arial" w:cs="Arial" w:eastAsia="Arial" w:hAnsi="Arial"/>
          <w:sz w:val="12"/>
          <w:szCs w:val="12"/>
          <w:b w:val="1"/>
          <w:bCs w:val="1"/>
          <w:color w:val="231F20"/>
        </w:rPr>
        <w:t>Nicholas DeBenedictis</w:t>
      </w:r>
    </w:p>
    <w:p>
      <w:pPr>
        <w:spacing w:after="0" w:line="150" w:lineRule="exact"/>
        <w:rPr>
          <w:sz w:val="20"/>
          <w:szCs w:val="20"/>
          <w:color w:val="auto"/>
        </w:rPr>
      </w:pPr>
    </w:p>
    <w:p>
      <w:pPr>
        <w:spacing w:after="0"/>
        <w:rPr>
          <w:sz w:val="20"/>
          <w:szCs w:val="20"/>
          <w:color w:val="auto"/>
        </w:rPr>
      </w:pPr>
      <w:r>
        <w:rPr>
          <w:rFonts w:ascii="Arial" w:cs="Arial" w:eastAsia="Arial" w:hAnsi="Arial"/>
          <w:sz w:val="14"/>
          <w:szCs w:val="14"/>
          <w:b w:val="1"/>
          <w:bCs w:val="1"/>
          <w:color w:val="455986"/>
        </w:rPr>
        <w:t>Members</w:t>
      </w:r>
    </w:p>
    <w:p>
      <w:pPr>
        <w:spacing w:after="0" w:line="83" w:lineRule="exact"/>
        <w:rPr>
          <w:sz w:val="20"/>
          <w:szCs w:val="20"/>
          <w:color w:val="auto"/>
        </w:rPr>
      </w:pPr>
    </w:p>
    <w:p>
      <w:pPr>
        <w:spacing w:after="0"/>
        <w:rPr>
          <w:sz w:val="20"/>
          <w:szCs w:val="20"/>
          <w:color w:val="auto"/>
        </w:rPr>
      </w:pPr>
      <w:r>
        <w:rPr>
          <w:rFonts w:ascii="Arial" w:cs="Arial" w:eastAsia="Arial" w:hAnsi="Arial"/>
          <w:sz w:val="14"/>
          <w:szCs w:val="14"/>
          <w:color w:val="231F20"/>
        </w:rPr>
        <w:t>Christopher H. Franklin</w:t>
      </w:r>
    </w:p>
    <w:p>
      <w:pPr>
        <w:spacing w:after="0" w:line="81" w:lineRule="exact"/>
        <w:rPr>
          <w:sz w:val="20"/>
          <w:szCs w:val="20"/>
          <w:color w:val="auto"/>
        </w:rPr>
      </w:pPr>
    </w:p>
    <w:p>
      <w:pPr>
        <w:spacing w:after="0"/>
        <w:rPr>
          <w:sz w:val="20"/>
          <w:szCs w:val="20"/>
          <w:color w:val="auto"/>
        </w:rPr>
      </w:pPr>
      <w:r>
        <w:rPr>
          <w:rFonts w:ascii="Arial" w:cs="Arial" w:eastAsia="Arial" w:hAnsi="Arial"/>
          <w:sz w:val="12"/>
          <w:szCs w:val="12"/>
          <w:color w:val="231F20"/>
        </w:rPr>
        <w:t>Christopher C. Womack</w:t>
      </w:r>
    </w:p>
    <w:p>
      <w:pPr>
        <w:spacing w:after="0" w:line="92" w:lineRule="exact"/>
        <w:rPr>
          <w:sz w:val="20"/>
          <w:szCs w:val="20"/>
          <w:color w:val="auto"/>
        </w:rPr>
      </w:pPr>
    </w:p>
    <w:p>
      <w:pPr>
        <w:spacing w:after="0"/>
        <w:rPr>
          <w:sz w:val="20"/>
          <w:szCs w:val="20"/>
          <w:color w:val="auto"/>
        </w:rPr>
      </w:pPr>
      <w:r>
        <w:rPr>
          <w:rFonts w:ascii="Arial" w:cs="Arial" w:eastAsia="Arial" w:hAnsi="Arial"/>
          <w:sz w:val="14"/>
          <w:szCs w:val="14"/>
          <w:color w:val="231F20"/>
        </w:rPr>
        <w:t>Wendy Franks**</w:t>
      </w:r>
    </w:p>
    <w:p>
      <w:pPr>
        <w:spacing w:after="0" w:line="20" w:lineRule="exact"/>
        <w:rPr>
          <w:sz w:val="20"/>
          <w:szCs w:val="20"/>
          <w:color w:val="auto"/>
        </w:rPr>
      </w:pPr>
      <w:r>
        <w:rPr>
          <w:sz w:val="20"/>
          <w:szCs w:val="20"/>
          <w:color w:val="auto"/>
        </w:rPr>
        <w:br w:type="column"/>
      </w:r>
    </w:p>
    <w:p>
      <w:pPr>
        <w:spacing w:after="0" w:line="21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310"/>
        </w:trPr>
        <w:tc>
          <w:tcPr>
            <w:tcW w:w="5260" w:type="dxa"/>
            <w:vAlign w:val="bottom"/>
          </w:tcPr>
          <w:p>
            <w:pPr>
              <w:spacing w:after="0"/>
              <w:rPr>
                <w:sz w:val="20"/>
                <w:szCs w:val="20"/>
                <w:color w:val="auto"/>
              </w:rPr>
            </w:pPr>
            <w:r>
              <w:rPr>
                <w:rFonts w:ascii="Arial" w:cs="Arial" w:eastAsia="Arial" w:hAnsi="Arial"/>
                <w:sz w:val="27"/>
                <w:szCs w:val="27"/>
                <w:b w:val="1"/>
                <w:bCs w:val="1"/>
                <w:color w:val="4395D4"/>
              </w:rPr>
              <w:t>Risk Mitigation and Investment Policy</w:t>
            </w:r>
          </w:p>
        </w:tc>
        <w:tc>
          <w:tcPr>
            <w:tcW w:w="1800" w:type="dxa"/>
            <w:vAlign w:val="bottom"/>
            <w:vMerge w:val="restart"/>
          </w:tcPr>
          <w:p>
            <w:pPr>
              <w:ind w:left="360"/>
              <w:spacing w:after="0"/>
              <w:rPr>
                <w:sz w:val="20"/>
                <w:szCs w:val="20"/>
                <w:color w:val="auto"/>
              </w:rPr>
            </w:pPr>
            <w:r>
              <w:rPr>
                <w:rFonts w:ascii="Arial" w:cs="Arial" w:eastAsia="Arial" w:hAnsi="Arial"/>
                <w:sz w:val="14"/>
                <w:szCs w:val="14"/>
                <w:color w:val="231F20"/>
              </w:rPr>
              <w:t xml:space="preserve">2020 Meetings Held: </w:t>
            </w:r>
            <w:r>
              <w:rPr>
                <w:rFonts w:ascii="Arial" w:cs="Arial" w:eastAsia="Arial" w:hAnsi="Arial"/>
                <w:sz w:val="14"/>
                <w:szCs w:val="14"/>
                <w:b w:val="1"/>
                <w:bCs w:val="1"/>
                <w:color w:val="4395D4"/>
              </w:rPr>
              <w:t>5</w:t>
            </w:r>
          </w:p>
        </w:tc>
        <w:tc>
          <w:tcPr>
            <w:tcW w:w="0" w:type="dxa"/>
            <w:vAlign w:val="bottom"/>
          </w:tcPr>
          <w:p>
            <w:pPr>
              <w:spacing w:after="0"/>
              <w:rPr>
                <w:sz w:val="1"/>
                <w:szCs w:val="1"/>
                <w:color w:val="auto"/>
              </w:rPr>
            </w:pPr>
          </w:p>
        </w:tc>
      </w:tr>
      <w:tr>
        <w:trPr>
          <w:trHeight w:val="54"/>
        </w:trPr>
        <w:tc>
          <w:tcPr>
            <w:tcW w:w="5260" w:type="dxa"/>
            <w:vAlign w:val="bottom"/>
          </w:tcPr>
          <w:p>
            <w:pPr>
              <w:spacing w:after="0"/>
              <w:rPr>
                <w:sz w:val="4"/>
                <w:szCs w:val="4"/>
                <w:color w:val="auto"/>
              </w:rPr>
            </w:pPr>
          </w:p>
        </w:tc>
        <w:tc>
          <w:tcPr>
            <w:tcW w:w="18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08" w:lineRule="exact"/>
        <w:rPr>
          <w:sz w:val="20"/>
          <w:szCs w:val="20"/>
          <w:color w:val="auto"/>
        </w:rPr>
      </w:pPr>
    </w:p>
    <w:p>
      <w:pPr>
        <w:ind w:right="400"/>
        <w:spacing w:after="0" w:line="278" w:lineRule="auto"/>
        <w:rPr>
          <w:sz w:val="20"/>
          <w:szCs w:val="20"/>
          <w:color w:val="auto"/>
        </w:rPr>
      </w:pPr>
      <w:r>
        <w:rPr>
          <w:rFonts w:ascii="Arial" w:cs="Arial" w:eastAsia="Arial" w:hAnsi="Arial"/>
          <w:sz w:val="14"/>
          <w:szCs w:val="14"/>
          <w:color w:val="231F20"/>
        </w:rPr>
        <w:t>The Committee oversees the Company’s risk management process, policies, and procedures for identifying, managing and monitoring critical risks, including cyber-related risks, and its compliance with legal and regulatory requirements.</w:t>
      </w:r>
    </w:p>
    <w:p>
      <w:pPr>
        <w:spacing w:after="0" w:line="86" w:lineRule="exact"/>
        <w:rPr>
          <w:sz w:val="20"/>
          <w:szCs w:val="20"/>
          <w:color w:val="auto"/>
        </w:rPr>
      </w:pPr>
    </w:p>
    <w:p>
      <w:pPr>
        <w:ind w:left="180" w:hanging="179"/>
        <w:spacing w:after="0" w:line="277" w:lineRule="auto"/>
        <w:tabs>
          <w:tab w:leader="none" w:pos="126" w:val="left"/>
        </w:tabs>
        <w:numPr>
          <w:ilvl w:val="0"/>
          <w:numId w:val="53"/>
        </w:numPr>
        <w:rPr>
          <w:rFonts w:ascii="Times New Roman" w:cs="Times New Roman" w:eastAsia="Times New Roman" w:hAnsi="Times New Roman"/>
          <w:sz w:val="14"/>
          <w:szCs w:val="14"/>
          <w:color w:val="4395D4"/>
        </w:rPr>
      </w:pPr>
      <w:r>
        <w:rPr>
          <w:rFonts w:ascii="Arial" w:cs="Arial" w:eastAsia="Arial" w:hAnsi="Arial"/>
          <w:sz w:val="14"/>
          <w:szCs w:val="14"/>
          <w:color w:val="231F20"/>
        </w:rPr>
        <w:t xml:space="preserve">The Committee also oversees the Company’s acquisition process in which it is briefed on all potential transactions in excess of $10 million, and reviews all acquisitions valued in excess of </w:t>
      </w:r>
      <w:r>
        <w:rPr>
          <w:rFonts w:ascii="Arial" w:cs="Arial" w:eastAsia="Arial" w:hAnsi="Arial"/>
          <w:sz w:val="14"/>
          <w:szCs w:val="14"/>
          <w:color w:val="000000"/>
        </w:rPr>
        <w:t>$20 million and all transactions that involve the Company’s stock.</w:t>
      </w:r>
    </w:p>
    <w:p>
      <w:pPr>
        <w:spacing w:after="0" w:line="23" w:lineRule="exact"/>
        <w:rPr>
          <w:rFonts w:ascii="Times New Roman" w:cs="Times New Roman" w:eastAsia="Times New Roman" w:hAnsi="Times New Roman"/>
          <w:sz w:val="14"/>
          <w:szCs w:val="14"/>
          <w:color w:val="4395D4"/>
        </w:rPr>
      </w:pPr>
    </w:p>
    <w:p>
      <w:pPr>
        <w:ind w:left="180" w:right="100" w:hanging="179"/>
        <w:spacing w:after="0" w:line="277" w:lineRule="auto"/>
        <w:tabs>
          <w:tab w:leader="none" w:pos="126" w:val="left"/>
        </w:tabs>
        <w:numPr>
          <w:ilvl w:val="0"/>
          <w:numId w:val="53"/>
        </w:numPr>
        <w:rPr>
          <w:rFonts w:ascii="Times New Roman" w:cs="Times New Roman" w:eastAsia="Times New Roman" w:hAnsi="Times New Roman"/>
          <w:sz w:val="14"/>
          <w:szCs w:val="14"/>
          <w:color w:val="4395D4"/>
        </w:rPr>
      </w:pPr>
      <w:r>
        <w:rPr>
          <w:rFonts w:ascii="Arial" w:cs="Arial" w:eastAsia="Arial" w:hAnsi="Arial"/>
          <w:sz w:val="14"/>
          <w:szCs w:val="14"/>
          <w:color w:val="231F20"/>
        </w:rPr>
        <w:t>The Committee’s Chairperson communicates with other Board of Directors Committees to avoid overlap and potential gaps in overseeing the Company’s risks.</w:t>
      </w:r>
    </w:p>
    <w:p>
      <w:pPr>
        <w:spacing w:after="0" w:line="10" w:lineRule="exact"/>
        <w:rPr>
          <w:rFonts w:ascii="Times New Roman" w:cs="Times New Roman" w:eastAsia="Times New Roman" w:hAnsi="Times New Roman"/>
          <w:sz w:val="14"/>
          <w:szCs w:val="14"/>
          <w:color w:val="4395D4"/>
        </w:rPr>
      </w:pPr>
    </w:p>
    <w:p>
      <w:pPr>
        <w:ind w:left="120" w:hanging="119"/>
        <w:spacing w:after="0"/>
        <w:tabs>
          <w:tab w:leader="none" w:pos="120" w:val="left"/>
        </w:tabs>
        <w:numPr>
          <w:ilvl w:val="0"/>
          <w:numId w:val="53"/>
        </w:numPr>
        <w:rPr>
          <w:rFonts w:ascii="Times New Roman" w:cs="Times New Roman" w:eastAsia="Times New Roman" w:hAnsi="Times New Roman"/>
          <w:sz w:val="14"/>
          <w:szCs w:val="14"/>
          <w:color w:val="4395D4"/>
        </w:rPr>
      </w:pPr>
      <w:r>
        <w:rPr>
          <w:rFonts w:ascii="Arial" w:cs="Arial" w:eastAsia="Arial" w:hAnsi="Arial"/>
          <w:sz w:val="14"/>
          <w:szCs w:val="14"/>
          <w:color w:val="231F20"/>
        </w:rPr>
        <w:t>The Committee advises the Board of Directors in its performance of its oversight of enterprise risk management.</w:t>
      </w:r>
    </w:p>
    <w:p>
      <w:pPr>
        <w:spacing w:after="0" w:line="145" w:lineRule="exact"/>
        <w:rPr>
          <w:sz w:val="20"/>
          <w:szCs w:val="20"/>
          <w:color w:val="auto"/>
        </w:rPr>
      </w:pPr>
    </w:p>
    <w:p>
      <w:pPr>
        <w:ind w:right="20"/>
        <w:spacing w:after="0" w:line="278" w:lineRule="auto"/>
        <w:rPr>
          <w:sz w:val="20"/>
          <w:szCs w:val="20"/>
          <w:color w:val="auto"/>
        </w:rPr>
      </w:pPr>
      <w:r>
        <w:rPr>
          <w:rFonts w:ascii="Arial" w:cs="Arial" w:eastAsia="Arial" w:hAnsi="Arial"/>
          <w:sz w:val="14"/>
          <w:szCs w:val="14"/>
          <w:color w:val="231F20"/>
        </w:rPr>
        <w:t>*The present Chair of the Risk Mitigation &amp; Investment Policy Committee, Nicholas DeBenedictis is retiring. The New Chair will be appointed following the Annual Meeting.</w:t>
      </w:r>
    </w:p>
    <w:p>
      <w:pPr>
        <w:spacing w:after="0" w:line="117" w:lineRule="exact"/>
        <w:rPr>
          <w:sz w:val="20"/>
          <w:szCs w:val="20"/>
          <w:color w:val="auto"/>
        </w:rPr>
      </w:pPr>
    </w:p>
    <w:p>
      <w:pPr>
        <w:ind w:right="640"/>
        <w:spacing w:after="0" w:line="260" w:lineRule="auto"/>
        <w:rPr>
          <w:sz w:val="20"/>
          <w:szCs w:val="20"/>
          <w:color w:val="auto"/>
        </w:rPr>
      </w:pPr>
      <w:r>
        <w:rPr>
          <w:rFonts w:ascii="Arial" w:cs="Arial" w:eastAsia="Arial" w:hAnsi="Arial"/>
          <w:sz w:val="13"/>
          <w:szCs w:val="13"/>
          <w:color w:val="auto"/>
        </w:rPr>
        <w:t>**If Ms. Kelly is elected as a Director, it is anticipated that she will replace Wendy Franks as a member of the Company’s Audit and Risk Mitigation &amp; Investment Policy Committees.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-1433195</wp:posOffset>
            </wp:positionH>
            <wp:positionV relativeFrom="paragraph">
              <wp:posOffset>469265</wp:posOffset>
            </wp:positionV>
            <wp:extent cx="713994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39940" cy="8255"/>
                    </a:xfrm>
                    <a:prstGeom prst="rect">
                      <a:avLst/>
                    </a:prstGeom>
                    <a:noFill/>
                  </pic:spPr>
                </pic:pic>
              </a:graphicData>
            </a:graphic>
          </wp:anchor>
        </w:drawing>
      </w:r>
    </w:p>
    <w:p>
      <w:pPr>
        <w:spacing w:after="0" w:line="642" w:lineRule="exact"/>
        <w:rPr>
          <w:sz w:val="20"/>
          <w:szCs w:val="20"/>
          <w:color w:val="auto"/>
        </w:rPr>
      </w:pPr>
    </w:p>
    <w:p>
      <w:pPr>
        <w:sectPr>
          <w:pgSz w:w="11900" w:h="16838" w:orient="portrait"/>
          <w:cols w:equalWidth="0" w:num="2">
            <w:col w:w="1540" w:space="720"/>
            <w:col w:w="8980"/>
          </w:cols>
          <w:pgMar w:left="320" w:top="637" w:right="339" w:bottom="1440" w:gutter="0" w:footer="0" w:header="0"/>
          <w:type w:val="continuous"/>
        </w:sectPr>
      </w:pPr>
    </w:p>
    <w:p>
      <w:pPr>
        <w:spacing w:after="0" w:line="260" w:lineRule="exact"/>
        <w:rPr>
          <w:sz w:val="20"/>
          <w:szCs w:val="20"/>
          <w:color w:val="auto"/>
        </w:rPr>
      </w:pPr>
    </w:p>
    <w:p>
      <w:pPr>
        <w:ind w:left="2260"/>
        <w:spacing w:after="0"/>
        <w:rPr>
          <w:sz w:val="20"/>
          <w:szCs w:val="20"/>
          <w:color w:val="auto"/>
        </w:rPr>
      </w:pPr>
      <w:r>
        <w:rPr>
          <w:rFonts w:ascii="Arial" w:cs="Arial" w:eastAsia="Arial" w:hAnsi="Arial"/>
          <w:sz w:val="27"/>
          <w:szCs w:val="27"/>
          <w:b w:val="1"/>
          <w:bCs w:val="1"/>
          <w:color w:val="4395D4"/>
        </w:rPr>
        <w:t>Executive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-170180</wp:posOffset>
            </wp:positionV>
            <wp:extent cx="1029335" cy="120777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1029335" cy="120777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58" w:lineRule="exact"/>
        <w:rPr>
          <w:sz w:val="20"/>
          <w:szCs w:val="20"/>
          <w:color w:val="auto"/>
        </w:rPr>
      </w:pPr>
    </w:p>
    <w:p>
      <w:pPr>
        <w:spacing w:after="0"/>
        <w:rPr>
          <w:sz w:val="20"/>
          <w:szCs w:val="20"/>
          <w:color w:val="auto"/>
        </w:rPr>
      </w:pPr>
      <w:r>
        <w:rPr>
          <w:rFonts w:ascii="Arial" w:cs="Arial" w:eastAsia="Arial" w:hAnsi="Arial"/>
          <w:sz w:val="14"/>
          <w:szCs w:val="14"/>
          <w:color w:val="231F20"/>
        </w:rPr>
        <w:t xml:space="preserve">2020 Meetings Held: </w:t>
      </w:r>
      <w:r>
        <w:rPr>
          <w:rFonts w:ascii="Arial" w:cs="Arial" w:eastAsia="Arial" w:hAnsi="Arial"/>
          <w:sz w:val="14"/>
          <w:szCs w:val="14"/>
          <w:b w:val="1"/>
          <w:bCs w:val="1"/>
          <w:color w:val="4395D4"/>
        </w:rPr>
        <w:t>0</w:t>
      </w:r>
    </w:p>
    <w:p>
      <w:pPr>
        <w:spacing w:after="0" w:line="330" w:lineRule="exact"/>
        <w:rPr>
          <w:sz w:val="20"/>
          <w:szCs w:val="20"/>
          <w:color w:val="auto"/>
        </w:rPr>
      </w:pPr>
    </w:p>
    <w:p>
      <w:pPr>
        <w:sectPr>
          <w:pgSz w:w="11900" w:h="16838" w:orient="portrait"/>
          <w:cols w:equalWidth="0" w:num="2">
            <w:col w:w="7160" w:space="720"/>
            <w:col w:w="3360"/>
          </w:cols>
          <w:pgMar w:left="320" w:top="637" w:right="339" w:bottom="1440" w:gutter="0" w:footer="0" w:header="0"/>
          <w:type w:val="continuous"/>
        </w:sectPr>
      </w:pPr>
    </w:p>
    <w:p>
      <w:pPr>
        <w:spacing w:after="0" w:line="187" w:lineRule="exact"/>
        <w:rPr>
          <w:sz w:val="20"/>
          <w:szCs w:val="20"/>
          <w:color w:val="auto"/>
        </w:rPr>
      </w:pPr>
    </w:p>
    <w:p>
      <w:pPr>
        <w:ind w:left="2260" w:right="80"/>
        <w:spacing w:after="0" w:line="278" w:lineRule="auto"/>
        <w:rPr>
          <w:sz w:val="20"/>
          <w:szCs w:val="20"/>
          <w:color w:val="auto"/>
        </w:rPr>
      </w:pPr>
      <w:r>
        <w:rPr>
          <w:rFonts w:ascii="Arial" w:cs="Arial" w:eastAsia="Arial" w:hAnsi="Arial"/>
          <w:sz w:val="14"/>
          <w:szCs w:val="14"/>
          <w:color w:val="231F20"/>
        </w:rPr>
        <w:t>The Committee has and exercises all the authority of the Board in the management of the business and affairs of the Company, with certain specified exceptions.</w:t>
      </w:r>
    </w:p>
    <w:p>
      <w:pPr>
        <w:spacing w:after="0" w:line="86" w:lineRule="exact"/>
        <w:rPr>
          <w:sz w:val="20"/>
          <w:szCs w:val="20"/>
          <w:color w:val="auto"/>
        </w:rPr>
      </w:pPr>
    </w:p>
    <w:p>
      <w:pPr>
        <w:ind w:left="2440" w:right="100" w:hanging="179"/>
        <w:spacing w:after="0" w:line="253" w:lineRule="auto"/>
        <w:tabs>
          <w:tab w:leader="none" w:pos="2386" w:val="left"/>
        </w:tabs>
        <w:numPr>
          <w:ilvl w:val="0"/>
          <w:numId w:val="54"/>
        </w:numPr>
        <w:rPr>
          <w:rFonts w:ascii="Times New Roman" w:cs="Times New Roman" w:eastAsia="Times New Roman" w:hAnsi="Times New Roman"/>
          <w:sz w:val="14"/>
          <w:szCs w:val="14"/>
          <w:color w:val="4395D4"/>
        </w:rPr>
      </w:pPr>
      <w:r>
        <w:rPr>
          <w:rFonts w:ascii="Arial" w:cs="Arial" w:eastAsia="Arial" w:hAnsi="Arial"/>
          <w:sz w:val="14"/>
          <w:szCs w:val="14"/>
          <w:color w:val="231F20"/>
        </w:rPr>
        <w:t>The Committee is intended to serve in the event that action by the Board of Directors is necessary or desirable between regular meetings of the Board, or at a time when convening a meeting of the entire Board is not practical, and to make recommendations to the entire Board with respect to various matters.</w:t>
      </w:r>
    </w:p>
    <w:p>
      <w:pPr>
        <w:spacing w:after="0" w:line="26" w:lineRule="exact"/>
        <w:rPr>
          <w:rFonts w:ascii="Times New Roman" w:cs="Times New Roman" w:eastAsia="Times New Roman" w:hAnsi="Times New Roman"/>
          <w:sz w:val="14"/>
          <w:szCs w:val="14"/>
          <w:color w:val="4395D4"/>
        </w:rPr>
      </w:pPr>
    </w:p>
    <w:p>
      <w:pPr>
        <w:ind w:left="2380" w:hanging="119"/>
        <w:spacing w:after="0"/>
        <w:tabs>
          <w:tab w:leader="none" w:pos="2380" w:val="left"/>
        </w:tabs>
        <w:numPr>
          <w:ilvl w:val="0"/>
          <w:numId w:val="54"/>
        </w:numPr>
        <w:rPr>
          <w:rFonts w:ascii="Times New Roman" w:cs="Times New Roman" w:eastAsia="Times New Roman" w:hAnsi="Times New Roman"/>
          <w:sz w:val="14"/>
          <w:szCs w:val="14"/>
          <w:color w:val="4395D4"/>
        </w:rPr>
      </w:pPr>
      <w:r>
        <w:rPr>
          <w:rFonts w:ascii="Arial" w:cs="Arial" w:eastAsia="Arial" w:hAnsi="Arial"/>
          <w:sz w:val="14"/>
          <w:szCs w:val="14"/>
          <w:color w:val="231F20"/>
        </w:rPr>
        <w:t>The Chairman of the Board of Directors serves as Chairman of the Committee.</w:t>
      </w:r>
    </w:p>
    <w:p>
      <w:pPr>
        <w:spacing w:after="0" w:line="152" w:lineRule="exact"/>
        <w:rPr>
          <w:sz w:val="20"/>
          <w:szCs w:val="20"/>
          <w:color w:val="auto"/>
        </w:rPr>
      </w:pPr>
    </w:p>
    <w:p>
      <w:pPr>
        <w:spacing w:after="0"/>
        <w:rPr>
          <w:sz w:val="20"/>
          <w:szCs w:val="20"/>
          <w:color w:val="auto"/>
        </w:rPr>
      </w:pPr>
      <w:r>
        <w:rPr>
          <w:rFonts w:ascii="Arial" w:cs="Arial" w:eastAsia="Arial" w:hAnsi="Arial"/>
          <w:sz w:val="14"/>
          <w:szCs w:val="14"/>
          <w:b w:val="1"/>
          <w:bCs w:val="1"/>
          <w:color w:val="4395D4"/>
        </w:rPr>
        <w:t>Chair</w:t>
      </w:r>
    </w:p>
    <w:p>
      <w:pPr>
        <w:spacing w:after="0" w:line="81" w:lineRule="exact"/>
        <w:rPr>
          <w:sz w:val="20"/>
          <w:szCs w:val="20"/>
          <w:color w:val="auto"/>
        </w:rPr>
      </w:pPr>
    </w:p>
    <w:p>
      <w:pPr>
        <w:spacing w:after="0"/>
        <w:rPr>
          <w:sz w:val="20"/>
          <w:szCs w:val="20"/>
          <w:color w:val="auto"/>
        </w:rPr>
      </w:pPr>
      <w:r>
        <w:rPr>
          <w:rFonts w:ascii="Arial" w:cs="Arial" w:eastAsia="Arial" w:hAnsi="Arial"/>
          <w:sz w:val="14"/>
          <w:szCs w:val="14"/>
          <w:b w:val="1"/>
          <w:bCs w:val="1"/>
          <w:color w:val="231F20"/>
        </w:rPr>
        <w:t>Christopher H. Franklin</w:t>
      </w:r>
    </w:p>
    <w:p>
      <w:pPr>
        <w:spacing w:after="0" w:line="145" w:lineRule="exact"/>
        <w:rPr>
          <w:sz w:val="20"/>
          <w:szCs w:val="20"/>
          <w:color w:val="auto"/>
        </w:rPr>
      </w:pPr>
    </w:p>
    <w:p>
      <w:pPr>
        <w:spacing w:after="0"/>
        <w:rPr>
          <w:sz w:val="20"/>
          <w:szCs w:val="20"/>
          <w:color w:val="auto"/>
        </w:rPr>
      </w:pPr>
      <w:r>
        <w:rPr>
          <w:rFonts w:ascii="Arial" w:cs="Arial" w:eastAsia="Arial" w:hAnsi="Arial"/>
          <w:sz w:val="14"/>
          <w:szCs w:val="14"/>
          <w:b w:val="1"/>
          <w:bCs w:val="1"/>
          <w:color w:val="455986"/>
        </w:rPr>
        <w:t>Members</w:t>
      </w:r>
    </w:p>
    <w:p>
      <w:pPr>
        <w:spacing w:after="0" w:line="83" w:lineRule="exact"/>
        <w:rPr>
          <w:sz w:val="20"/>
          <w:szCs w:val="20"/>
          <w:color w:val="auto"/>
        </w:rPr>
      </w:pPr>
    </w:p>
    <w:p>
      <w:pPr>
        <w:spacing w:after="0"/>
        <w:rPr>
          <w:sz w:val="20"/>
          <w:szCs w:val="20"/>
          <w:color w:val="auto"/>
        </w:rPr>
      </w:pPr>
      <w:r>
        <w:rPr>
          <w:rFonts w:ascii="Arial" w:cs="Arial" w:eastAsia="Arial" w:hAnsi="Arial"/>
          <w:sz w:val="14"/>
          <w:szCs w:val="14"/>
          <w:color w:val="231F20"/>
        </w:rPr>
        <w:t>Elizabeth B. Amato</w:t>
      </w:r>
    </w:p>
    <w:p>
      <w:pPr>
        <w:spacing w:after="0" w:line="69" w:lineRule="exact"/>
        <w:rPr>
          <w:sz w:val="20"/>
          <w:szCs w:val="20"/>
          <w:color w:val="auto"/>
        </w:rPr>
      </w:pPr>
    </w:p>
    <w:p>
      <w:pPr>
        <w:spacing w:after="0"/>
        <w:rPr>
          <w:sz w:val="20"/>
          <w:szCs w:val="20"/>
          <w:color w:val="auto"/>
        </w:rPr>
      </w:pPr>
      <w:r>
        <w:rPr>
          <w:rFonts w:ascii="Arial" w:cs="Arial" w:eastAsia="Arial" w:hAnsi="Arial"/>
          <w:sz w:val="14"/>
          <w:szCs w:val="14"/>
          <w:color w:val="231F20"/>
        </w:rPr>
        <w:t>Daniel J. Hilferty</w:t>
      </w:r>
    </w:p>
    <w:p>
      <w:pPr>
        <w:spacing w:after="0" w:line="81" w:lineRule="exact"/>
        <w:rPr>
          <w:sz w:val="20"/>
          <w:szCs w:val="20"/>
          <w:color w:val="auto"/>
        </w:rPr>
      </w:pPr>
    </w:p>
    <w:p>
      <w:pPr>
        <w:spacing w:after="0"/>
        <w:rPr>
          <w:sz w:val="20"/>
          <w:szCs w:val="20"/>
          <w:color w:val="auto"/>
        </w:rPr>
      </w:pPr>
      <w:r>
        <w:rPr>
          <w:rFonts w:ascii="Arial" w:cs="Arial" w:eastAsia="Arial" w:hAnsi="Arial"/>
          <w:sz w:val="14"/>
          <w:szCs w:val="14"/>
          <w:color w:val="231F20"/>
        </w:rPr>
        <w:t>Lee C. Stewart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172720</wp:posOffset>
            </wp:positionV>
            <wp:extent cx="713994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39940" cy="8255"/>
                    </a:xfrm>
                    <a:prstGeom prst="rect">
                      <a:avLst/>
                    </a:prstGeom>
                    <a:noFill/>
                  </pic:spPr>
                </pic:pic>
              </a:graphicData>
            </a:graphic>
          </wp:anchor>
        </w:drawing>
      </w:r>
    </w:p>
    <w:p>
      <w:pPr>
        <w:spacing w:after="0" w:line="321" w:lineRule="exact"/>
        <w:rPr>
          <w:sz w:val="20"/>
          <w:szCs w:val="20"/>
          <w:color w:val="auto"/>
        </w:rPr>
      </w:pPr>
    </w:p>
    <w:p>
      <w:pPr>
        <w:ind w:left="300" w:hanging="298"/>
        <w:spacing w:after="0"/>
        <w:tabs>
          <w:tab w:leader="none" w:pos="300" w:val="left"/>
        </w:tabs>
        <w:numPr>
          <w:ilvl w:val="0"/>
          <w:numId w:val="55"/>
        </w:numPr>
        <w:rPr>
          <w:rFonts w:ascii="Arial" w:cs="Arial" w:eastAsia="Arial" w:hAnsi="Arial"/>
          <w:sz w:val="15"/>
          <w:szCs w:val="15"/>
          <w:color w:val="455986"/>
        </w:rPr>
      </w:pPr>
      <w:r>
        <w:rPr>
          <w:rFonts w:ascii="Arial" w:cs="Arial" w:eastAsia="Arial" w:hAnsi="Arial"/>
          <w:sz w:val="12"/>
          <w:szCs w:val="12"/>
          <w:color w:val="4395D4"/>
        </w:rPr>
        <w:t xml:space="preserve">ESSENTIAL UTILITIES, INC. </w:t>
      </w:r>
      <w:r>
        <w:rPr>
          <w:rFonts w:ascii="Arial" w:cs="Arial" w:eastAsia="Arial" w:hAnsi="Arial"/>
          <w:sz w:val="12"/>
          <w:szCs w:val="12"/>
          <w:color w:val="455986"/>
        </w:rPr>
        <w:t>2021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316230</wp:posOffset>
            </wp:positionV>
            <wp:extent cx="7139940" cy="2413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39940" cy="24130"/>
                    </a:xfrm>
                    <a:prstGeom prst="rect">
                      <a:avLst/>
                    </a:prstGeom>
                    <a:noFill/>
                  </pic:spPr>
                </pic:pic>
              </a:graphicData>
            </a:graphic>
          </wp:anchor>
        </w:drawing>
      </w:r>
    </w:p>
    <w:p>
      <w:pPr>
        <w:sectPr>
          <w:pgSz w:w="11900" w:h="16838" w:orient="portrait"/>
          <w:cols w:equalWidth="0" w:num="1">
            <w:col w:w="11240"/>
          </w:cols>
          <w:pgMar w:left="320" w:top="637" w:right="339" w:bottom="1440" w:gutter="0" w:footer="0" w:header="0"/>
          <w:type w:val="continuous"/>
        </w:sectPr>
      </w:pPr>
    </w:p>
    <w:bookmarkStart w:id="23" w:name="page24"/>
    <w:bookmarkEnd w:id="23"/>
    <w:p>
      <w:pPr>
        <w:spacing w:after="0"/>
        <w:rPr>
          <w:sz w:val="20"/>
          <w:szCs w:val="20"/>
          <w:color w:val="auto"/>
        </w:rPr>
      </w:pPr>
      <w:r>
        <w:rPr>
          <w:rFonts w:ascii="Arial" w:cs="Arial" w:eastAsia="Arial" w:hAnsi="Arial"/>
          <w:sz w:val="14"/>
          <w:szCs w:val="14"/>
          <w:b w:val="1"/>
          <w:bCs w:val="1"/>
          <w:color w:val="455986"/>
        </w:rPr>
        <w:t>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27940</wp:posOffset>
            </wp:positionV>
            <wp:extent cx="7139940"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39940" cy="8255"/>
                    </a:xfrm>
                    <a:prstGeom prst="rect">
                      <a:avLst/>
                    </a:prstGeom>
                    <a:noFill/>
                  </pic:spPr>
                </pic:pic>
              </a:graphicData>
            </a:graphic>
          </wp:anchor>
        </w:drawing>
      </w:r>
    </w:p>
    <w:p>
      <w:pPr>
        <w:spacing w:after="0" w:line="76" w:lineRule="exact"/>
        <w:rPr>
          <w:sz w:val="20"/>
          <w:szCs w:val="20"/>
          <w:color w:val="auto"/>
        </w:rPr>
      </w:pPr>
    </w:p>
    <w:p>
      <w:pPr>
        <w:spacing w:after="0"/>
        <w:rPr>
          <w:sz w:val="20"/>
          <w:szCs w:val="20"/>
          <w:color w:val="auto"/>
        </w:rPr>
      </w:pPr>
      <w:r>
        <w:rPr>
          <w:rFonts w:ascii="Arial" w:cs="Arial" w:eastAsia="Arial" w:hAnsi="Arial"/>
          <w:sz w:val="14"/>
          <w:szCs w:val="14"/>
          <w:color w:val="231F20"/>
        </w:rPr>
        <w:t>Board and Committee Evaluations</w:t>
      </w:r>
    </w:p>
    <w:p>
      <w:pPr>
        <w:spacing w:after="0" w:line="163" w:lineRule="exact"/>
        <w:rPr>
          <w:sz w:val="20"/>
          <w:szCs w:val="20"/>
          <w:color w:val="auto"/>
        </w:rPr>
      </w:pPr>
    </w:p>
    <w:p>
      <w:pPr>
        <w:spacing w:after="0"/>
        <w:rPr>
          <w:sz w:val="20"/>
          <w:szCs w:val="20"/>
          <w:color w:val="auto"/>
        </w:rPr>
      </w:pPr>
      <w:r>
        <w:rPr>
          <w:rFonts w:ascii="Arial" w:cs="Arial" w:eastAsia="Arial" w:hAnsi="Arial"/>
          <w:sz w:val="24"/>
          <w:szCs w:val="24"/>
          <w:b w:val="1"/>
          <w:bCs w:val="1"/>
          <w:color w:val="455986"/>
        </w:rPr>
        <w:t>Board and Committee Evaluations</w:t>
      </w:r>
    </w:p>
    <w:p>
      <w:pPr>
        <w:spacing w:after="0" w:line="169" w:lineRule="exact"/>
        <w:rPr>
          <w:sz w:val="20"/>
          <w:szCs w:val="20"/>
          <w:color w:val="auto"/>
        </w:rPr>
      </w:pPr>
    </w:p>
    <w:p>
      <w:pPr>
        <w:ind w:right="100"/>
        <w:spacing w:after="0" w:line="245" w:lineRule="auto"/>
        <w:rPr>
          <w:sz w:val="20"/>
          <w:szCs w:val="20"/>
          <w:color w:val="auto"/>
        </w:rPr>
      </w:pPr>
      <w:r>
        <w:rPr>
          <w:rFonts w:ascii="Arial" w:cs="Arial" w:eastAsia="Arial" w:hAnsi="Arial"/>
          <w:sz w:val="14"/>
          <w:szCs w:val="14"/>
          <w:color w:val="231F20"/>
        </w:rPr>
        <w:t>Each year, the directors complete a targeted questionnaire that is administered by a neutral, non-affiliated entity to assess the performance of the Board and each of the standing Committees. Every second year, directors complete a targeted questionnaire to assess the performance of the directors individually. Both questionnaires elicit quantitative and qualitative ratings in key areas of Board operation and function. Each Committee member completes questions to evaluate how well the Committees on which he or she serves are functioning and to provide suggestions for improvement.</w:t>
      </w:r>
    </w:p>
    <w:p>
      <w:pPr>
        <w:spacing w:after="0" w:line="108" w:lineRule="exact"/>
        <w:rPr>
          <w:sz w:val="20"/>
          <w:szCs w:val="20"/>
          <w:color w:val="auto"/>
        </w:rPr>
      </w:pPr>
    </w:p>
    <w:p>
      <w:pPr>
        <w:ind w:right="660"/>
        <w:spacing w:after="0" w:line="278" w:lineRule="auto"/>
        <w:rPr>
          <w:sz w:val="20"/>
          <w:szCs w:val="20"/>
          <w:color w:val="auto"/>
        </w:rPr>
      </w:pPr>
      <w:r>
        <w:rPr>
          <w:rFonts w:ascii="Arial" w:cs="Arial" w:eastAsia="Arial" w:hAnsi="Arial"/>
          <w:sz w:val="14"/>
          <w:szCs w:val="14"/>
          <w:color w:val="231F20"/>
        </w:rPr>
        <w:t>In 2020, the Lead Independent Director and the Chairman met with each director, provided the results of the evaluations to each director, and discussed the director’s participation, preparation, and performance.</w:t>
      </w:r>
    </w:p>
    <w:p>
      <w:pPr>
        <w:spacing w:after="0" w:line="75" w:lineRule="exact"/>
        <w:rPr>
          <w:sz w:val="20"/>
          <w:szCs w:val="20"/>
          <w:color w:val="auto"/>
        </w:rPr>
      </w:pPr>
    </w:p>
    <w:p>
      <w:pPr>
        <w:spacing w:after="0"/>
        <w:rPr>
          <w:sz w:val="20"/>
          <w:szCs w:val="20"/>
          <w:color w:val="auto"/>
        </w:rPr>
      </w:pPr>
      <w:r>
        <w:rPr>
          <w:rFonts w:ascii="Arial" w:cs="Arial" w:eastAsia="Arial" w:hAnsi="Arial"/>
          <w:sz w:val="24"/>
          <w:szCs w:val="24"/>
          <w:b w:val="1"/>
          <w:bCs w:val="1"/>
          <w:color w:val="455986"/>
        </w:rPr>
        <w:t>Board Refreshment</w:t>
      </w:r>
    </w:p>
    <w:p>
      <w:pPr>
        <w:spacing w:after="0" w:line="169" w:lineRule="exact"/>
        <w:rPr>
          <w:sz w:val="20"/>
          <w:szCs w:val="20"/>
          <w:color w:val="auto"/>
        </w:rPr>
      </w:pPr>
    </w:p>
    <w:p>
      <w:pPr>
        <w:ind w:right="5940"/>
        <w:spacing w:after="0" w:line="238" w:lineRule="auto"/>
        <w:rPr>
          <w:sz w:val="20"/>
          <w:szCs w:val="20"/>
          <w:color w:val="auto"/>
        </w:rPr>
      </w:pPr>
      <w:r>
        <w:rPr>
          <w:rFonts w:ascii="Arial" w:cs="Arial" w:eastAsia="Arial" w:hAnsi="Arial"/>
          <w:sz w:val="14"/>
          <w:szCs w:val="14"/>
          <w:color w:val="231F20"/>
        </w:rPr>
        <w:t>In 2015, the Board of Directors undertook a multi-year program aimed at refreshing the Board to encourage new ideas, expertise, and oversight while maintaining the institutional experience of the then-current directors. As a result, the Board of Directors now consists of eight directors, with seven of those directors having been newly appointed or elected since 2015. Each of these directors brings his or her own level of expertise and experience.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3721100</wp:posOffset>
            </wp:positionH>
            <wp:positionV relativeFrom="paragraph">
              <wp:posOffset>-594360</wp:posOffset>
            </wp:positionV>
            <wp:extent cx="2990215" cy="78613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2990215" cy="786130"/>
                    </a:xfrm>
                    <a:prstGeom prst="rect">
                      <a:avLst/>
                    </a:prstGeom>
                    <a:noFill/>
                  </pic:spPr>
                </pic:pic>
              </a:graphicData>
            </a:graphic>
          </wp:anchor>
        </w:drawing>
      </w:r>
    </w:p>
    <w:p>
      <w:pPr>
        <w:spacing w:after="0" w:line="200" w:lineRule="exact"/>
        <w:rPr>
          <w:sz w:val="20"/>
          <w:szCs w:val="20"/>
          <w:color w:val="auto"/>
        </w:rPr>
      </w:pPr>
    </w:p>
    <w:p>
      <w:pPr>
        <w:spacing w:after="0" w:line="368" w:lineRule="exact"/>
        <w:rPr>
          <w:sz w:val="20"/>
          <w:szCs w:val="20"/>
          <w:color w:val="auto"/>
        </w:rPr>
      </w:pPr>
    </w:p>
    <w:p>
      <w:pPr>
        <w:spacing w:after="0"/>
        <w:rPr>
          <w:sz w:val="20"/>
          <w:szCs w:val="20"/>
          <w:color w:val="auto"/>
        </w:rPr>
      </w:pPr>
      <w:r>
        <w:rPr>
          <w:rFonts w:ascii="Arial" w:cs="Arial" w:eastAsia="Arial" w:hAnsi="Arial"/>
          <w:sz w:val="24"/>
          <w:szCs w:val="24"/>
          <w:b w:val="1"/>
          <w:bCs w:val="1"/>
          <w:color w:val="455986"/>
        </w:rPr>
        <w:t>Director Onboarding and Continuing Education</w:t>
      </w:r>
    </w:p>
    <w:p>
      <w:pPr>
        <w:spacing w:after="0" w:line="169" w:lineRule="exact"/>
        <w:rPr>
          <w:sz w:val="20"/>
          <w:szCs w:val="20"/>
          <w:color w:val="auto"/>
        </w:rPr>
      </w:pPr>
    </w:p>
    <w:p>
      <w:pPr>
        <w:ind w:right="440"/>
        <w:spacing w:after="0" w:line="253" w:lineRule="auto"/>
        <w:rPr>
          <w:sz w:val="20"/>
          <w:szCs w:val="20"/>
          <w:color w:val="auto"/>
        </w:rPr>
      </w:pPr>
      <w:r>
        <w:rPr>
          <w:rFonts w:ascii="Arial" w:cs="Arial" w:eastAsia="Arial" w:hAnsi="Arial"/>
          <w:sz w:val="14"/>
          <w:szCs w:val="14"/>
          <w:color w:val="231F20"/>
        </w:rPr>
        <w:t>As part of the 2020 equity investment by CPPIB, Ms. Kelly has been nominated by CPPIB to serve as a director of the Company. In addition to informal meetings with the existing directors, and in conjunction with her appointment, Ms. Kelly will participate in an onboarding process that includes in-depth meetings with the executive officers focused on items such as:</w:t>
      </w:r>
    </w:p>
    <w:p>
      <w:pPr>
        <w:sectPr>
          <w:pgSz w:w="11900" w:h="16838" w:orient="portrait"/>
          <w:cols w:equalWidth="0" w:num="1">
            <w:col w:w="11240"/>
          </w:cols>
          <w:pgMar w:left="320" w:top="636" w:right="339" w:bottom="1440" w:gutter="0" w:footer="0" w:header="0"/>
        </w:sectPr>
      </w:pP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2980" w:type="dxa"/>
            <w:vAlign w:val="bottom"/>
            <w:gridSpan w:val="2"/>
          </w:tcPr>
          <w:p>
            <w:pPr>
              <w:spacing w:after="0"/>
              <w:rPr>
                <w:sz w:val="20"/>
                <w:szCs w:val="20"/>
                <w:color w:val="auto"/>
              </w:rPr>
            </w:pPr>
            <w:r>
              <w:rPr>
                <w:rFonts w:ascii="Arial" w:cs="Arial" w:eastAsia="Arial" w:hAnsi="Arial"/>
                <w:sz w:val="14"/>
                <w:szCs w:val="14"/>
                <w:color w:val="4395D4"/>
              </w:rPr>
              <w:t xml:space="preserve">•  </w:t>
            </w:r>
            <w:r>
              <w:rPr>
                <w:rFonts w:ascii="Arial" w:cs="Arial" w:eastAsia="Arial" w:hAnsi="Arial"/>
                <w:sz w:val="14"/>
                <w:szCs w:val="14"/>
                <w:color w:val="231F20"/>
              </w:rPr>
              <w:t>merger and acquisition strategy;</w:t>
            </w:r>
          </w:p>
        </w:tc>
        <w:tc>
          <w:tcPr>
            <w:tcW w:w="3920" w:type="dxa"/>
            <w:vAlign w:val="bottom"/>
            <w:gridSpan w:val="2"/>
          </w:tcPr>
          <w:p>
            <w:pPr>
              <w:ind w:left="760"/>
              <w:spacing w:after="0"/>
              <w:rPr>
                <w:sz w:val="20"/>
                <w:szCs w:val="20"/>
                <w:color w:val="auto"/>
              </w:rPr>
            </w:pPr>
            <w:r>
              <w:rPr>
                <w:rFonts w:ascii="Arial" w:cs="Arial" w:eastAsia="Arial" w:hAnsi="Arial"/>
                <w:sz w:val="14"/>
                <w:szCs w:val="14"/>
                <w:color w:val="4395D4"/>
              </w:rPr>
              <w:t xml:space="preserve">•  </w:t>
            </w:r>
            <w:r>
              <w:rPr>
                <w:rFonts w:ascii="Arial" w:cs="Arial" w:eastAsia="Arial" w:hAnsi="Arial"/>
                <w:sz w:val="14"/>
                <w:szCs w:val="14"/>
                <w:color w:val="231F20"/>
              </w:rPr>
              <w:t>water, wastewater, and natural gas operations;</w:t>
            </w:r>
          </w:p>
        </w:tc>
      </w:tr>
      <w:tr>
        <w:trPr>
          <w:trHeight w:val="230"/>
        </w:trPr>
        <w:tc>
          <w:tcPr>
            <w:tcW w:w="120" w:type="dxa"/>
            <w:vAlign w:val="bottom"/>
          </w:tcPr>
          <w:p>
            <w:pPr>
              <w:spacing w:after="0"/>
              <w:rPr>
                <w:sz w:val="20"/>
                <w:szCs w:val="20"/>
                <w:color w:val="auto"/>
              </w:rPr>
            </w:pPr>
            <w:r>
              <w:rPr>
                <w:rFonts w:ascii="Arial" w:cs="Arial" w:eastAsia="Arial" w:hAnsi="Arial"/>
                <w:sz w:val="14"/>
                <w:szCs w:val="14"/>
                <w:color w:val="4395D4"/>
              </w:rPr>
              <w:t>•</w:t>
            </w:r>
          </w:p>
        </w:tc>
        <w:tc>
          <w:tcPr>
            <w:tcW w:w="2860" w:type="dxa"/>
            <w:vAlign w:val="bottom"/>
          </w:tcPr>
          <w:p>
            <w:pPr>
              <w:ind w:left="60"/>
              <w:spacing w:after="0"/>
              <w:rPr>
                <w:sz w:val="20"/>
                <w:szCs w:val="20"/>
                <w:color w:val="auto"/>
              </w:rPr>
            </w:pPr>
            <w:r>
              <w:rPr>
                <w:rFonts w:ascii="Arial" w:cs="Arial" w:eastAsia="Arial" w:hAnsi="Arial"/>
                <w:sz w:val="14"/>
                <w:szCs w:val="14"/>
                <w:color w:val="231F20"/>
              </w:rPr>
              <w:t>regulatory matters;</w:t>
            </w:r>
          </w:p>
        </w:tc>
        <w:tc>
          <w:tcPr>
            <w:tcW w:w="880" w:type="dxa"/>
            <w:vAlign w:val="bottom"/>
          </w:tcPr>
          <w:p>
            <w:pPr>
              <w:ind w:left="760"/>
              <w:spacing w:after="0"/>
              <w:rPr>
                <w:sz w:val="20"/>
                <w:szCs w:val="20"/>
                <w:color w:val="auto"/>
              </w:rPr>
            </w:pPr>
            <w:r>
              <w:rPr>
                <w:rFonts w:ascii="Arial" w:cs="Arial" w:eastAsia="Arial" w:hAnsi="Arial"/>
                <w:sz w:val="14"/>
                <w:szCs w:val="14"/>
                <w:color w:val="4395D4"/>
              </w:rPr>
              <w:t>•</w:t>
            </w:r>
          </w:p>
        </w:tc>
        <w:tc>
          <w:tcPr>
            <w:tcW w:w="3040" w:type="dxa"/>
            <w:vAlign w:val="bottom"/>
          </w:tcPr>
          <w:p>
            <w:pPr>
              <w:ind w:left="60"/>
              <w:spacing w:after="0"/>
              <w:rPr>
                <w:sz w:val="20"/>
                <w:szCs w:val="20"/>
                <w:color w:val="auto"/>
              </w:rPr>
            </w:pPr>
            <w:r>
              <w:rPr>
                <w:rFonts w:ascii="Arial" w:cs="Arial" w:eastAsia="Arial" w:hAnsi="Arial"/>
                <w:sz w:val="14"/>
                <w:szCs w:val="14"/>
                <w:color w:val="231F20"/>
              </w:rPr>
              <w:t>ESG;</w:t>
            </w:r>
          </w:p>
        </w:tc>
      </w:tr>
      <w:tr>
        <w:trPr>
          <w:trHeight w:val="242"/>
        </w:trPr>
        <w:tc>
          <w:tcPr>
            <w:tcW w:w="120" w:type="dxa"/>
            <w:vAlign w:val="bottom"/>
          </w:tcPr>
          <w:p>
            <w:pPr>
              <w:spacing w:after="0"/>
              <w:rPr>
                <w:sz w:val="20"/>
                <w:szCs w:val="20"/>
                <w:color w:val="auto"/>
              </w:rPr>
            </w:pPr>
            <w:r>
              <w:rPr>
                <w:rFonts w:ascii="Arial" w:cs="Arial" w:eastAsia="Arial" w:hAnsi="Arial"/>
                <w:sz w:val="14"/>
                <w:szCs w:val="14"/>
                <w:color w:val="4395D4"/>
              </w:rPr>
              <w:t>•</w:t>
            </w:r>
          </w:p>
        </w:tc>
        <w:tc>
          <w:tcPr>
            <w:tcW w:w="2860" w:type="dxa"/>
            <w:vAlign w:val="bottom"/>
          </w:tcPr>
          <w:p>
            <w:pPr>
              <w:ind w:left="60"/>
              <w:spacing w:after="0"/>
              <w:rPr>
                <w:sz w:val="20"/>
                <w:szCs w:val="20"/>
                <w:color w:val="auto"/>
              </w:rPr>
            </w:pPr>
            <w:r>
              <w:rPr>
                <w:rFonts w:ascii="Arial" w:cs="Arial" w:eastAsia="Arial" w:hAnsi="Arial"/>
                <w:sz w:val="14"/>
                <w:szCs w:val="14"/>
                <w:color w:val="231F20"/>
              </w:rPr>
              <w:t>utility accounting and financing;</w:t>
            </w:r>
          </w:p>
        </w:tc>
        <w:tc>
          <w:tcPr>
            <w:tcW w:w="880" w:type="dxa"/>
            <w:vAlign w:val="bottom"/>
          </w:tcPr>
          <w:p>
            <w:pPr>
              <w:ind w:left="760"/>
              <w:spacing w:after="0"/>
              <w:rPr>
                <w:sz w:val="20"/>
                <w:szCs w:val="20"/>
                <w:color w:val="auto"/>
              </w:rPr>
            </w:pPr>
            <w:r>
              <w:rPr>
                <w:rFonts w:ascii="Arial" w:cs="Arial" w:eastAsia="Arial" w:hAnsi="Arial"/>
                <w:sz w:val="14"/>
                <w:szCs w:val="14"/>
                <w:color w:val="4395D4"/>
              </w:rPr>
              <w:t>•</w:t>
            </w:r>
          </w:p>
        </w:tc>
        <w:tc>
          <w:tcPr>
            <w:tcW w:w="3040" w:type="dxa"/>
            <w:vAlign w:val="bottom"/>
          </w:tcPr>
          <w:p>
            <w:pPr>
              <w:ind w:left="60"/>
              <w:spacing w:after="0"/>
              <w:rPr>
                <w:sz w:val="20"/>
                <w:szCs w:val="20"/>
                <w:color w:val="auto"/>
              </w:rPr>
            </w:pPr>
            <w:r>
              <w:rPr>
                <w:rFonts w:ascii="Arial" w:cs="Arial" w:eastAsia="Arial" w:hAnsi="Arial"/>
                <w:sz w:val="14"/>
                <w:szCs w:val="14"/>
                <w:color w:val="231F20"/>
              </w:rPr>
              <w:t>board governance functions;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165100</wp:posOffset>
            </wp:positionV>
            <wp:extent cx="7139940"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3994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83" w:lineRule="exact"/>
        <w:rPr>
          <w:sz w:val="20"/>
          <w:szCs w:val="20"/>
          <w:color w:val="auto"/>
        </w:rPr>
      </w:pPr>
    </w:p>
    <w:p>
      <w:pPr>
        <w:ind w:left="166" w:hanging="166"/>
        <w:spacing w:after="0"/>
        <w:tabs>
          <w:tab w:leader="none" w:pos="166" w:val="left"/>
        </w:tabs>
        <w:numPr>
          <w:ilvl w:val="0"/>
          <w:numId w:val="56"/>
        </w:numPr>
        <w:rPr>
          <w:rFonts w:ascii="Arial" w:cs="Arial" w:eastAsia="Arial" w:hAnsi="Arial"/>
          <w:sz w:val="14"/>
          <w:szCs w:val="14"/>
          <w:color w:val="4395D4"/>
        </w:rPr>
      </w:pPr>
      <w:r>
        <w:rPr>
          <w:rFonts w:ascii="Arial" w:cs="Arial" w:eastAsia="Arial" w:hAnsi="Arial"/>
          <w:sz w:val="14"/>
          <w:szCs w:val="14"/>
          <w:color w:val="231F20"/>
        </w:rPr>
        <w:t>Pennsylvania law; and</w:t>
      </w:r>
    </w:p>
    <w:p>
      <w:pPr>
        <w:spacing w:after="0" w:line="68" w:lineRule="exact"/>
        <w:rPr>
          <w:rFonts w:ascii="Arial" w:cs="Arial" w:eastAsia="Arial" w:hAnsi="Arial"/>
          <w:sz w:val="14"/>
          <w:szCs w:val="14"/>
          <w:color w:val="4395D4"/>
        </w:rPr>
      </w:pPr>
    </w:p>
    <w:p>
      <w:pPr>
        <w:ind w:left="166" w:right="100" w:hanging="166"/>
        <w:spacing w:after="0" w:line="253" w:lineRule="auto"/>
        <w:tabs>
          <w:tab w:leader="none" w:pos="167" w:val="left"/>
        </w:tabs>
        <w:numPr>
          <w:ilvl w:val="0"/>
          <w:numId w:val="56"/>
        </w:numPr>
        <w:rPr>
          <w:rFonts w:ascii="Arial" w:cs="Arial" w:eastAsia="Arial" w:hAnsi="Arial"/>
          <w:sz w:val="14"/>
          <w:szCs w:val="14"/>
          <w:color w:val="4395D4"/>
        </w:rPr>
      </w:pPr>
      <w:r>
        <w:rPr>
          <w:rFonts w:ascii="Arial" w:cs="Arial" w:eastAsia="Arial" w:hAnsi="Arial"/>
          <w:sz w:val="14"/>
          <w:szCs w:val="14"/>
          <w:color w:val="231F20"/>
        </w:rPr>
        <w:t>a review of the Company’s Articles of Incorporation, its Bylaws, its Corporate Governance Guidelines, and other policies.</w:t>
      </w:r>
    </w:p>
    <w:p>
      <w:pPr>
        <w:spacing w:after="0" w:line="200" w:lineRule="exact"/>
        <w:rPr>
          <w:sz w:val="20"/>
          <w:szCs w:val="20"/>
          <w:color w:val="auto"/>
        </w:rPr>
      </w:pPr>
    </w:p>
    <w:p>
      <w:pPr>
        <w:sectPr>
          <w:pgSz w:w="11900" w:h="16838" w:orient="portrait"/>
          <w:cols w:equalWidth="0" w:num="2">
            <w:col w:w="6900" w:space="594"/>
            <w:col w:w="3746"/>
          </w:cols>
          <w:pgMar w:left="320" w:top="636" w:right="339" w:bottom="1440" w:gutter="0" w:footer="0" w:header="0"/>
          <w:type w:val="continuous"/>
        </w:sectPr>
      </w:pPr>
    </w:p>
    <w:p>
      <w:pPr>
        <w:spacing w:after="0" w:line="34" w:lineRule="exact"/>
        <w:rPr>
          <w:sz w:val="20"/>
          <w:szCs w:val="20"/>
          <w:color w:val="auto"/>
        </w:rPr>
      </w:pPr>
    </w:p>
    <w:p>
      <w:pPr>
        <w:ind w:left="7940"/>
        <w:spacing w:after="0"/>
        <w:tabs>
          <w:tab w:leader="none" w:pos="11060" w:val="left"/>
        </w:tabs>
        <w:rPr>
          <w:sz w:val="20"/>
          <w:szCs w:val="20"/>
          <w:color w:val="auto"/>
        </w:rPr>
      </w:pPr>
      <w:r>
        <w:rPr>
          <w:rFonts w:ascii="Arial" w:cs="Arial" w:eastAsia="Arial" w:hAnsi="Arial"/>
          <w:sz w:val="12"/>
          <w:szCs w:val="12"/>
          <w:color w:val="4395D4"/>
        </w:rPr>
        <w:t xml:space="preserve">ESSENTIAL UTILITIES, INC. </w:t>
      </w:r>
      <w:r>
        <w:rPr>
          <w:rFonts w:ascii="Arial" w:cs="Arial" w:eastAsia="Arial" w:hAnsi="Arial"/>
          <w:sz w:val="12"/>
          <w:szCs w:val="12"/>
          <w:color w:val="455986"/>
        </w:rPr>
        <w:t>2021 PROXY STATEMENT</w:t>
      </w:r>
      <w:r>
        <w:rPr>
          <w:sz w:val="20"/>
          <w:szCs w:val="20"/>
          <w:color w:val="auto"/>
        </w:rPr>
        <w:tab/>
      </w:r>
      <w:r>
        <w:rPr>
          <w:rFonts w:ascii="Arial" w:cs="Arial" w:eastAsia="Arial" w:hAnsi="Arial"/>
          <w:sz w:val="14"/>
          <w:szCs w:val="14"/>
          <w:color w:val="455986"/>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339090</wp:posOffset>
            </wp:positionV>
            <wp:extent cx="7139940" cy="2413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39940" cy="24130"/>
                    </a:xfrm>
                    <a:prstGeom prst="rect">
                      <a:avLst/>
                    </a:prstGeom>
                    <a:noFill/>
                  </pic:spPr>
                </pic:pic>
              </a:graphicData>
            </a:graphic>
          </wp:anchor>
        </w:drawing>
      </w:r>
    </w:p>
    <w:p>
      <w:pPr>
        <w:sectPr>
          <w:pgSz w:w="11900" w:h="16838" w:orient="portrait"/>
          <w:cols w:equalWidth="0" w:num="1">
            <w:col w:w="11240"/>
          </w:cols>
          <w:pgMar w:left="320" w:top="636" w:right="339" w:bottom="1440" w:gutter="0" w:footer="0" w:header="0"/>
          <w:type w:val="continuous"/>
        </w:sectPr>
      </w:pPr>
    </w:p>
    <w:bookmarkStart w:id="24" w:name="page25"/>
    <w:bookmarkEnd w:id="24"/>
    <w:p>
      <w:pPr>
        <w:spacing w:after="0"/>
        <w:rPr>
          <w:sz w:val="20"/>
          <w:szCs w:val="20"/>
          <w:color w:val="auto"/>
        </w:rPr>
      </w:pPr>
      <w:r>
        <w:rPr>
          <w:rFonts w:ascii="Arial" w:cs="Arial" w:eastAsia="Arial" w:hAnsi="Arial"/>
          <w:sz w:val="14"/>
          <w:szCs w:val="14"/>
          <w:b w:val="1"/>
          <w:bCs w:val="1"/>
          <w:color w:val="455986"/>
        </w:rPr>
        <w:t>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27940</wp:posOffset>
            </wp:positionV>
            <wp:extent cx="713994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39940" cy="8255"/>
                    </a:xfrm>
                    <a:prstGeom prst="rect">
                      <a:avLst/>
                    </a:prstGeom>
                    <a:noFill/>
                  </pic:spPr>
                </pic:pic>
              </a:graphicData>
            </a:graphic>
          </wp:anchor>
        </w:drawing>
      </w:r>
    </w:p>
    <w:p>
      <w:pPr>
        <w:spacing w:after="0" w:line="76" w:lineRule="exact"/>
        <w:rPr>
          <w:sz w:val="20"/>
          <w:szCs w:val="20"/>
          <w:color w:val="auto"/>
        </w:rPr>
      </w:pPr>
    </w:p>
    <w:p>
      <w:pPr>
        <w:spacing w:after="0"/>
        <w:rPr>
          <w:sz w:val="20"/>
          <w:szCs w:val="20"/>
          <w:color w:val="auto"/>
        </w:rPr>
      </w:pPr>
      <w:r>
        <w:rPr>
          <w:rFonts w:ascii="Arial" w:cs="Arial" w:eastAsia="Arial" w:hAnsi="Arial"/>
          <w:sz w:val="14"/>
          <w:szCs w:val="14"/>
          <w:color w:val="231F20"/>
        </w:rPr>
        <w:t>Board Oversight of Risk Management</w:t>
      </w:r>
    </w:p>
    <w:p>
      <w:pPr>
        <w:spacing w:after="0" w:line="163" w:lineRule="exact"/>
        <w:rPr>
          <w:sz w:val="20"/>
          <w:szCs w:val="20"/>
          <w:color w:val="auto"/>
        </w:rPr>
      </w:pPr>
    </w:p>
    <w:p>
      <w:pPr>
        <w:spacing w:after="0"/>
        <w:rPr>
          <w:sz w:val="20"/>
          <w:szCs w:val="20"/>
          <w:color w:val="auto"/>
        </w:rPr>
      </w:pPr>
      <w:r>
        <w:rPr>
          <w:rFonts w:ascii="Arial" w:cs="Arial" w:eastAsia="Arial" w:hAnsi="Arial"/>
          <w:sz w:val="23"/>
          <w:szCs w:val="23"/>
          <w:b w:val="1"/>
          <w:bCs w:val="1"/>
          <w:color w:val="455986"/>
        </w:rPr>
        <w:t>Board Oversight of Risk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209550</wp:posOffset>
            </wp:positionV>
            <wp:extent cx="7139940" cy="75609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39940" cy="75609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300" w:hanging="298"/>
        <w:spacing w:after="0"/>
        <w:tabs>
          <w:tab w:leader="none" w:pos="300" w:val="left"/>
        </w:tabs>
        <w:numPr>
          <w:ilvl w:val="0"/>
          <w:numId w:val="57"/>
        </w:numPr>
        <w:rPr>
          <w:rFonts w:ascii="Arial" w:cs="Arial" w:eastAsia="Arial" w:hAnsi="Arial"/>
          <w:sz w:val="15"/>
          <w:szCs w:val="15"/>
          <w:color w:val="455986"/>
        </w:rPr>
      </w:pPr>
      <w:r>
        <w:rPr>
          <w:rFonts w:ascii="Arial" w:cs="Arial" w:eastAsia="Arial" w:hAnsi="Arial"/>
          <w:sz w:val="12"/>
          <w:szCs w:val="12"/>
          <w:color w:val="4395D4"/>
        </w:rPr>
        <w:t xml:space="preserve">ESSENTIAL UTILITIES, INC. </w:t>
      </w:r>
      <w:r>
        <w:rPr>
          <w:rFonts w:ascii="Arial" w:cs="Arial" w:eastAsia="Arial" w:hAnsi="Arial"/>
          <w:sz w:val="12"/>
          <w:szCs w:val="12"/>
          <w:color w:val="455986"/>
        </w:rPr>
        <w:t>2021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316230</wp:posOffset>
            </wp:positionV>
            <wp:extent cx="7139940" cy="2413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39940" cy="24130"/>
                    </a:xfrm>
                    <a:prstGeom prst="rect">
                      <a:avLst/>
                    </a:prstGeom>
                    <a:noFill/>
                  </pic:spPr>
                </pic:pic>
              </a:graphicData>
            </a:graphic>
          </wp:anchor>
        </w:drawing>
      </w:r>
    </w:p>
    <w:p>
      <w:pPr>
        <w:sectPr>
          <w:pgSz w:w="11900" w:h="16838" w:orient="portrait"/>
          <w:cols w:equalWidth="0" w:num="1">
            <w:col w:w="10139"/>
          </w:cols>
          <w:pgMar w:left="320" w:top="636" w:right="1440" w:bottom="1440" w:gutter="0" w:footer="0" w:header="0"/>
        </w:sectPr>
      </w:pPr>
    </w:p>
    <w:bookmarkStart w:id="25" w:name="page26"/>
    <w:bookmarkEnd w:id="25"/>
    <w:p>
      <w:pPr>
        <w:spacing w:after="0"/>
        <w:rPr>
          <w:sz w:val="20"/>
          <w:szCs w:val="20"/>
          <w:color w:val="auto"/>
        </w:rPr>
      </w:pPr>
      <w:r>
        <w:rPr>
          <w:rFonts w:ascii="Arial" w:cs="Arial" w:eastAsia="Arial" w:hAnsi="Arial"/>
          <w:sz w:val="14"/>
          <w:szCs w:val="14"/>
          <w:b w:val="1"/>
          <w:bCs w:val="1"/>
          <w:color w:val="455986"/>
        </w:rPr>
        <w:t>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27940</wp:posOffset>
            </wp:positionV>
            <wp:extent cx="7139940"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39940" cy="8255"/>
                    </a:xfrm>
                    <a:prstGeom prst="rect">
                      <a:avLst/>
                    </a:prstGeom>
                    <a:noFill/>
                  </pic:spPr>
                </pic:pic>
              </a:graphicData>
            </a:graphic>
          </wp:anchor>
        </w:drawing>
      </w:r>
    </w:p>
    <w:p>
      <w:pPr>
        <w:spacing w:after="0" w:line="76" w:lineRule="exact"/>
        <w:rPr>
          <w:sz w:val="20"/>
          <w:szCs w:val="20"/>
          <w:color w:val="auto"/>
        </w:rPr>
      </w:pPr>
    </w:p>
    <w:p>
      <w:pPr>
        <w:spacing w:after="0"/>
        <w:rPr>
          <w:sz w:val="20"/>
          <w:szCs w:val="20"/>
          <w:color w:val="auto"/>
        </w:rPr>
      </w:pPr>
      <w:r>
        <w:rPr>
          <w:rFonts w:ascii="Arial" w:cs="Arial" w:eastAsia="Arial" w:hAnsi="Arial"/>
          <w:sz w:val="14"/>
          <w:szCs w:val="14"/>
          <w:color w:val="231F20"/>
        </w:rPr>
        <w:t>Succession Planning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123825</wp:posOffset>
            </wp:positionV>
            <wp:extent cx="5956300" cy="134556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5956300" cy="13455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20"/>
          <w:szCs w:val="20"/>
          <w:b w:val="1"/>
          <w:bCs w:val="1"/>
          <w:color w:val="231F20"/>
        </w:rPr>
        <w:t>Board Oversight of Compensation Risk</w:t>
      </w:r>
    </w:p>
    <w:p>
      <w:pPr>
        <w:spacing w:after="0" w:line="31" w:lineRule="exact"/>
        <w:rPr>
          <w:sz w:val="20"/>
          <w:szCs w:val="20"/>
          <w:color w:val="auto"/>
        </w:rPr>
      </w:pPr>
    </w:p>
    <w:p>
      <w:pPr>
        <w:ind w:right="40"/>
        <w:spacing w:after="0" w:line="235" w:lineRule="auto"/>
        <w:rPr>
          <w:sz w:val="20"/>
          <w:szCs w:val="20"/>
          <w:color w:val="auto"/>
        </w:rPr>
      </w:pPr>
      <w:r>
        <w:rPr>
          <w:rFonts w:ascii="Arial" w:cs="Arial" w:eastAsia="Arial" w:hAnsi="Arial"/>
          <w:sz w:val="14"/>
          <w:szCs w:val="14"/>
          <w:color w:val="231F20"/>
        </w:rPr>
        <w:t>In administering the executive compensation program, the Executive Compensation Committee aims to strike an appropriate balance among the elements of our compensation program to achieve the program’s objectives. Each of the elements of the program is discussed in greater detail in this proxy statement. As a result of its review of the Company’s overall compensation program in the context of the risks identified in the Company’s enterprise risk management processes, the Executive Compensation Committee does not believe that the risks the Company faces are materially increased by the Company’s compensation programs. Therefore, the Executive Compensation Committee believes that the compensation program does not create the reasonable likelihood of a material adverse effect on the Company.</w:t>
      </w:r>
    </w:p>
    <w:p>
      <w:pPr>
        <w:spacing w:after="0" w:line="100" w:lineRule="exact"/>
        <w:rPr>
          <w:sz w:val="20"/>
          <w:szCs w:val="20"/>
          <w:color w:val="auto"/>
        </w:rPr>
      </w:pPr>
    </w:p>
    <w:p>
      <w:pPr>
        <w:spacing w:after="0"/>
        <w:rPr>
          <w:sz w:val="20"/>
          <w:szCs w:val="20"/>
          <w:color w:val="auto"/>
        </w:rPr>
      </w:pPr>
      <w:r>
        <w:rPr>
          <w:rFonts w:ascii="Arial" w:cs="Arial" w:eastAsia="Arial" w:hAnsi="Arial"/>
          <w:sz w:val="20"/>
          <w:szCs w:val="20"/>
          <w:b w:val="1"/>
          <w:bCs w:val="1"/>
          <w:color w:val="231F20"/>
        </w:rPr>
        <w:t>Board Oversight of Human Rights Risk Management</w:t>
      </w:r>
    </w:p>
    <w:p>
      <w:pPr>
        <w:spacing w:after="0" w:line="31" w:lineRule="exact"/>
        <w:rPr>
          <w:sz w:val="20"/>
          <w:szCs w:val="20"/>
          <w:color w:val="auto"/>
        </w:rPr>
      </w:pPr>
    </w:p>
    <w:p>
      <w:pPr>
        <w:jc w:val="both"/>
        <w:spacing w:after="0"/>
        <w:rPr>
          <w:sz w:val="20"/>
          <w:szCs w:val="20"/>
          <w:color w:val="auto"/>
        </w:rPr>
      </w:pPr>
      <w:r>
        <w:rPr>
          <w:rFonts w:ascii="Arial" w:cs="Arial" w:eastAsia="Arial" w:hAnsi="Arial"/>
          <w:sz w:val="14"/>
          <w:szCs w:val="14"/>
          <w:color w:val="231F20"/>
        </w:rPr>
        <w:t>The Board of Directors is responsible for overseeing human rights risk management. In 2019 it enacted a Human Rights Policy that underscores the Company’s commitment to conducting business in a way that minimizes the adverse effects our operations may have on people and the communities that we serve. As more fully described on page 32, at a minimum, the Company and its vendors will:</w:t>
      </w:r>
    </w:p>
    <w:p>
      <w:pPr>
        <w:sectPr>
          <w:pgSz w:w="11900" w:h="16838" w:orient="portrait"/>
          <w:cols w:equalWidth="0" w:num="1">
            <w:col w:w="11240"/>
          </w:cols>
          <w:pgMar w:left="320" w:top="636" w:right="339" w:bottom="1440" w:gutter="0" w:footer="0" w:header="0"/>
        </w:sectPr>
      </w:pPr>
    </w:p>
    <w:p>
      <w:pPr>
        <w:spacing w:after="0" w:line="112" w:lineRule="exact"/>
        <w:rPr>
          <w:sz w:val="20"/>
          <w:szCs w:val="20"/>
          <w:color w:val="auto"/>
        </w:rPr>
      </w:pPr>
    </w:p>
    <w:p>
      <w:pPr>
        <w:spacing w:after="0"/>
        <w:tabs>
          <w:tab w:leader="none" w:pos="160" w:val="left"/>
        </w:tabs>
        <w:rPr>
          <w:sz w:val="20"/>
          <w:szCs w:val="20"/>
          <w:color w:val="auto"/>
        </w:rPr>
      </w:pPr>
      <w:r>
        <w:rPr>
          <w:rFonts w:ascii="Arial" w:cs="Arial" w:eastAsia="Arial" w:hAnsi="Arial"/>
          <w:sz w:val="14"/>
          <w:szCs w:val="14"/>
          <w:color w:val="4395D4"/>
        </w:rPr>
        <w:t>•</w:t>
      </w:r>
      <w:r>
        <w:rPr>
          <w:rFonts w:ascii="Arial" w:cs="Arial" w:eastAsia="Arial" w:hAnsi="Arial"/>
          <w:sz w:val="14"/>
          <w:szCs w:val="14"/>
          <w:color w:val="231F20"/>
        </w:rPr>
        <w:tab/>
        <w:t>make efforts to avoid causing or contributing to human rights violations;</w:t>
      </w:r>
    </w:p>
    <w:p>
      <w:pPr>
        <w:spacing w:after="0" w:line="20" w:lineRule="exact"/>
        <w:rPr>
          <w:sz w:val="20"/>
          <w:szCs w:val="20"/>
          <w:color w:val="auto"/>
        </w:rPr>
      </w:pPr>
      <w:r>
        <w:rPr>
          <w:sz w:val="20"/>
          <w:szCs w:val="20"/>
          <w:color w:val="auto"/>
        </w:rPr>
        <w:br w:type="column"/>
      </w:r>
    </w:p>
    <w:p>
      <w:pPr>
        <w:spacing w:after="0" w:line="92" w:lineRule="exact"/>
        <w:rPr>
          <w:sz w:val="20"/>
          <w:szCs w:val="20"/>
          <w:color w:val="auto"/>
        </w:rPr>
      </w:pPr>
    </w:p>
    <w:p>
      <w:pPr>
        <w:spacing w:after="0"/>
        <w:tabs>
          <w:tab w:leader="none" w:pos="160" w:val="left"/>
        </w:tabs>
        <w:rPr>
          <w:sz w:val="20"/>
          <w:szCs w:val="20"/>
          <w:color w:val="auto"/>
        </w:rPr>
      </w:pPr>
      <w:r>
        <w:rPr>
          <w:rFonts w:ascii="Arial" w:cs="Arial" w:eastAsia="Arial" w:hAnsi="Arial"/>
          <w:sz w:val="14"/>
          <w:szCs w:val="14"/>
          <w:color w:val="4395D4"/>
        </w:rPr>
        <w:t>•</w:t>
      </w:r>
      <w:r>
        <w:rPr>
          <w:rFonts w:ascii="Arial" w:cs="Arial" w:eastAsia="Arial" w:hAnsi="Arial"/>
          <w:sz w:val="14"/>
          <w:szCs w:val="14"/>
          <w:color w:val="231F20"/>
        </w:rPr>
        <w:tab/>
        <w:t>prohibit the use of child labor, forced labor, or human trafficking; and</w:t>
      </w:r>
    </w:p>
    <w:p>
      <w:pPr>
        <w:spacing w:after="0" w:line="69" w:lineRule="exact"/>
        <w:rPr>
          <w:sz w:val="20"/>
          <w:szCs w:val="20"/>
          <w:color w:val="auto"/>
        </w:rPr>
      </w:pPr>
    </w:p>
    <w:p>
      <w:pPr>
        <w:sectPr>
          <w:pgSz w:w="11900" w:h="16838" w:orient="portrait"/>
          <w:cols w:equalWidth="0" w:num="2">
            <w:col w:w="5140" w:space="720"/>
            <w:col w:w="5380"/>
          </w:cols>
          <w:pgMar w:left="320" w:top="636" w:right="339" w:bottom="1440" w:gutter="0" w:footer="0" w:header="0"/>
          <w:type w:val="continuous"/>
        </w:sectPr>
      </w:pPr>
    </w:p>
    <w:p>
      <w:pPr>
        <w:ind w:left="180" w:hanging="179"/>
        <w:spacing w:after="0" w:line="278" w:lineRule="auto"/>
        <w:tabs>
          <w:tab w:leader="none" w:pos="160" w:val="left"/>
        </w:tabs>
        <w:rPr>
          <w:sz w:val="20"/>
          <w:szCs w:val="20"/>
          <w:color w:val="auto"/>
        </w:rPr>
      </w:pPr>
      <w:r>
        <w:rPr>
          <w:rFonts w:ascii="Arial" w:cs="Arial" w:eastAsia="Arial" w:hAnsi="Arial"/>
          <w:sz w:val="14"/>
          <w:szCs w:val="14"/>
          <w:color w:val="4395D4"/>
        </w:rPr>
        <w:t>•</w:t>
      </w:r>
      <w:r>
        <w:rPr>
          <w:rFonts w:ascii="Arial" w:cs="Arial" w:eastAsia="Arial" w:hAnsi="Arial"/>
          <w:sz w:val="14"/>
          <w:szCs w:val="14"/>
          <w:color w:val="231F20"/>
        </w:rPr>
        <w:tab/>
        <w:t>mitigate and/or remediate adverse human rights impacts of our operations where possible;</w:t>
      </w:r>
    </w:p>
    <w:p>
      <w:pPr>
        <w:spacing w:after="0" w:line="20" w:lineRule="exact"/>
        <w:rPr>
          <w:sz w:val="20"/>
          <w:szCs w:val="20"/>
          <w:color w:val="auto"/>
        </w:rPr>
      </w:pPr>
      <w:r>
        <w:rPr>
          <w:sz w:val="20"/>
          <w:szCs w:val="20"/>
          <w:color w:val="auto"/>
        </w:rPr>
        <w:br w:type="column"/>
      </w:r>
    </w:p>
    <w:p>
      <w:pPr>
        <w:spacing w:after="0"/>
        <w:tabs>
          <w:tab w:leader="none" w:pos="160" w:val="left"/>
        </w:tabs>
        <w:rPr>
          <w:sz w:val="20"/>
          <w:szCs w:val="20"/>
          <w:color w:val="auto"/>
        </w:rPr>
      </w:pPr>
      <w:r>
        <w:rPr>
          <w:rFonts w:ascii="Arial" w:cs="Arial" w:eastAsia="Arial" w:hAnsi="Arial"/>
          <w:sz w:val="14"/>
          <w:szCs w:val="14"/>
          <w:color w:val="4395D4"/>
        </w:rPr>
        <w:t>•</w:t>
      </w:r>
      <w:r>
        <w:rPr>
          <w:rFonts w:ascii="Arial" w:cs="Arial" w:eastAsia="Arial" w:hAnsi="Arial"/>
          <w:sz w:val="14"/>
          <w:szCs w:val="14"/>
          <w:color w:val="231F20"/>
        </w:rPr>
        <w:tab/>
        <w:t>be transparent in our efforts, successes and challenges.</w:t>
      </w:r>
    </w:p>
    <w:p>
      <w:pPr>
        <w:spacing w:after="0" w:line="297" w:lineRule="exact"/>
        <w:rPr>
          <w:sz w:val="20"/>
          <w:szCs w:val="20"/>
          <w:color w:val="auto"/>
        </w:rPr>
      </w:pPr>
    </w:p>
    <w:p>
      <w:pPr>
        <w:sectPr>
          <w:pgSz w:w="11900" w:h="16838" w:orient="portrait"/>
          <w:cols w:equalWidth="0" w:num="2">
            <w:col w:w="5340" w:space="520"/>
            <w:col w:w="5380"/>
          </w:cols>
          <w:pgMar w:left="320" w:top="636" w:right="339" w:bottom="1440" w:gutter="0" w:footer="0" w:header="0"/>
          <w:type w:val="continuous"/>
        </w:sectPr>
      </w:pPr>
    </w:p>
    <w:p>
      <w:pPr>
        <w:spacing w:after="0"/>
        <w:rPr>
          <w:sz w:val="20"/>
          <w:szCs w:val="20"/>
          <w:color w:val="auto"/>
        </w:rPr>
      </w:pPr>
      <w:r>
        <w:rPr>
          <w:rFonts w:ascii="Arial" w:cs="Arial" w:eastAsia="Arial" w:hAnsi="Arial"/>
          <w:sz w:val="20"/>
          <w:szCs w:val="20"/>
          <w:b w:val="1"/>
          <w:bCs w:val="1"/>
          <w:color w:val="455986"/>
        </w:rPr>
        <w:t>Succession Planning</w:t>
      </w:r>
    </w:p>
    <w:p>
      <w:pPr>
        <w:spacing w:after="0" w:line="166" w:lineRule="exact"/>
        <w:rPr>
          <w:sz w:val="20"/>
          <w:szCs w:val="20"/>
          <w:color w:val="auto"/>
        </w:rPr>
      </w:pPr>
    </w:p>
    <w:p>
      <w:pPr>
        <w:jc w:val="both"/>
        <w:ind w:right="120"/>
        <w:spacing w:after="0" w:line="245" w:lineRule="auto"/>
        <w:rPr>
          <w:sz w:val="20"/>
          <w:szCs w:val="20"/>
          <w:color w:val="auto"/>
        </w:rPr>
      </w:pPr>
      <w:r>
        <w:rPr>
          <w:rFonts w:ascii="Arial" w:cs="Arial" w:eastAsia="Arial" w:hAnsi="Arial"/>
          <w:sz w:val="14"/>
          <w:szCs w:val="14"/>
          <w:color w:val="231F20"/>
        </w:rPr>
        <w:t>The Board of Directors is responsible for the development and periodic review of a management succession plan for the Chief Executive Officer and other executives. At least annually and at a special meeting held to only discuss succession planning, including in 2020, the Board of Directors reviews the Company’s succession planning process for the Chief Executive Officer and the named executive officers. During this review, the directors review succession candidates on an immediate basis and more developmental candidates so that the Company is well-prepared for the future.</w:t>
      </w:r>
    </w:p>
    <w:p>
      <w:pPr>
        <w:spacing w:after="0" w:line="108" w:lineRule="exact"/>
        <w:rPr>
          <w:sz w:val="20"/>
          <w:szCs w:val="20"/>
          <w:color w:val="auto"/>
        </w:rPr>
      </w:pPr>
    </w:p>
    <w:p>
      <w:pPr>
        <w:jc w:val="both"/>
        <w:ind w:right="100"/>
        <w:spacing w:after="0" w:line="278" w:lineRule="auto"/>
        <w:rPr>
          <w:sz w:val="20"/>
          <w:szCs w:val="20"/>
          <w:color w:val="auto"/>
        </w:rPr>
      </w:pPr>
      <w:r>
        <w:rPr>
          <w:rFonts w:ascii="Arial" w:cs="Arial" w:eastAsia="Arial" w:hAnsi="Arial"/>
          <w:sz w:val="14"/>
          <w:szCs w:val="14"/>
          <w:color w:val="231F20"/>
        </w:rPr>
        <w:t>In 2020, due to the pandemic, the Board conducted an additional review of the Company’s succession plan to ensure leadership oversight in the event of COVID-19 impacting the executive leadership team.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92710</wp:posOffset>
            </wp:positionV>
            <wp:extent cx="7139940"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39940" cy="8255"/>
                    </a:xfrm>
                    <a:prstGeom prst="rect">
                      <a:avLst/>
                    </a:prstGeom>
                    <a:noFill/>
                  </pic:spPr>
                </pic:pic>
              </a:graphicData>
            </a:graphic>
          </wp:anchor>
        </w:drawing>
      </w:r>
    </w:p>
    <w:p>
      <w:pPr>
        <w:spacing w:after="0" w:line="172" w:lineRule="exact"/>
        <w:rPr>
          <w:sz w:val="20"/>
          <w:szCs w:val="20"/>
          <w:color w:val="auto"/>
        </w:rPr>
      </w:pPr>
    </w:p>
    <w:p>
      <w:pPr>
        <w:jc w:val="right"/>
        <w:spacing w:after="0"/>
        <w:tabs>
          <w:tab w:leader="none" w:pos="140" w:val="left"/>
        </w:tabs>
        <w:rPr>
          <w:sz w:val="20"/>
          <w:szCs w:val="20"/>
          <w:color w:val="auto"/>
        </w:rPr>
      </w:pPr>
      <w:r>
        <w:rPr>
          <w:rFonts w:ascii="Arial" w:cs="Arial" w:eastAsia="Arial" w:hAnsi="Arial"/>
          <w:sz w:val="12"/>
          <w:szCs w:val="12"/>
          <w:color w:val="4395D4"/>
        </w:rPr>
        <w:t xml:space="preserve">ESSENTIAL UTILITIES, INC. </w:t>
      </w:r>
      <w:r>
        <w:rPr>
          <w:rFonts w:ascii="Arial" w:cs="Arial" w:eastAsia="Arial" w:hAnsi="Arial"/>
          <w:sz w:val="12"/>
          <w:szCs w:val="12"/>
          <w:color w:val="455986"/>
        </w:rPr>
        <w:t>2021 PROXY STATEMENT</w:t>
      </w:r>
      <w:r>
        <w:rPr>
          <w:sz w:val="20"/>
          <w:szCs w:val="20"/>
          <w:color w:val="auto"/>
        </w:rPr>
        <w:tab/>
      </w:r>
      <w:r>
        <w:rPr>
          <w:rFonts w:ascii="Arial" w:cs="Arial" w:eastAsia="Arial" w:hAnsi="Arial"/>
          <w:sz w:val="14"/>
          <w:szCs w:val="14"/>
          <w:color w:val="455986"/>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339090</wp:posOffset>
            </wp:positionV>
            <wp:extent cx="7139940" cy="2413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39940" cy="24130"/>
                    </a:xfrm>
                    <a:prstGeom prst="rect">
                      <a:avLst/>
                    </a:prstGeom>
                    <a:noFill/>
                  </pic:spPr>
                </pic:pic>
              </a:graphicData>
            </a:graphic>
          </wp:anchor>
        </w:drawing>
      </w:r>
    </w:p>
    <w:p>
      <w:pPr>
        <w:sectPr>
          <w:pgSz w:w="11900" w:h="16838" w:orient="portrait"/>
          <w:cols w:equalWidth="0" w:num="1">
            <w:col w:w="11240"/>
          </w:cols>
          <w:pgMar w:left="320" w:top="636" w:right="339" w:bottom="1440" w:gutter="0" w:footer="0" w:header="0"/>
          <w:type w:val="continuous"/>
        </w:sectPr>
      </w:pPr>
    </w:p>
    <w:bookmarkStart w:id="26" w:name="page27"/>
    <w:bookmarkEnd w:id="26"/>
    <w:p>
      <w:pPr>
        <w:spacing w:after="0"/>
        <w:rPr>
          <w:sz w:val="20"/>
          <w:szCs w:val="20"/>
          <w:color w:val="auto"/>
        </w:rPr>
      </w:pPr>
      <w:r>
        <w:rPr>
          <w:rFonts w:ascii="Arial" w:cs="Arial" w:eastAsia="Arial" w:hAnsi="Arial"/>
          <w:sz w:val="14"/>
          <w:szCs w:val="14"/>
          <w:b w:val="1"/>
          <w:bCs w:val="1"/>
          <w:color w:val="455986"/>
        </w:rPr>
        <w:t>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27940</wp:posOffset>
            </wp:positionV>
            <wp:extent cx="7139940"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39940" cy="8255"/>
                    </a:xfrm>
                    <a:prstGeom prst="rect">
                      <a:avLst/>
                    </a:prstGeom>
                    <a:noFill/>
                  </pic:spPr>
                </pic:pic>
              </a:graphicData>
            </a:graphic>
          </wp:anchor>
        </w:drawing>
      </w:r>
    </w:p>
    <w:p>
      <w:pPr>
        <w:spacing w:after="0" w:line="76" w:lineRule="exact"/>
        <w:rPr>
          <w:sz w:val="20"/>
          <w:szCs w:val="20"/>
          <w:color w:val="auto"/>
        </w:rPr>
      </w:pPr>
    </w:p>
    <w:p>
      <w:pPr>
        <w:spacing w:after="0"/>
        <w:rPr>
          <w:sz w:val="20"/>
          <w:szCs w:val="20"/>
          <w:color w:val="auto"/>
        </w:rPr>
      </w:pPr>
      <w:r>
        <w:rPr>
          <w:rFonts w:ascii="Arial" w:cs="Arial" w:eastAsia="Arial" w:hAnsi="Arial"/>
          <w:sz w:val="14"/>
          <w:szCs w:val="14"/>
          <w:color w:val="231F20"/>
        </w:rPr>
        <w:t>Shareholder Outreach</w:t>
      </w:r>
    </w:p>
    <w:p>
      <w:pPr>
        <w:spacing w:after="0" w:line="163" w:lineRule="exact"/>
        <w:rPr>
          <w:sz w:val="20"/>
          <w:szCs w:val="20"/>
          <w:color w:val="auto"/>
        </w:rPr>
      </w:pPr>
    </w:p>
    <w:p>
      <w:pPr>
        <w:spacing w:after="0"/>
        <w:rPr>
          <w:sz w:val="20"/>
          <w:szCs w:val="20"/>
          <w:color w:val="auto"/>
        </w:rPr>
      </w:pPr>
      <w:r>
        <w:rPr>
          <w:rFonts w:ascii="Arial" w:cs="Arial" w:eastAsia="Arial" w:hAnsi="Arial"/>
          <w:sz w:val="24"/>
          <w:szCs w:val="24"/>
          <w:b w:val="1"/>
          <w:bCs w:val="1"/>
          <w:color w:val="455986"/>
        </w:rPr>
        <w:t>Shareholder Outreach</w:t>
      </w:r>
    </w:p>
    <w:p>
      <w:pPr>
        <w:spacing w:after="0" w:line="169" w:lineRule="exact"/>
        <w:rPr>
          <w:sz w:val="20"/>
          <w:szCs w:val="20"/>
          <w:color w:val="auto"/>
        </w:rPr>
      </w:pPr>
    </w:p>
    <w:p>
      <w:pPr>
        <w:ind w:right="180"/>
        <w:spacing w:after="0" w:line="253" w:lineRule="auto"/>
        <w:rPr>
          <w:sz w:val="20"/>
          <w:szCs w:val="20"/>
          <w:color w:val="auto"/>
        </w:rPr>
      </w:pPr>
      <w:r>
        <w:rPr>
          <w:rFonts w:ascii="Arial" w:cs="Arial" w:eastAsia="Arial" w:hAnsi="Arial"/>
          <w:sz w:val="14"/>
          <w:szCs w:val="14"/>
          <w:color w:val="231F20"/>
        </w:rPr>
        <w:t>At our 2020 annual meeting of shareholders, our shareholders overwhelmingly agreed with the Company’s compensation program, with 96% in agreement with our compensation design. We believe the high level of support recognized the thoughtfulness and consideration the management team spent in redesigning the program to more closely align with driving shareholder value.</w:t>
      </w:r>
    </w:p>
    <w:p>
      <w:pPr>
        <w:spacing w:after="0" w:line="103" w:lineRule="exact"/>
        <w:rPr>
          <w:sz w:val="20"/>
          <w:szCs w:val="20"/>
          <w:color w:val="auto"/>
        </w:rPr>
      </w:pPr>
    </w:p>
    <w:p>
      <w:pPr>
        <w:ind w:right="80"/>
        <w:spacing w:after="0" w:line="278" w:lineRule="auto"/>
        <w:rPr>
          <w:sz w:val="20"/>
          <w:szCs w:val="20"/>
          <w:color w:val="auto"/>
        </w:rPr>
      </w:pPr>
      <w:r>
        <w:rPr>
          <w:rFonts w:ascii="Arial" w:cs="Arial" w:eastAsia="Arial" w:hAnsi="Arial"/>
          <w:sz w:val="14"/>
          <w:szCs w:val="14"/>
          <w:color w:val="231F20"/>
        </w:rPr>
        <w:t>Over the course of 2020, management held over 300 meetings with investors. We engaged with every shareholder who accepted our offer to meet. During these meetings and calls, we discussed numerous topics, including strategic, executive compensation, and environmental, social and governance issues.</w:t>
      </w:r>
    </w:p>
    <w:p>
      <w:pPr>
        <w:spacing w:after="0" w:line="86" w:lineRule="exact"/>
        <w:rPr>
          <w:sz w:val="20"/>
          <w:szCs w:val="20"/>
          <w:color w:val="auto"/>
        </w:rPr>
      </w:pPr>
    </w:p>
    <w:p>
      <w:pPr>
        <w:spacing w:after="0" w:line="278" w:lineRule="auto"/>
        <w:rPr>
          <w:sz w:val="20"/>
          <w:szCs w:val="20"/>
          <w:color w:val="auto"/>
        </w:rPr>
      </w:pPr>
      <w:r>
        <w:rPr>
          <w:rFonts w:ascii="Arial" w:cs="Arial" w:eastAsia="Arial" w:hAnsi="Arial"/>
          <w:sz w:val="14"/>
          <w:szCs w:val="14"/>
          <w:color w:val="231F20"/>
        </w:rPr>
        <w:t>As a direct result of these meetings and calls, the Company incorporated their feedback, and as an example, moved to include a diversity component to the short-term incentive program.</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3720" w:type="dxa"/>
            <w:vAlign w:val="bottom"/>
          </w:tcPr>
          <w:p>
            <w:pPr>
              <w:spacing w:after="0"/>
              <w:rPr>
                <w:sz w:val="20"/>
                <w:szCs w:val="20"/>
                <w:color w:val="auto"/>
              </w:rPr>
            </w:pPr>
            <w:r>
              <w:rPr>
                <w:rFonts w:ascii="Arial" w:cs="Arial" w:eastAsia="Arial" w:hAnsi="Arial"/>
                <w:sz w:val="15"/>
                <w:szCs w:val="15"/>
                <w:b w:val="1"/>
                <w:bCs w:val="1"/>
                <w:color w:val="auto"/>
              </w:rPr>
              <w:t>2020 Shareholder Feedback and Actions Taken</w:t>
            </w:r>
          </w:p>
        </w:tc>
        <w:tc>
          <w:tcPr>
            <w:tcW w:w="7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96"/>
        </w:trPr>
        <w:tc>
          <w:tcPr>
            <w:tcW w:w="3720" w:type="dxa"/>
            <w:vAlign w:val="bottom"/>
          </w:tcPr>
          <w:p>
            <w:pPr>
              <w:ind w:left="60"/>
              <w:spacing w:after="0"/>
              <w:rPr>
                <w:sz w:val="20"/>
                <w:szCs w:val="20"/>
                <w:color w:val="auto"/>
              </w:rPr>
            </w:pPr>
            <w:r>
              <w:rPr>
                <w:rFonts w:ascii="Arial" w:cs="Arial" w:eastAsia="Arial" w:hAnsi="Arial"/>
                <w:sz w:val="15"/>
                <w:szCs w:val="15"/>
                <w:color w:val="455986"/>
              </w:rPr>
              <w:t>Board Response to</w:t>
            </w:r>
          </w:p>
        </w:tc>
        <w:tc>
          <w:tcPr>
            <w:tcW w:w="7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3720" w:type="dxa"/>
            <w:vAlign w:val="bottom"/>
            <w:tcBorders>
              <w:bottom w:val="single" w:sz="8" w:color="4395D4"/>
            </w:tcBorders>
          </w:tcPr>
          <w:p>
            <w:pPr>
              <w:ind w:left="60"/>
              <w:spacing w:after="0"/>
              <w:rPr>
                <w:sz w:val="20"/>
                <w:szCs w:val="20"/>
                <w:color w:val="auto"/>
              </w:rPr>
            </w:pPr>
            <w:r>
              <w:rPr>
                <w:rFonts w:ascii="Arial" w:cs="Arial" w:eastAsia="Arial" w:hAnsi="Arial"/>
                <w:sz w:val="15"/>
                <w:szCs w:val="15"/>
                <w:color w:val="455986"/>
              </w:rPr>
              <w:t>Shareholder Feedback</w:t>
            </w:r>
          </w:p>
        </w:tc>
        <w:tc>
          <w:tcPr>
            <w:tcW w:w="7520" w:type="dxa"/>
            <w:vAlign w:val="bottom"/>
            <w:tcBorders>
              <w:bottom w:val="single" w:sz="8" w:color="4395D4"/>
            </w:tcBorders>
          </w:tcPr>
          <w:p>
            <w:pPr>
              <w:ind w:left="320"/>
              <w:spacing w:after="0"/>
              <w:rPr>
                <w:sz w:val="20"/>
                <w:szCs w:val="20"/>
                <w:color w:val="auto"/>
              </w:rPr>
            </w:pPr>
            <w:r>
              <w:rPr>
                <w:rFonts w:ascii="Arial" w:cs="Arial" w:eastAsia="Arial" w:hAnsi="Arial"/>
                <w:sz w:val="15"/>
                <w:szCs w:val="15"/>
                <w:b w:val="1"/>
                <w:bCs w:val="1"/>
                <w:color w:val="4395D4"/>
              </w:rPr>
              <w:t>2020 Actions Taken</w:t>
            </w:r>
          </w:p>
        </w:tc>
        <w:tc>
          <w:tcPr>
            <w:tcW w:w="0" w:type="dxa"/>
            <w:vAlign w:val="bottom"/>
          </w:tcPr>
          <w:p>
            <w:pPr>
              <w:spacing w:after="0"/>
              <w:rPr>
                <w:sz w:val="1"/>
                <w:szCs w:val="1"/>
                <w:color w:val="auto"/>
              </w:rPr>
            </w:pPr>
          </w:p>
        </w:tc>
      </w:tr>
      <w:tr>
        <w:trPr>
          <w:trHeight w:val="184"/>
        </w:trPr>
        <w:tc>
          <w:tcPr>
            <w:tcW w:w="3720" w:type="dxa"/>
            <w:vAlign w:val="bottom"/>
          </w:tcPr>
          <w:p>
            <w:pPr>
              <w:ind w:left="60"/>
              <w:spacing w:after="0"/>
              <w:rPr>
                <w:sz w:val="20"/>
                <w:szCs w:val="20"/>
                <w:color w:val="auto"/>
              </w:rPr>
            </w:pPr>
            <w:r>
              <w:rPr>
                <w:rFonts w:ascii="Arial" w:cs="Arial" w:eastAsia="Arial" w:hAnsi="Arial"/>
                <w:sz w:val="15"/>
                <w:szCs w:val="15"/>
                <w:b w:val="1"/>
                <w:bCs w:val="1"/>
                <w:color w:val="FFFFFF"/>
              </w:rPr>
              <w:t>Continued Performance-driven executive</w:t>
            </w:r>
          </w:p>
        </w:tc>
        <w:tc>
          <w:tcPr>
            <w:tcW w:w="7520" w:type="dxa"/>
            <w:vAlign w:val="bottom"/>
          </w:tcPr>
          <w:p>
            <w:pPr>
              <w:ind w:left="320"/>
              <w:spacing w:after="0"/>
              <w:rPr>
                <w:sz w:val="20"/>
                <w:szCs w:val="20"/>
                <w:color w:val="auto"/>
              </w:rPr>
            </w:pPr>
            <w:r>
              <w:rPr>
                <w:rFonts w:ascii="Arial" w:cs="Arial" w:eastAsia="Arial" w:hAnsi="Arial"/>
                <w:sz w:val="15"/>
                <w:szCs w:val="15"/>
                <w:b w:val="1"/>
                <w:bCs w:val="1"/>
                <w:color w:val="4395D4"/>
              </w:rPr>
              <w:t>Focu</w:t>
            </w:r>
            <w:r>
              <w:rPr>
                <w:rFonts w:ascii="Arial" w:cs="Arial" w:eastAsia="Arial" w:hAnsi="Arial"/>
                <w:sz w:val="14"/>
                <w:szCs w:val="14"/>
                <w:b w:val="1"/>
                <w:bCs w:val="1"/>
                <w:color w:val="4395D4"/>
              </w:rPr>
              <w:t>s on performance</w:t>
            </w:r>
          </w:p>
        </w:tc>
        <w:tc>
          <w:tcPr>
            <w:tcW w:w="0" w:type="dxa"/>
            <w:vAlign w:val="bottom"/>
          </w:tcPr>
          <w:p>
            <w:pPr>
              <w:spacing w:after="0"/>
              <w:rPr>
                <w:sz w:val="1"/>
                <w:szCs w:val="1"/>
                <w:color w:val="auto"/>
              </w:rPr>
            </w:pPr>
          </w:p>
        </w:tc>
      </w:tr>
      <w:tr>
        <w:trPr>
          <w:trHeight w:val="215"/>
        </w:trPr>
        <w:tc>
          <w:tcPr>
            <w:tcW w:w="3720" w:type="dxa"/>
            <w:vAlign w:val="bottom"/>
          </w:tcPr>
          <w:p>
            <w:pPr>
              <w:ind w:left="60"/>
              <w:spacing w:after="0"/>
              <w:rPr>
                <w:sz w:val="20"/>
                <w:szCs w:val="20"/>
                <w:color w:val="auto"/>
              </w:rPr>
            </w:pPr>
            <w:r>
              <w:rPr>
                <w:rFonts w:ascii="Arial" w:cs="Arial" w:eastAsia="Arial" w:hAnsi="Arial"/>
                <w:sz w:val="15"/>
                <w:szCs w:val="15"/>
                <w:b w:val="1"/>
                <w:bCs w:val="1"/>
                <w:color w:val="FFFFFF"/>
              </w:rPr>
              <w:t>compensation</w:t>
            </w:r>
          </w:p>
        </w:tc>
        <w:tc>
          <w:tcPr>
            <w:tcW w:w="7520" w:type="dxa"/>
            <w:vAlign w:val="bottom"/>
            <w:vMerge w:val="restart"/>
          </w:tcPr>
          <w:p>
            <w:pPr>
              <w:ind w:left="320"/>
              <w:spacing w:after="0"/>
              <w:rPr>
                <w:sz w:val="20"/>
                <w:szCs w:val="20"/>
                <w:color w:val="auto"/>
              </w:rPr>
            </w:pPr>
            <w:r>
              <w:rPr>
                <w:rFonts w:ascii="Arial" w:cs="Arial" w:eastAsia="Arial" w:hAnsi="Arial"/>
                <w:sz w:val="15"/>
                <w:szCs w:val="15"/>
                <w:color w:val="231F20"/>
              </w:rPr>
              <w:t xml:space="preserve">Following 2020 shareholder outreach, we continued our focus on creating </w:t>
            </w:r>
            <w:r>
              <w:rPr>
                <w:rFonts w:ascii="Arial" w:cs="Arial" w:eastAsia="Arial" w:hAnsi="Arial"/>
                <w:sz w:val="14"/>
                <w:szCs w:val="14"/>
                <w:color w:val="231F20"/>
              </w:rPr>
              <w:t>performance-driven compensation</w:t>
            </w:r>
          </w:p>
        </w:tc>
        <w:tc>
          <w:tcPr>
            <w:tcW w:w="0" w:type="dxa"/>
            <w:vAlign w:val="bottom"/>
          </w:tcPr>
          <w:p>
            <w:pPr>
              <w:spacing w:after="0"/>
              <w:rPr>
                <w:sz w:val="1"/>
                <w:szCs w:val="1"/>
                <w:color w:val="auto"/>
              </w:rPr>
            </w:pPr>
          </w:p>
        </w:tc>
      </w:tr>
      <w:tr>
        <w:trPr>
          <w:trHeight w:val="32"/>
        </w:trPr>
        <w:tc>
          <w:tcPr>
            <w:tcW w:w="3720" w:type="dxa"/>
            <w:vAlign w:val="bottom"/>
          </w:tcPr>
          <w:p>
            <w:pPr>
              <w:spacing w:after="0"/>
              <w:rPr>
                <w:sz w:val="2"/>
                <w:szCs w:val="2"/>
                <w:color w:val="auto"/>
              </w:rPr>
            </w:pPr>
          </w:p>
        </w:tc>
        <w:tc>
          <w:tcPr>
            <w:tcW w:w="752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3"/>
        </w:trPr>
        <w:tc>
          <w:tcPr>
            <w:tcW w:w="3720" w:type="dxa"/>
            <w:vAlign w:val="bottom"/>
          </w:tcPr>
          <w:p>
            <w:pPr>
              <w:spacing w:after="0"/>
              <w:rPr>
                <w:sz w:val="13"/>
                <w:szCs w:val="13"/>
                <w:color w:val="auto"/>
              </w:rPr>
            </w:pPr>
          </w:p>
        </w:tc>
        <w:tc>
          <w:tcPr>
            <w:tcW w:w="7520" w:type="dxa"/>
            <w:vAlign w:val="bottom"/>
          </w:tcPr>
          <w:p>
            <w:pPr>
              <w:ind w:left="320"/>
              <w:spacing w:after="0" w:line="153" w:lineRule="exact"/>
              <w:rPr>
                <w:sz w:val="20"/>
                <w:szCs w:val="20"/>
                <w:color w:val="auto"/>
              </w:rPr>
            </w:pPr>
            <w:r>
              <w:rPr>
                <w:rFonts w:ascii="Arial" w:cs="Arial" w:eastAsia="Arial" w:hAnsi="Arial"/>
                <w:sz w:val="14"/>
                <w:szCs w:val="14"/>
                <w:color w:val="231F20"/>
              </w:rPr>
              <w:t>opportunities for our named executive officers, including adding new elements to incentivize management to</w:t>
            </w:r>
          </w:p>
        </w:tc>
        <w:tc>
          <w:tcPr>
            <w:tcW w:w="0" w:type="dxa"/>
            <w:vAlign w:val="bottom"/>
          </w:tcPr>
          <w:p>
            <w:pPr>
              <w:spacing w:after="0"/>
              <w:rPr>
                <w:sz w:val="1"/>
                <w:szCs w:val="1"/>
                <w:color w:val="auto"/>
              </w:rPr>
            </w:pPr>
          </w:p>
        </w:tc>
      </w:tr>
      <w:tr>
        <w:trPr>
          <w:trHeight w:val="153"/>
        </w:trPr>
        <w:tc>
          <w:tcPr>
            <w:tcW w:w="3720" w:type="dxa"/>
            <w:vAlign w:val="bottom"/>
          </w:tcPr>
          <w:p>
            <w:pPr>
              <w:spacing w:after="0"/>
              <w:rPr>
                <w:sz w:val="13"/>
                <w:szCs w:val="13"/>
                <w:color w:val="auto"/>
              </w:rPr>
            </w:pPr>
          </w:p>
        </w:tc>
        <w:tc>
          <w:tcPr>
            <w:tcW w:w="7520" w:type="dxa"/>
            <w:vAlign w:val="bottom"/>
          </w:tcPr>
          <w:p>
            <w:pPr>
              <w:ind w:left="320"/>
              <w:spacing w:after="0" w:line="153" w:lineRule="exact"/>
              <w:rPr>
                <w:sz w:val="20"/>
                <w:szCs w:val="20"/>
                <w:color w:val="auto"/>
              </w:rPr>
            </w:pPr>
            <w:r>
              <w:rPr>
                <w:rFonts w:ascii="Arial" w:cs="Arial" w:eastAsia="Arial" w:hAnsi="Arial"/>
                <w:sz w:val="14"/>
                <w:szCs w:val="14"/>
                <w:color w:val="231F20"/>
              </w:rPr>
              <w:t>support diversity, equity, and inclusion in the organization. We are continuing the use of our peer group</w:t>
            </w:r>
          </w:p>
        </w:tc>
        <w:tc>
          <w:tcPr>
            <w:tcW w:w="0" w:type="dxa"/>
            <w:vAlign w:val="bottom"/>
          </w:tcPr>
          <w:p>
            <w:pPr>
              <w:spacing w:after="0"/>
              <w:rPr>
                <w:sz w:val="1"/>
                <w:szCs w:val="1"/>
                <w:color w:val="auto"/>
              </w:rPr>
            </w:pPr>
          </w:p>
        </w:tc>
      </w:tr>
      <w:tr>
        <w:trPr>
          <w:trHeight w:val="195"/>
        </w:trPr>
        <w:tc>
          <w:tcPr>
            <w:tcW w:w="3720" w:type="dxa"/>
            <w:vAlign w:val="bottom"/>
          </w:tcPr>
          <w:p>
            <w:pPr>
              <w:spacing w:after="0"/>
              <w:rPr>
                <w:sz w:val="16"/>
                <w:szCs w:val="16"/>
                <w:color w:val="auto"/>
              </w:rPr>
            </w:pPr>
          </w:p>
        </w:tc>
        <w:tc>
          <w:tcPr>
            <w:tcW w:w="7520" w:type="dxa"/>
            <w:vAlign w:val="bottom"/>
          </w:tcPr>
          <w:p>
            <w:pPr>
              <w:ind w:left="320"/>
              <w:spacing w:after="0"/>
              <w:rPr>
                <w:sz w:val="20"/>
                <w:szCs w:val="20"/>
                <w:color w:val="auto"/>
              </w:rPr>
            </w:pPr>
            <w:r>
              <w:rPr>
                <w:rFonts w:ascii="Arial" w:cs="Arial" w:eastAsia="Arial" w:hAnsi="Arial"/>
                <w:sz w:val="14"/>
                <w:szCs w:val="14"/>
                <w:color w:val="231F20"/>
              </w:rPr>
              <w:t>developed in 2019 for 2020. 79% of our CEO’s compensation is performance-based and/or stock-based.</w:t>
            </w:r>
          </w:p>
        </w:tc>
        <w:tc>
          <w:tcPr>
            <w:tcW w:w="0" w:type="dxa"/>
            <w:vAlign w:val="bottom"/>
          </w:tcPr>
          <w:p>
            <w:pPr>
              <w:spacing w:after="0"/>
              <w:rPr>
                <w:sz w:val="1"/>
                <w:szCs w:val="1"/>
                <w:color w:val="auto"/>
              </w:rPr>
            </w:pPr>
          </w:p>
        </w:tc>
      </w:tr>
      <w:tr>
        <w:trPr>
          <w:trHeight w:val="31"/>
        </w:trPr>
        <w:tc>
          <w:tcPr>
            <w:tcW w:w="3720" w:type="dxa"/>
            <w:vAlign w:val="bottom"/>
            <w:tcBorders>
              <w:bottom w:val="single" w:sz="8" w:color="231F20"/>
            </w:tcBorders>
          </w:tcPr>
          <w:p>
            <w:pPr>
              <w:spacing w:after="0"/>
              <w:rPr>
                <w:sz w:val="2"/>
                <w:szCs w:val="2"/>
                <w:color w:val="auto"/>
              </w:rPr>
            </w:pPr>
          </w:p>
        </w:tc>
        <w:tc>
          <w:tcPr>
            <w:tcW w:w="7520" w:type="dxa"/>
            <w:vAlign w:val="bottom"/>
            <w:tcBorders>
              <w:bottom w:val="single" w:sz="8" w:color="231F20"/>
            </w:tcBorders>
          </w:tcPr>
          <w:p>
            <w:pPr>
              <w:spacing w:after="0"/>
              <w:rPr>
                <w:sz w:val="2"/>
                <w:szCs w:val="2"/>
                <w:color w:val="auto"/>
              </w:rPr>
            </w:pPr>
          </w:p>
        </w:tc>
        <w:tc>
          <w:tcPr>
            <w:tcW w:w="0" w:type="dxa"/>
            <w:vAlign w:val="bottom"/>
          </w:tcPr>
          <w:p>
            <w:pPr>
              <w:spacing w:after="0"/>
              <w:rPr>
                <w:sz w:val="1"/>
                <w:szCs w:val="1"/>
                <w:color w:val="auto"/>
              </w:rPr>
            </w:pPr>
          </w:p>
        </w:tc>
      </w:tr>
      <w:tr>
        <w:trPr>
          <w:trHeight w:val="240"/>
        </w:trPr>
        <w:tc>
          <w:tcPr>
            <w:tcW w:w="3720" w:type="dxa"/>
            <w:vAlign w:val="bottom"/>
          </w:tcPr>
          <w:p>
            <w:pPr>
              <w:ind w:left="60"/>
              <w:spacing w:after="0"/>
              <w:rPr>
                <w:sz w:val="20"/>
                <w:szCs w:val="20"/>
                <w:color w:val="auto"/>
              </w:rPr>
            </w:pPr>
            <w:r>
              <w:rPr>
                <w:rFonts w:ascii="Arial" w:cs="Arial" w:eastAsia="Arial" w:hAnsi="Arial"/>
                <w:sz w:val="15"/>
                <w:szCs w:val="15"/>
                <w:b w:val="1"/>
                <w:bCs w:val="1"/>
                <w:color w:val="FFFFFF"/>
              </w:rPr>
              <w:t xml:space="preserve">Reviewed our proxy access </w:t>
            </w:r>
            <w:r>
              <w:rPr>
                <w:rFonts w:ascii="Arial" w:cs="Arial" w:eastAsia="Arial" w:hAnsi="Arial"/>
                <w:sz w:val="17"/>
                <w:szCs w:val="17"/>
                <w:color w:val="FFFFFF"/>
              </w:rPr>
              <w:t>standard</w:t>
            </w:r>
          </w:p>
        </w:tc>
        <w:tc>
          <w:tcPr>
            <w:tcW w:w="7520" w:type="dxa"/>
            <w:vAlign w:val="bottom"/>
          </w:tcPr>
          <w:p>
            <w:pPr>
              <w:ind w:left="320"/>
              <w:spacing w:after="0"/>
              <w:rPr>
                <w:sz w:val="20"/>
                <w:szCs w:val="20"/>
                <w:color w:val="auto"/>
              </w:rPr>
            </w:pPr>
            <w:r>
              <w:rPr>
                <w:rFonts w:ascii="Arial" w:cs="Arial" w:eastAsia="Arial" w:hAnsi="Arial"/>
                <w:sz w:val="15"/>
                <w:szCs w:val="15"/>
                <w:b w:val="1"/>
                <w:bCs w:val="1"/>
                <w:color w:val="4395D4"/>
              </w:rPr>
              <w:t>Rat</w:t>
            </w:r>
            <w:r>
              <w:rPr>
                <w:rFonts w:ascii="Arial" w:cs="Arial" w:eastAsia="Arial" w:hAnsi="Arial"/>
                <w:sz w:val="14"/>
                <w:szCs w:val="14"/>
                <w:b w:val="1"/>
                <w:bCs w:val="1"/>
                <w:color w:val="4395D4"/>
              </w:rPr>
              <w:t>ification of Shareholder Proxy Access</w:t>
            </w:r>
          </w:p>
        </w:tc>
        <w:tc>
          <w:tcPr>
            <w:tcW w:w="0" w:type="dxa"/>
            <w:vAlign w:val="bottom"/>
          </w:tcPr>
          <w:p>
            <w:pPr>
              <w:spacing w:after="0"/>
              <w:rPr>
                <w:sz w:val="1"/>
                <w:szCs w:val="1"/>
                <w:color w:val="auto"/>
              </w:rPr>
            </w:pPr>
          </w:p>
        </w:tc>
      </w:tr>
      <w:tr>
        <w:trPr>
          <w:trHeight w:val="191"/>
        </w:trPr>
        <w:tc>
          <w:tcPr>
            <w:tcW w:w="3720" w:type="dxa"/>
            <w:vAlign w:val="bottom"/>
          </w:tcPr>
          <w:p>
            <w:pPr>
              <w:spacing w:after="0"/>
              <w:rPr>
                <w:sz w:val="16"/>
                <w:szCs w:val="16"/>
                <w:color w:val="auto"/>
              </w:rPr>
            </w:pPr>
          </w:p>
        </w:tc>
        <w:tc>
          <w:tcPr>
            <w:tcW w:w="7520" w:type="dxa"/>
            <w:vAlign w:val="bottom"/>
          </w:tcPr>
          <w:p>
            <w:pPr>
              <w:ind w:left="320"/>
              <w:spacing w:after="0"/>
              <w:rPr>
                <w:sz w:val="20"/>
                <w:szCs w:val="20"/>
                <w:color w:val="auto"/>
              </w:rPr>
            </w:pPr>
            <w:r>
              <w:rPr>
                <w:rFonts w:ascii="Arial" w:cs="Arial" w:eastAsia="Arial" w:hAnsi="Arial"/>
                <w:sz w:val="15"/>
                <w:szCs w:val="15"/>
                <w:color w:val="231F20"/>
              </w:rPr>
              <w:t xml:space="preserve">As a direct result of shareholder feedback, the Board of Directors voted to amend </w:t>
            </w:r>
            <w:r>
              <w:rPr>
                <w:rFonts w:ascii="Arial" w:cs="Arial" w:eastAsia="Arial" w:hAnsi="Arial"/>
                <w:sz w:val="14"/>
                <w:szCs w:val="14"/>
                <w:color w:val="231F20"/>
              </w:rPr>
              <w:t>the Company’s Amended</w:t>
            </w:r>
          </w:p>
        </w:tc>
        <w:tc>
          <w:tcPr>
            <w:tcW w:w="0" w:type="dxa"/>
            <w:vAlign w:val="bottom"/>
          </w:tcPr>
          <w:p>
            <w:pPr>
              <w:spacing w:after="0"/>
              <w:rPr>
                <w:sz w:val="1"/>
                <w:szCs w:val="1"/>
                <w:color w:val="auto"/>
              </w:rPr>
            </w:pPr>
          </w:p>
        </w:tc>
      </w:tr>
      <w:tr>
        <w:trPr>
          <w:trHeight w:val="153"/>
        </w:trPr>
        <w:tc>
          <w:tcPr>
            <w:tcW w:w="3720" w:type="dxa"/>
            <w:vAlign w:val="bottom"/>
          </w:tcPr>
          <w:p>
            <w:pPr>
              <w:spacing w:after="0"/>
              <w:rPr>
                <w:sz w:val="13"/>
                <w:szCs w:val="13"/>
                <w:color w:val="auto"/>
              </w:rPr>
            </w:pPr>
          </w:p>
        </w:tc>
        <w:tc>
          <w:tcPr>
            <w:tcW w:w="7520" w:type="dxa"/>
            <w:vAlign w:val="bottom"/>
          </w:tcPr>
          <w:p>
            <w:pPr>
              <w:ind w:left="320"/>
              <w:spacing w:after="0" w:line="153" w:lineRule="exact"/>
              <w:rPr>
                <w:sz w:val="20"/>
                <w:szCs w:val="20"/>
                <w:color w:val="auto"/>
              </w:rPr>
            </w:pPr>
            <w:r>
              <w:rPr>
                <w:rFonts w:ascii="Arial" w:cs="Arial" w:eastAsia="Arial" w:hAnsi="Arial"/>
                <w:sz w:val="14"/>
                <w:szCs w:val="14"/>
                <w:color w:val="231F20"/>
              </w:rPr>
              <w:t>and Restated Bylaws, as amended, (the Bylaws) to establish a standard for Proxy access for shareholders with</w:t>
            </w:r>
          </w:p>
        </w:tc>
        <w:tc>
          <w:tcPr>
            <w:tcW w:w="0" w:type="dxa"/>
            <w:vAlign w:val="bottom"/>
          </w:tcPr>
          <w:p>
            <w:pPr>
              <w:spacing w:after="0"/>
              <w:rPr>
                <w:sz w:val="1"/>
                <w:szCs w:val="1"/>
                <w:color w:val="auto"/>
              </w:rPr>
            </w:pPr>
          </w:p>
        </w:tc>
      </w:tr>
      <w:tr>
        <w:trPr>
          <w:trHeight w:val="153"/>
        </w:trPr>
        <w:tc>
          <w:tcPr>
            <w:tcW w:w="3720" w:type="dxa"/>
            <w:vAlign w:val="bottom"/>
          </w:tcPr>
          <w:p>
            <w:pPr>
              <w:spacing w:after="0"/>
              <w:rPr>
                <w:sz w:val="13"/>
                <w:szCs w:val="13"/>
                <w:color w:val="auto"/>
              </w:rPr>
            </w:pPr>
          </w:p>
        </w:tc>
        <w:tc>
          <w:tcPr>
            <w:tcW w:w="7520" w:type="dxa"/>
            <w:vAlign w:val="bottom"/>
          </w:tcPr>
          <w:p>
            <w:pPr>
              <w:ind w:left="320"/>
              <w:spacing w:after="0" w:line="153" w:lineRule="exact"/>
              <w:rPr>
                <w:sz w:val="20"/>
                <w:szCs w:val="20"/>
                <w:color w:val="auto"/>
              </w:rPr>
            </w:pPr>
            <w:r>
              <w:rPr>
                <w:rFonts w:ascii="Arial" w:cs="Arial" w:eastAsia="Arial" w:hAnsi="Arial"/>
                <w:sz w:val="14"/>
                <w:szCs w:val="14"/>
                <w:color w:val="231F20"/>
              </w:rPr>
              <w:t>the power to nominate a number of director candidates for inclusion in the Company’s proxy statement aligns the</w:t>
            </w:r>
          </w:p>
        </w:tc>
        <w:tc>
          <w:tcPr>
            <w:tcW w:w="0" w:type="dxa"/>
            <w:vAlign w:val="bottom"/>
          </w:tcPr>
          <w:p>
            <w:pPr>
              <w:spacing w:after="0"/>
              <w:rPr>
                <w:sz w:val="1"/>
                <w:szCs w:val="1"/>
                <w:color w:val="auto"/>
              </w:rPr>
            </w:pPr>
          </w:p>
        </w:tc>
      </w:tr>
      <w:tr>
        <w:trPr>
          <w:trHeight w:val="153"/>
        </w:trPr>
        <w:tc>
          <w:tcPr>
            <w:tcW w:w="3720" w:type="dxa"/>
            <w:vAlign w:val="bottom"/>
          </w:tcPr>
          <w:p>
            <w:pPr>
              <w:spacing w:after="0"/>
              <w:rPr>
                <w:sz w:val="13"/>
                <w:szCs w:val="13"/>
                <w:color w:val="auto"/>
              </w:rPr>
            </w:pPr>
          </w:p>
        </w:tc>
        <w:tc>
          <w:tcPr>
            <w:tcW w:w="7520" w:type="dxa"/>
            <w:vAlign w:val="bottom"/>
          </w:tcPr>
          <w:p>
            <w:pPr>
              <w:ind w:left="320"/>
              <w:spacing w:after="0" w:line="153" w:lineRule="exact"/>
              <w:rPr>
                <w:sz w:val="20"/>
                <w:szCs w:val="20"/>
                <w:color w:val="auto"/>
              </w:rPr>
            </w:pPr>
            <w:r>
              <w:rPr>
                <w:rFonts w:ascii="Arial" w:cs="Arial" w:eastAsia="Arial" w:hAnsi="Arial"/>
                <w:sz w:val="14"/>
                <w:szCs w:val="14"/>
                <w:color w:val="231F20"/>
              </w:rPr>
              <w:t>shareholders’ interests and allows for greater accountability of the directors. This change is being presented to</w:t>
            </w:r>
          </w:p>
        </w:tc>
        <w:tc>
          <w:tcPr>
            <w:tcW w:w="0" w:type="dxa"/>
            <w:vAlign w:val="bottom"/>
          </w:tcPr>
          <w:p>
            <w:pPr>
              <w:spacing w:after="0"/>
              <w:rPr>
                <w:sz w:val="1"/>
                <w:szCs w:val="1"/>
                <w:color w:val="auto"/>
              </w:rPr>
            </w:pPr>
          </w:p>
        </w:tc>
      </w:tr>
      <w:tr>
        <w:trPr>
          <w:trHeight w:val="195"/>
        </w:trPr>
        <w:tc>
          <w:tcPr>
            <w:tcW w:w="3720" w:type="dxa"/>
            <w:vAlign w:val="bottom"/>
          </w:tcPr>
          <w:p>
            <w:pPr>
              <w:spacing w:after="0"/>
              <w:rPr>
                <w:sz w:val="16"/>
                <w:szCs w:val="16"/>
                <w:color w:val="auto"/>
              </w:rPr>
            </w:pPr>
          </w:p>
        </w:tc>
        <w:tc>
          <w:tcPr>
            <w:tcW w:w="7520" w:type="dxa"/>
            <w:vAlign w:val="bottom"/>
          </w:tcPr>
          <w:p>
            <w:pPr>
              <w:ind w:left="320"/>
              <w:spacing w:after="0"/>
              <w:rPr>
                <w:sz w:val="20"/>
                <w:szCs w:val="20"/>
                <w:color w:val="auto"/>
              </w:rPr>
            </w:pPr>
            <w:r>
              <w:rPr>
                <w:rFonts w:ascii="Arial" w:cs="Arial" w:eastAsia="Arial" w:hAnsi="Arial"/>
                <w:sz w:val="14"/>
                <w:szCs w:val="14"/>
                <w:color w:val="231F20"/>
              </w:rPr>
              <w:t>shareholders for ratification at the 2021 Annual Meeting.</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-1325245</wp:posOffset>
            </wp:positionV>
            <wp:extent cx="7139940" cy="230949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39940" cy="2309495"/>
                    </a:xfrm>
                    <a:prstGeom prst="rect">
                      <a:avLst/>
                    </a:prstGeom>
                    <a:noFill/>
                  </pic:spPr>
                </pic:pic>
              </a:graphicData>
            </a:graphic>
          </wp:anchor>
        </w:drawing>
      </w:r>
    </w:p>
    <w:p>
      <w:pPr>
        <w:sectPr>
          <w:pgSz w:w="11900" w:h="16838" w:orient="portrait"/>
          <w:cols w:equalWidth="0" w:num="1">
            <w:col w:w="11240"/>
          </w:cols>
          <w:pgMar w:left="320" w:top="636" w:right="339" w:bottom="1440" w:gutter="0" w:footer="0" w:header="0"/>
        </w:sectPr>
      </w:pPr>
    </w:p>
    <w:p>
      <w:pPr>
        <w:spacing w:after="0" w:line="25" w:lineRule="exact"/>
        <w:rPr>
          <w:sz w:val="20"/>
          <w:szCs w:val="20"/>
          <w:color w:val="auto"/>
        </w:rPr>
      </w:pPr>
    </w:p>
    <w:p>
      <w:pPr>
        <w:ind w:left="60" w:right="680"/>
        <w:spacing w:after="0" w:line="277" w:lineRule="auto"/>
        <w:rPr>
          <w:sz w:val="20"/>
          <w:szCs w:val="20"/>
          <w:color w:val="auto"/>
        </w:rPr>
      </w:pPr>
      <w:r>
        <w:rPr>
          <w:rFonts w:ascii="Arial" w:cs="Arial" w:eastAsia="Arial" w:hAnsi="Arial"/>
          <w:sz w:val="15"/>
          <w:szCs w:val="15"/>
          <w:b w:val="1"/>
          <w:bCs w:val="1"/>
          <w:color w:val="FFFFFF"/>
        </w:rPr>
        <w:t>Completed a review of our environmental and social programs and disclosures.</w:t>
      </w:r>
    </w:p>
    <w:p>
      <w:pPr>
        <w:spacing w:after="0" w:line="20" w:lineRule="exact"/>
        <w:rPr>
          <w:sz w:val="20"/>
          <w:szCs w:val="20"/>
          <w:color w:val="auto"/>
        </w:rPr>
      </w:pPr>
      <w:r>
        <w:rPr>
          <w:sz w:val="20"/>
          <w:szCs w:val="20"/>
          <w:color w:val="auto"/>
        </w:rPr>
        <w:br w:type="column"/>
      </w:r>
    </w:p>
    <w:p>
      <w:pPr>
        <w:spacing w:after="0" w:line="56" w:lineRule="exact"/>
        <w:rPr>
          <w:sz w:val="20"/>
          <w:szCs w:val="20"/>
          <w:color w:val="auto"/>
        </w:rPr>
      </w:pPr>
    </w:p>
    <w:p>
      <w:pPr>
        <w:spacing w:after="0"/>
        <w:rPr>
          <w:sz w:val="20"/>
          <w:szCs w:val="20"/>
          <w:color w:val="auto"/>
        </w:rPr>
      </w:pPr>
      <w:r>
        <w:rPr>
          <w:rFonts w:ascii="Arial" w:cs="Arial" w:eastAsia="Arial" w:hAnsi="Arial"/>
          <w:sz w:val="15"/>
          <w:szCs w:val="15"/>
          <w:b w:val="1"/>
          <w:bCs w:val="1"/>
          <w:color w:val="4395D4"/>
        </w:rPr>
        <w:t>Expanded ESG Disclosure</w:t>
      </w:r>
    </w:p>
    <w:p>
      <w:pPr>
        <w:spacing w:after="0" w:line="57" w:lineRule="exact"/>
        <w:rPr>
          <w:sz w:val="20"/>
          <w:szCs w:val="20"/>
          <w:color w:val="auto"/>
        </w:rPr>
      </w:pPr>
    </w:p>
    <w:p>
      <w:pPr>
        <w:spacing w:after="0"/>
        <w:rPr>
          <w:sz w:val="20"/>
          <w:szCs w:val="20"/>
          <w:color w:val="auto"/>
        </w:rPr>
      </w:pPr>
      <w:r>
        <w:rPr>
          <w:rFonts w:ascii="Arial" w:cs="Arial" w:eastAsia="Arial" w:hAnsi="Arial"/>
          <w:sz w:val="15"/>
          <w:szCs w:val="15"/>
          <w:color w:val="231F20"/>
        </w:rPr>
        <w:t xml:space="preserve">Based upon our review and shareholder feedback, we have committed to </w:t>
      </w:r>
      <w:r>
        <w:rPr>
          <w:rFonts w:ascii="Arial" w:cs="Arial" w:eastAsia="Arial" w:hAnsi="Arial"/>
          <w:sz w:val="14"/>
          <w:szCs w:val="14"/>
          <w:color w:val="231F20"/>
        </w:rPr>
        <w:t>expanding the disclosures of our</w:t>
      </w:r>
    </w:p>
    <w:p>
      <w:pPr>
        <w:spacing w:after="0" w:line="21" w:lineRule="exact"/>
        <w:rPr>
          <w:sz w:val="20"/>
          <w:szCs w:val="20"/>
          <w:color w:val="auto"/>
        </w:rPr>
      </w:pPr>
    </w:p>
    <w:p>
      <w:pPr>
        <w:ind w:right="20"/>
        <w:spacing w:after="0"/>
        <w:rPr>
          <w:sz w:val="20"/>
          <w:szCs w:val="20"/>
          <w:color w:val="auto"/>
        </w:rPr>
      </w:pPr>
      <w:r>
        <w:rPr>
          <w:rFonts w:ascii="Arial" w:cs="Arial" w:eastAsia="Arial" w:hAnsi="Arial"/>
          <w:sz w:val="14"/>
          <w:szCs w:val="14"/>
          <w:color w:val="231F20"/>
        </w:rPr>
        <w:t>environmental and social policies in a renewed CSR report, and make it easier to locate these policies. Our CSR report can be found at: www.esg.essential.co and other relevant policies can be found at www. essential.co/investor-relations.</w:t>
      </w:r>
    </w:p>
    <w:p>
      <w:pPr>
        <w:spacing w:after="0" w:line="140" w:lineRule="exact"/>
        <w:rPr>
          <w:sz w:val="20"/>
          <w:szCs w:val="20"/>
          <w:color w:val="auto"/>
        </w:rPr>
      </w:pPr>
    </w:p>
    <w:p>
      <w:pPr>
        <w:ind w:right="100"/>
        <w:spacing w:after="0" w:line="296" w:lineRule="auto"/>
        <w:rPr>
          <w:sz w:val="20"/>
          <w:szCs w:val="20"/>
          <w:color w:val="auto"/>
        </w:rPr>
      </w:pPr>
      <w:r>
        <w:rPr>
          <w:rFonts w:ascii="Arial" w:cs="Arial" w:eastAsia="Arial" w:hAnsi="Arial"/>
          <w:sz w:val="15"/>
          <w:szCs w:val="15"/>
          <w:color w:val="231F20"/>
        </w:rPr>
        <w:t>The Company’s commitment to ensuring diversity and inclusion in the workplace continues to evolve with the insertion of diversity metrics into the Company’s short-term incentive plan in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-2563495</wp:posOffset>
            </wp:positionH>
            <wp:positionV relativeFrom="paragraph">
              <wp:posOffset>635</wp:posOffset>
            </wp:positionV>
            <wp:extent cx="7139940"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39940" cy="8255"/>
                    </a:xfrm>
                    <a:prstGeom prst="rect">
                      <a:avLst/>
                    </a:prstGeom>
                    <a:noFill/>
                  </pic:spPr>
                </pic:pic>
              </a:graphicData>
            </a:graphic>
          </wp:anchor>
        </w:drawing>
        <w:drawing>
          <wp:anchor simplePos="0" relativeHeight="251657728" behindDoc="1" locked="0" layoutInCell="0" allowOverlap="1">
            <wp:simplePos x="0" y="0"/>
            <wp:positionH relativeFrom="column">
              <wp:posOffset>-2563495</wp:posOffset>
            </wp:positionH>
            <wp:positionV relativeFrom="paragraph">
              <wp:posOffset>122555</wp:posOffset>
            </wp:positionV>
            <wp:extent cx="7139940"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39940"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320" w:space="720"/>
            <w:col w:w="7200"/>
          </w:cols>
          <w:pgMar w:left="320" w:top="636" w:right="339" w:bottom="1440" w:gutter="0" w:footer="0" w:header="0"/>
          <w:type w:val="continuous"/>
        </w:sectPr>
      </w:pPr>
    </w:p>
    <w:p>
      <w:pPr>
        <w:spacing w:after="0" w:line="74" w:lineRule="exact"/>
        <w:rPr>
          <w:sz w:val="20"/>
          <w:szCs w:val="20"/>
          <w:color w:val="auto"/>
        </w:rPr>
      </w:pPr>
    </w:p>
    <w:p>
      <w:pPr>
        <w:ind w:left="300" w:hanging="298"/>
        <w:spacing w:after="0"/>
        <w:tabs>
          <w:tab w:leader="none" w:pos="300" w:val="left"/>
        </w:tabs>
        <w:numPr>
          <w:ilvl w:val="0"/>
          <w:numId w:val="58"/>
        </w:numPr>
        <w:rPr>
          <w:rFonts w:ascii="Arial" w:cs="Arial" w:eastAsia="Arial" w:hAnsi="Arial"/>
          <w:sz w:val="14"/>
          <w:szCs w:val="14"/>
          <w:color w:val="455986"/>
        </w:rPr>
      </w:pPr>
      <w:r>
        <w:rPr>
          <w:rFonts w:ascii="Arial" w:cs="Arial" w:eastAsia="Arial" w:hAnsi="Arial"/>
          <w:sz w:val="11"/>
          <w:szCs w:val="11"/>
          <w:color w:val="4395D4"/>
        </w:rPr>
        <w:t xml:space="preserve">ESSENTIAL UTILITIES, INC. </w:t>
      </w:r>
      <w:r>
        <w:rPr>
          <w:rFonts w:ascii="Arial" w:cs="Arial" w:eastAsia="Arial" w:hAnsi="Arial"/>
          <w:sz w:val="11"/>
          <w:szCs w:val="11"/>
          <w:color w:val="455986"/>
        </w:rPr>
        <w:t>2021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316230</wp:posOffset>
            </wp:positionV>
            <wp:extent cx="7139940" cy="2413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39940" cy="24130"/>
                    </a:xfrm>
                    <a:prstGeom prst="rect">
                      <a:avLst/>
                    </a:prstGeom>
                    <a:noFill/>
                  </pic:spPr>
                </pic:pic>
              </a:graphicData>
            </a:graphic>
          </wp:anchor>
        </w:drawing>
      </w:r>
    </w:p>
    <w:p>
      <w:pPr>
        <w:sectPr>
          <w:pgSz w:w="11900" w:h="16838" w:orient="portrait"/>
          <w:cols w:equalWidth="0" w:num="1">
            <w:col w:w="11240"/>
          </w:cols>
          <w:pgMar w:left="320" w:top="636" w:right="339" w:bottom="1440" w:gutter="0" w:footer="0" w:header="0"/>
          <w:type w:val="continuous"/>
        </w:sectPr>
      </w:pPr>
    </w:p>
    <w:bookmarkStart w:id="27" w:name="page28"/>
    <w:bookmarkEnd w:id="27"/>
    <w:p>
      <w:pPr>
        <w:spacing w:after="0"/>
        <w:rPr>
          <w:sz w:val="20"/>
          <w:szCs w:val="20"/>
          <w:color w:val="auto"/>
        </w:rPr>
      </w:pPr>
      <w:r>
        <w:rPr>
          <w:rFonts w:ascii="Arial" w:cs="Arial" w:eastAsia="Arial" w:hAnsi="Arial"/>
          <w:sz w:val="14"/>
          <w:szCs w:val="14"/>
          <w:b w:val="1"/>
          <w:bCs w:val="1"/>
          <w:color w:val="455986"/>
        </w:rPr>
        <w:t>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27940</wp:posOffset>
            </wp:positionV>
            <wp:extent cx="7139940"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39940" cy="8255"/>
                    </a:xfrm>
                    <a:prstGeom prst="rect">
                      <a:avLst/>
                    </a:prstGeom>
                    <a:noFill/>
                  </pic:spPr>
                </pic:pic>
              </a:graphicData>
            </a:graphic>
          </wp:anchor>
        </w:drawing>
      </w:r>
    </w:p>
    <w:p>
      <w:pPr>
        <w:spacing w:after="0" w:line="76" w:lineRule="exact"/>
        <w:rPr>
          <w:sz w:val="20"/>
          <w:szCs w:val="20"/>
          <w:color w:val="auto"/>
        </w:rPr>
      </w:pPr>
    </w:p>
    <w:p>
      <w:pPr>
        <w:spacing w:after="0"/>
        <w:rPr>
          <w:sz w:val="20"/>
          <w:szCs w:val="20"/>
          <w:color w:val="auto"/>
        </w:rPr>
      </w:pPr>
      <w:r>
        <w:rPr>
          <w:rFonts w:ascii="Arial" w:cs="Arial" w:eastAsia="Arial" w:hAnsi="Arial"/>
          <w:sz w:val="14"/>
          <w:szCs w:val="14"/>
          <w:color w:val="231F20"/>
        </w:rPr>
        <w:t>Environmental Stewardship and Corporate Responsibility</w:t>
      </w:r>
    </w:p>
    <w:p>
      <w:pPr>
        <w:spacing w:after="0" w:line="163" w:lineRule="exact"/>
        <w:rPr>
          <w:sz w:val="20"/>
          <w:szCs w:val="20"/>
          <w:color w:val="auto"/>
        </w:rPr>
      </w:pPr>
    </w:p>
    <w:p>
      <w:pPr>
        <w:spacing w:after="0"/>
        <w:rPr>
          <w:sz w:val="20"/>
          <w:szCs w:val="20"/>
          <w:color w:val="auto"/>
        </w:rPr>
      </w:pPr>
      <w:r>
        <w:rPr>
          <w:rFonts w:ascii="Arial" w:cs="Arial" w:eastAsia="Arial" w:hAnsi="Arial"/>
          <w:sz w:val="24"/>
          <w:szCs w:val="24"/>
          <w:b w:val="1"/>
          <w:bCs w:val="1"/>
          <w:color w:val="455986"/>
        </w:rPr>
        <w:t>Environmental Stewardship and Corporate Responsibility</w:t>
      </w:r>
    </w:p>
    <w:p>
      <w:pPr>
        <w:spacing w:after="0" w:line="156" w:lineRule="exact"/>
        <w:rPr>
          <w:sz w:val="20"/>
          <w:szCs w:val="20"/>
          <w:color w:val="auto"/>
        </w:rPr>
      </w:pPr>
    </w:p>
    <w:p>
      <w:pPr>
        <w:spacing w:after="0"/>
        <w:rPr>
          <w:sz w:val="20"/>
          <w:szCs w:val="20"/>
          <w:color w:val="auto"/>
        </w:rPr>
      </w:pPr>
      <w:r>
        <w:rPr>
          <w:rFonts w:ascii="Arial" w:cs="Arial" w:eastAsia="Arial" w:hAnsi="Arial"/>
          <w:sz w:val="20"/>
          <w:szCs w:val="20"/>
          <w:b w:val="1"/>
          <w:bCs w:val="1"/>
          <w:color w:val="231F20"/>
        </w:rPr>
        <w:t>Essential’s ESG Program Objectives</w:t>
      </w:r>
    </w:p>
    <w:p>
      <w:pPr>
        <w:spacing w:after="0" w:line="166" w:lineRule="exact"/>
        <w:rPr>
          <w:sz w:val="20"/>
          <w:szCs w:val="20"/>
          <w:color w:val="auto"/>
        </w:rPr>
      </w:pPr>
    </w:p>
    <w:p>
      <w:pPr>
        <w:ind w:right="160"/>
        <w:spacing w:after="0" w:line="245" w:lineRule="auto"/>
        <w:rPr>
          <w:sz w:val="20"/>
          <w:szCs w:val="20"/>
          <w:color w:val="auto"/>
        </w:rPr>
      </w:pPr>
      <w:r>
        <w:rPr>
          <w:rFonts w:ascii="Arial" w:cs="Arial" w:eastAsia="Arial" w:hAnsi="Arial"/>
          <w:sz w:val="14"/>
          <w:szCs w:val="14"/>
          <w:color w:val="4395D4"/>
        </w:rPr>
        <w:t>At Essential, looking to the future is ingrained in our corporate responsibility and in how we conduct our business with environmental, social and governance (ESG) initiatives. For 135 years, it has been our mission to be the best possible provider of essential resources by serving the needs and expectations of our customers, shareholders, employees and the communities we serve both today and for future generations. We are committed to being responsible stewards of our environment, maintaining a safe, diverse, cooperative and respectful culture, and overseeing the governance of Essential with the utmost transparency and ethical responsibility.</w:t>
      </w:r>
    </w:p>
    <w:p>
      <w:pPr>
        <w:spacing w:after="0" w:line="108" w:lineRule="exact"/>
        <w:rPr>
          <w:sz w:val="20"/>
          <w:szCs w:val="20"/>
          <w:color w:val="auto"/>
        </w:rPr>
      </w:pPr>
    </w:p>
    <w:p>
      <w:pPr>
        <w:ind w:right="340"/>
        <w:spacing w:after="0" w:line="253" w:lineRule="auto"/>
        <w:rPr>
          <w:sz w:val="20"/>
          <w:szCs w:val="20"/>
          <w:color w:val="auto"/>
        </w:rPr>
      </w:pPr>
      <w:r>
        <w:rPr>
          <w:rFonts w:ascii="Arial" w:cs="Arial" w:eastAsia="Arial" w:hAnsi="Arial"/>
          <w:sz w:val="14"/>
          <w:szCs w:val="14"/>
          <w:color w:val="231F20"/>
        </w:rPr>
        <w:t>Our water, wastewater, and gas utilities have been investing in the infrastructure and resiliency of local communities across America for 135 years. We share a like-minded culture of sustainability and a recognition of the responsibility that comes with providing resources for life in our communities. Our employees often live in the very neighborhoods we serve and this lends an awareness that our business actions should build resiliency and positive relationships locally.</w:t>
      </w:r>
    </w:p>
    <w:p>
      <w:pPr>
        <w:spacing w:after="0" w:line="103" w:lineRule="exact"/>
        <w:rPr>
          <w:sz w:val="20"/>
          <w:szCs w:val="20"/>
          <w:color w:val="auto"/>
        </w:rPr>
      </w:pPr>
    </w:p>
    <w:p>
      <w:pPr>
        <w:ind w:right="180"/>
        <w:spacing w:after="0" w:line="253" w:lineRule="auto"/>
        <w:rPr>
          <w:sz w:val="20"/>
          <w:szCs w:val="20"/>
          <w:color w:val="auto"/>
        </w:rPr>
      </w:pPr>
      <w:r>
        <w:rPr>
          <w:rFonts w:ascii="Arial" w:cs="Arial" w:eastAsia="Arial" w:hAnsi="Arial"/>
          <w:sz w:val="14"/>
          <w:szCs w:val="14"/>
          <w:color w:val="231F20"/>
        </w:rPr>
        <w:t>Each year, we deliver more than 86 billion gallons of water, the Earth’s single most essential resource, to approximately 3 million people across eight states. We treat over 12 billion gallons of wastewater from about 150,000 customer connections. We supply natural gas to approximately 750,000 homes and businesses across three states. Over 3,000 Essential employees dedicate themselves to safe treatment and delivery of these resources and do so using the most environmentally sustainable methods available.</w:t>
      </w:r>
    </w:p>
    <w:p>
      <w:pPr>
        <w:spacing w:after="0" w:line="103" w:lineRule="exact"/>
        <w:rPr>
          <w:sz w:val="20"/>
          <w:szCs w:val="20"/>
          <w:color w:val="auto"/>
        </w:rPr>
      </w:pPr>
    </w:p>
    <w:p>
      <w:pPr>
        <w:ind w:right="260"/>
        <w:spacing w:after="0" w:line="278" w:lineRule="auto"/>
        <w:rPr>
          <w:sz w:val="20"/>
          <w:szCs w:val="20"/>
          <w:color w:val="auto"/>
        </w:rPr>
      </w:pPr>
      <w:r>
        <w:rPr>
          <w:rFonts w:ascii="Arial" w:cs="Arial" w:eastAsia="Arial" w:hAnsi="Arial"/>
          <w:sz w:val="14"/>
          <w:szCs w:val="14"/>
          <w:color w:val="231F20"/>
        </w:rPr>
        <w:t>This would not be possible without our significant investment in rebuilding aging infrastructure across each of our state operations. As the troubling state of US infrastructure becomes more acute and threatens the health and safety of its citizens, we believe our role is to be part of the solution to address this crisis.</w:t>
      </w:r>
    </w:p>
    <w:p>
      <w:pPr>
        <w:spacing w:after="0" w:line="74" w:lineRule="exact"/>
        <w:rPr>
          <w:sz w:val="20"/>
          <w:szCs w:val="20"/>
          <w:color w:val="auto"/>
        </w:rPr>
      </w:pPr>
    </w:p>
    <w:p>
      <w:pPr>
        <w:spacing w:after="0"/>
        <w:rPr>
          <w:sz w:val="20"/>
          <w:szCs w:val="20"/>
          <w:color w:val="auto"/>
        </w:rPr>
      </w:pPr>
      <w:r>
        <w:rPr>
          <w:rFonts w:ascii="Arial" w:cs="Arial" w:eastAsia="Arial" w:hAnsi="Arial"/>
          <w:sz w:val="20"/>
          <w:szCs w:val="20"/>
          <w:b w:val="1"/>
          <w:bCs w:val="1"/>
          <w:color w:val="231F20"/>
        </w:rPr>
        <w:t>ESG Reporting</w:t>
      </w:r>
    </w:p>
    <w:p>
      <w:pPr>
        <w:spacing w:after="0" w:line="242" w:lineRule="exact"/>
        <w:rPr>
          <w:sz w:val="20"/>
          <w:szCs w:val="20"/>
          <w:color w:val="auto"/>
        </w:rPr>
      </w:pPr>
    </w:p>
    <w:p>
      <w:pPr>
        <w:ind w:right="300"/>
        <w:spacing w:after="0" w:line="245" w:lineRule="auto"/>
        <w:rPr>
          <w:sz w:val="20"/>
          <w:szCs w:val="20"/>
          <w:color w:val="auto"/>
        </w:rPr>
      </w:pPr>
      <w:r>
        <w:rPr>
          <w:rFonts w:ascii="Arial" w:cs="Arial" w:eastAsia="Arial" w:hAnsi="Arial"/>
          <w:sz w:val="14"/>
          <w:szCs w:val="14"/>
          <w:color w:val="231F20"/>
        </w:rPr>
        <w:t>Our 2019 ESG report, published in October 2020, integrated best practices across the industry and incorporated various reporting frameworks, namely the Sustainability Accounting Standards Board (SASB) and Task Force on Climate-related Financial Disclosures (TCFD). It also incorporated United Nations Sustainable Development Goals (SDGs) to center our efforts around these important global goals. We are proud to be among the only utilities in our peer group to report through CDP (formerly Carbon Disclosure Project) for three consecutive years, most recently receiving a score of 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82550</wp:posOffset>
            </wp:positionV>
            <wp:extent cx="5956300" cy="163703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5956300" cy="16370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Arial" w:cs="Arial" w:eastAsia="Arial" w:hAnsi="Arial"/>
          <w:sz w:val="17"/>
          <w:szCs w:val="17"/>
          <w:b w:val="1"/>
          <w:bCs w:val="1"/>
          <w:color w:val="4395D4"/>
        </w:rPr>
        <w:t>Oversight Responsibility</w:t>
      </w:r>
    </w:p>
    <w:p>
      <w:pPr>
        <w:spacing w:after="0" w:line="153" w:lineRule="exact"/>
        <w:rPr>
          <w:sz w:val="20"/>
          <w:szCs w:val="20"/>
          <w:color w:val="auto"/>
        </w:rPr>
      </w:pPr>
    </w:p>
    <w:p>
      <w:pPr>
        <w:spacing w:after="0"/>
        <w:rPr>
          <w:sz w:val="20"/>
          <w:szCs w:val="20"/>
          <w:color w:val="auto"/>
        </w:rPr>
      </w:pPr>
      <w:r>
        <w:rPr>
          <w:rFonts w:ascii="Arial" w:cs="Arial" w:eastAsia="Arial" w:hAnsi="Arial"/>
          <w:sz w:val="14"/>
          <w:szCs w:val="14"/>
          <w:color w:val="231F20"/>
        </w:rPr>
        <w:t>In 2020, Essential also strengthened and expanded its ESG oversight and governance:</w:t>
      </w:r>
    </w:p>
    <w:p>
      <w:pPr>
        <w:spacing w:after="0" w:line="143" w:lineRule="exact"/>
        <w:rPr>
          <w:sz w:val="20"/>
          <w:szCs w:val="20"/>
          <w:color w:val="auto"/>
        </w:rPr>
      </w:pPr>
    </w:p>
    <w:p>
      <w:pPr>
        <w:ind w:right="180"/>
        <w:spacing w:after="0" w:line="255" w:lineRule="auto"/>
        <w:rPr>
          <w:sz w:val="20"/>
          <w:szCs w:val="20"/>
          <w:color w:val="auto"/>
        </w:rPr>
      </w:pPr>
      <w:r>
        <w:rPr>
          <w:rFonts w:ascii="Arial" w:cs="Arial" w:eastAsia="Arial" w:hAnsi="Arial"/>
          <w:sz w:val="14"/>
          <w:szCs w:val="14"/>
          <w:b w:val="1"/>
          <w:bCs w:val="1"/>
          <w:color w:val="455986"/>
        </w:rPr>
        <w:t xml:space="preserve">Board of Directors: </w:t>
      </w:r>
      <w:r>
        <w:rPr>
          <w:rFonts w:ascii="Arial" w:cs="Arial" w:eastAsia="Arial" w:hAnsi="Arial"/>
          <w:sz w:val="14"/>
          <w:szCs w:val="14"/>
          <w:color w:val="231F20"/>
        </w:rPr>
        <w:t>The Corporate Governance Committee now has direct oversight of most ESG matters. At each committee meeting, the ESG manager presents updates</w:t>
      </w:r>
      <w:r>
        <w:rPr>
          <w:rFonts w:ascii="Arial" w:cs="Arial" w:eastAsia="Arial" w:hAnsi="Arial"/>
          <w:sz w:val="14"/>
          <w:szCs w:val="14"/>
          <w:b w:val="1"/>
          <w:bCs w:val="1"/>
          <w:color w:val="455986"/>
        </w:rPr>
        <w:t xml:space="preserve"> </w:t>
      </w:r>
      <w:r>
        <w:rPr>
          <w:rFonts w:ascii="Arial" w:cs="Arial" w:eastAsia="Arial" w:hAnsi="Arial"/>
          <w:sz w:val="14"/>
          <w:szCs w:val="14"/>
          <w:color w:val="231F20"/>
        </w:rPr>
        <w:t>on ESG projects, trends and developments. The Full Board also receives written reports and updates from company executives at regularly scheduled meetings on ESG matters including safety, sustainability, environmental stewardship, diversity and human capital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102235</wp:posOffset>
            </wp:positionV>
            <wp:extent cx="7139940"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39940" cy="8255"/>
                    </a:xfrm>
                    <a:prstGeom prst="rect">
                      <a:avLst/>
                    </a:prstGeom>
                    <a:noFill/>
                  </pic:spPr>
                </pic:pic>
              </a:graphicData>
            </a:graphic>
          </wp:anchor>
        </w:drawing>
      </w:r>
    </w:p>
    <w:p>
      <w:pPr>
        <w:spacing w:after="0" w:line="187" w:lineRule="exact"/>
        <w:rPr>
          <w:sz w:val="20"/>
          <w:szCs w:val="20"/>
          <w:color w:val="auto"/>
        </w:rPr>
      </w:pPr>
    </w:p>
    <w:p>
      <w:pPr>
        <w:jc w:val="right"/>
        <w:spacing w:after="0"/>
        <w:tabs>
          <w:tab w:leader="none" w:pos="140" w:val="left"/>
        </w:tabs>
        <w:rPr>
          <w:sz w:val="20"/>
          <w:szCs w:val="20"/>
          <w:color w:val="auto"/>
        </w:rPr>
      </w:pPr>
      <w:r>
        <w:rPr>
          <w:rFonts w:ascii="Arial" w:cs="Arial" w:eastAsia="Arial" w:hAnsi="Arial"/>
          <w:sz w:val="12"/>
          <w:szCs w:val="12"/>
          <w:color w:val="4395D4"/>
        </w:rPr>
        <w:t xml:space="preserve">ESSENTIAL UTILITIES, INC. </w:t>
      </w:r>
      <w:r>
        <w:rPr>
          <w:rFonts w:ascii="Arial" w:cs="Arial" w:eastAsia="Arial" w:hAnsi="Arial"/>
          <w:sz w:val="12"/>
          <w:szCs w:val="12"/>
          <w:color w:val="455986"/>
        </w:rPr>
        <w:t>2021 PROXY STATEMENT</w:t>
      </w:r>
      <w:r>
        <w:rPr>
          <w:sz w:val="20"/>
          <w:szCs w:val="20"/>
          <w:color w:val="auto"/>
        </w:rPr>
        <w:tab/>
      </w:r>
      <w:r>
        <w:rPr>
          <w:rFonts w:ascii="Arial" w:cs="Arial" w:eastAsia="Arial" w:hAnsi="Arial"/>
          <w:sz w:val="14"/>
          <w:szCs w:val="14"/>
          <w:color w:val="455986"/>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346710</wp:posOffset>
            </wp:positionV>
            <wp:extent cx="7139940" cy="2413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39940" cy="24130"/>
                    </a:xfrm>
                    <a:prstGeom prst="rect">
                      <a:avLst/>
                    </a:prstGeom>
                    <a:noFill/>
                  </pic:spPr>
                </pic:pic>
              </a:graphicData>
            </a:graphic>
          </wp:anchor>
        </w:drawing>
      </w:r>
    </w:p>
    <w:p>
      <w:pPr>
        <w:sectPr>
          <w:pgSz w:w="11900" w:h="16838" w:orient="portrait"/>
          <w:cols w:equalWidth="0" w:num="1">
            <w:col w:w="11240"/>
          </w:cols>
          <w:pgMar w:left="320" w:top="636" w:right="339" w:bottom="1440" w:gutter="0" w:footer="0" w:header="0"/>
        </w:sectPr>
      </w:pPr>
    </w:p>
    <w:bookmarkStart w:id="28" w:name="page29"/>
    <w:bookmarkEnd w:id="28"/>
    <w:p>
      <w:pPr>
        <w:spacing w:after="0"/>
        <w:rPr>
          <w:sz w:val="20"/>
          <w:szCs w:val="20"/>
          <w:color w:val="auto"/>
        </w:rPr>
      </w:pPr>
      <w:r>
        <w:rPr>
          <w:rFonts w:ascii="Arial" w:cs="Arial" w:eastAsia="Arial" w:hAnsi="Arial"/>
          <w:sz w:val="14"/>
          <w:szCs w:val="14"/>
          <w:b w:val="1"/>
          <w:bCs w:val="1"/>
          <w:color w:val="455986"/>
        </w:rPr>
        <w:t>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27940</wp:posOffset>
            </wp:positionV>
            <wp:extent cx="7139940"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39940" cy="8255"/>
                    </a:xfrm>
                    <a:prstGeom prst="rect">
                      <a:avLst/>
                    </a:prstGeom>
                    <a:noFill/>
                  </pic:spPr>
                </pic:pic>
              </a:graphicData>
            </a:graphic>
          </wp:anchor>
        </w:drawing>
      </w:r>
    </w:p>
    <w:p>
      <w:pPr>
        <w:spacing w:after="0" w:line="76" w:lineRule="exact"/>
        <w:rPr>
          <w:sz w:val="20"/>
          <w:szCs w:val="20"/>
          <w:color w:val="auto"/>
        </w:rPr>
      </w:pPr>
    </w:p>
    <w:p>
      <w:pPr>
        <w:spacing w:after="0"/>
        <w:rPr>
          <w:sz w:val="20"/>
          <w:szCs w:val="20"/>
          <w:color w:val="auto"/>
        </w:rPr>
      </w:pPr>
      <w:r>
        <w:rPr>
          <w:rFonts w:ascii="Arial" w:cs="Arial" w:eastAsia="Arial" w:hAnsi="Arial"/>
          <w:sz w:val="14"/>
          <w:szCs w:val="14"/>
          <w:color w:val="231F20"/>
        </w:rPr>
        <w:t>Environmental Stewardship and Corporate Responsibility</w:t>
      </w:r>
    </w:p>
    <w:p>
      <w:pPr>
        <w:spacing w:after="0" w:line="172" w:lineRule="exact"/>
        <w:rPr>
          <w:sz w:val="20"/>
          <w:szCs w:val="20"/>
          <w:color w:val="auto"/>
        </w:rPr>
      </w:pPr>
    </w:p>
    <w:p>
      <w:pPr>
        <w:ind w:right="160"/>
        <w:spacing w:after="0" w:line="255" w:lineRule="auto"/>
        <w:rPr>
          <w:sz w:val="20"/>
          <w:szCs w:val="20"/>
          <w:color w:val="auto"/>
        </w:rPr>
      </w:pPr>
      <w:r>
        <w:rPr>
          <w:rFonts w:ascii="Arial" w:cs="Arial" w:eastAsia="Arial" w:hAnsi="Arial"/>
          <w:sz w:val="14"/>
          <w:szCs w:val="14"/>
          <w:b w:val="1"/>
          <w:bCs w:val="1"/>
          <w:color w:val="455986"/>
        </w:rPr>
        <w:t xml:space="preserve">CEO and Executive Management Team: </w:t>
      </w:r>
      <w:r>
        <w:rPr>
          <w:rFonts w:ascii="Arial" w:cs="Arial" w:eastAsia="Arial" w:hAnsi="Arial"/>
          <w:sz w:val="14"/>
          <w:szCs w:val="14"/>
          <w:color w:val="231F20"/>
        </w:rPr>
        <w:t>Company Management is responsible for designing, implementing, and executing a strong and comprehensive program as well as</w:t>
      </w:r>
      <w:r>
        <w:rPr>
          <w:rFonts w:ascii="Arial" w:cs="Arial" w:eastAsia="Arial" w:hAnsi="Arial"/>
          <w:sz w:val="14"/>
          <w:szCs w:val="14"/>
          <w:b w:val="1"/>
          <w:bCs w:val="1"/>
          <w:color w:val="455986"/>
        </w:rPr>
        <w:t xml:space="preserve"> </w:t>
      </w:r>
      <w:r>
        <w:rPr>
          <w:rFonts w:ascii="Arial" w:cs="Arial" w:eastAsia="Arial" w:hAnsi="Arial"/>
          <w:sz w:val="14"/>
          <w:szCs w:val="14"/>
          <w:color w:val="231F20"/>
        </w:rPr>
        <w:t>reporting to stakeholders on our ESG performance and progress. Additionally, a significant portion of our performance-based executive compensation goals focus on these important ESG issues.</w:t>
      </w:r>
    </w:p>
    <w:p>
      <w:pPr>
        <w:spacing w:after="0" w:line="101" w:lineRule="exact"/>
        <w:rPr>
          <w:sz w:val="20"/>
          <w:szCs w:val="20"/>
          <w:color w:val="auto"/>
        </w:rPr>
      </w:pPr>
    </w:p>
    <w:p>
      <w:pPr>
        <w:spacing w:after="0" w:line="245" w:lineRule="auto"/>
        <w:rPr>
          <w:sz w:val="20"/>
          <w:szCs w:val="20"/>
          <w:color w:val="auto"/>
        </w:rPr>
      </w:pPr>
      <w:r>
        <w:rPr>
          <w:rFonts w:ascii="Arial" w:cs="Arial" w:eastAsia="Arial" w:hAnsi="Arial"/>
          <w:sz w:val="14"/>
          <w:szCs w:val="14"/>
          <w:color w:val="231F20"/>
        </w:rPr>
        <w:t>Essential has also formed the ESG Oversight Committee, which meets at least quarterly to discuss ESG matters, strategy, and technical planning to achieve various goals. This committee is comprised of almost a dozen senior leaders from different functional areas and backgrounds who offer varying perspectives. These leaders are expected to extend these discussions and culture of sustainability to their teams across the organization. We believe a critical part of ESG and ethical excellence is setting a strong tone at the top on such issues.</w:t>
      </w:r>
    </w:p>
    <w:p>
      <w:pPr>
        <w:spacing w:after="0" w:line="95" w:lineRule="exact"/>
        <w:rPr>
          <w:sz w:val="20"/>
          <w:szCs w:val="20"/>
          <w:color w:val="auto"/>
        </w:rPr>
      </w:pPr>
    </w:p>
    <w:p>
      <w:pPr>
        <w:spacing w:after="0"/>
        <w:rPr>
          <w:sz w:val="20"/>
          <w:szCs w:val="20"/>
          <w:color w:val="auto"/>
        </w:rPr>
      </w:pPr>
      <w:r>
        <w:rPr>
          <w:rFonts w:ascii="Arial" w:cs="Arial" w:eastAsia="Arial" w:hAnsi="Arial"/>
          <w:sz w:val="20"/>
          <w:szCs w:val="20"/>
          <w:b w:val="1"/>
          <w:bCs w:val="1"/>
          <w:color w:val="231F20"/>
        </w:rPr>
        <w:t>Environmental Stewardship</w:t>
      </w:r>
    </w:p>
    <w:p>
      <w:pPr>
        <w:spacing w:after="0" w:line="162" w:lineRule="exact"/>
        <w:rPr>
          <w:sz w:val="20"/>
          <w:szCs w:val="20"/>
          <w:color w:val="auto"/>
        </w:rPr>
      </w:pPr>
    </w:p>
    <w:p>
      <w:pPr>
        <w:spacing w:after="0"/>
        <w:rPr>
          <w:sz w:val="20"/>
          <w:szCs w:val="20"/>
          <w:color w:val="auto"/>
        </w:rPr>
      </w:pPr>
      <w:r>
        <w:rPr>
          <w:rFonts w:ascii="Arial" w:cs="Arial" w:eastAsia="Arial" w:hAnsi="Arial"/>
          <w:sz w:val="17"/>
          <w:szCs w:val="17"/>
          <w:b w:val="1"/>
          <w:bCs w:val="1"/>
          <w:color w:val="4395D4"/>
        </w:rPr>
        <w:t>Climate Change and Greenhouse Gas Emissions</w:t>
      </w:r>
    </w:p>
    <w:p>
      <w:pPr>
        <w:spacing w:after="0" w:line="153" w:lineRule="exact"/>
        <w:rPr>
          <w:sz w:val="20"/>
          <w:szCs w:val="20"/>
          <w:color w:val="auto"/>
        </w:rPr>
      </w:pPr>
    </w:p>
    <w:p>
      <w:pPr>
        <w:ind w:right="300"/>
        <w:spacing w:after="0" w:line="245" w:lineRule="auto"/>
        <w:rPr>
          <w:sz w:val="20"/>
          <w:szCs w:val="20"/>
          <w:color w:val="auto"/>
        </w:rPr>
      </w:pPr>
      <w:r>
        <w:rPr>
          <w:rFonts w:ascii="Arial" w:cs="Arial" w:eastAsia="Arial" w:hAnsi="Arial"/>
          <w:sz w:val="14"/>
          <w:szCs w:val="14"/>
          <w:color w:val="231F20"/>
        </w:rPr>
        <w:t>Within the first year of the Peoples Acquisition, we have put substantial work and consideration into emissions reduction and we recently announced our commitment to substantially reduce Scope 1 and 2 greenhouse gas emissions. By 2035, we pledge to achieve a 60% reduction over our 2019 baseline. All of our utilities- gas, water, and wastewater- across all 10 of our states will be contributing to this enterprise-wide target and building on important work and progress in recent years. Transparency is at the center of our ESG program and a core value of our company, so we will report on our progress toward this goal twice a year until we meet the target.</w:t>
      </w:r>
    </w:p>
    <w:p>
      <w:pPr>
        <w:spacing w:after="0" w:line="95" w:lineRule="exact"/>
        <w:rPr>
          <w:sz w:val="20"/>
          <w:szCs w:val="20"/>
          <w:color w:val="auto"/>
        </w:rPr>
      </w:pPr>
    </w:p>
    <w:p>
      <w:pPr>
        <w:spacing w:after="0"/>
        <w:rPr>
          <w:sz w:val="20"/>
          <w:szCs w:val="20"/>
          <w:color w:val="auto"/>
        </w:rPr>
      </w:pPr>
      <w:r>
        <w:rPr>
          <w:rFonts w:ascii="Arial" w:cs="Arial" w:eastAsia="Arial" w:hAnsi="Arial"/>
          <w:sz w:val="20"/>
          <w:szCs w:val="20"/>
          <w:b w:val="1"/>
          <w:bCs w:val="1"/>
          <w:color w:val="231F20"/>
        </w:rPr>
        <w:t>Our Goals:</w:t>
      </w:r>
    </w:p>
    <w:p>
      <w:pPr>
        <w:spacing w:after="0" w:line="66" w:lineRule="exact"/>
        <w:rPr>
          <w:sz w:val="20"/>
          <w:szCs w:val="20"/>
          <w:color w:val="auto"/>
        </w:rPr>
      </w:pPr>
    </w:p>
    <w:p>
      <w:pPr>
        <w:ind w:right="380"/>
        <w:spacing w:after="0" w:line="312" w:lineRule="auto"/>
        <w:rPr>
          <w:sz w:val="20"/>
          <w:szCs w:val="20"/>
          <w:color w:val="auto"/>
        </w:rPr>
      </w:pPr>
      <w:r>
        <w:rPr>
          <w:rFonts w:ascii="Arial" w:cs="Arial" w:eastAsia="Arial" w:hAnsi="Arial"/>
          <w:sz w:val="14"/>
          <w:szCs w:val="14"/>
          <w:color w:val="231F20"/>
        </w:rPr>
        <w:t>By 2035, Essential will reduce annual emissions by 350,045 Metric Tons CO</w:t>
      </w:r>
      <w:r>
        <w:rPr>
          <w:rFonts w:ascii="Arial" w:cs="Arial" w:eastAsia="Arial" w:hAnsi="Arial"/>
          <w:sz w:val="24"/>
          <w:szCs w:val="24"/>
          <w:color w:val="231F20"/>
          <w:vertAlign w:val="subscript"/>
        </w:rPr>
        <w:t>2</w:t>
      </w:r>
      <w:r>
        <w:rPr>
          <w:rFonts w:ascii="Arial" w:cs="Arial" w:eastAsia="Arial" w:hAnsi="Arial"/>
          <w:sz w:val="14"/>
          <w:szCs w:val="14"/>
          <w:color w:val="231F20"/>
        </w:rPr>
        <w:t xml:space="preserve"> e compared to its 2019 baseline. This figure is roughly equivalent to any one of the following activities taking place over one year:</w:t>
      </w:r>
    </w:p>
    <w:p>
      <w:pPr>
        <w:spacing w:after="0" w:line="29" w:lineRule="exact"/>
        <w:rPr>
          <w:sz w:val="20"/>
          <w:szCs w:val="20"/>
          <w:color w:val="auto"/>
        </w:rPr>
      </w:pPr>
    </w:p>
    <w:p>
      <w:pPr>
        <w:ind w:left="200" w:hanging="198"/>
        <w:spacing w:after="0"/>
        <w:tabs>
          <w:tab w:leader="none" w:pos="200" w:val="left"/>
        </w:tabs>
        <w:numPr>
          <w:ilvl w:val="0"/>
          <w:numId w:val="59"/>
        </w:numPr>
        <w:rPr>
          <w:rFonts w:ascii="Arial" w:cs="Arial" w:eastAsia="Arial" w:hAnsi="Arial"/>
          <w:sz w:val="14"/>
          <w:szCs w:val="14"/>
          <w:color w:val="4395D4"/>
        </w:rPr>
      </w:pPr>
      <w:r>
        <w:rPr>
          <w:rFonts w:ascii="Arial" w:cs="Arial" w:eastAsia="Arial" w:hAnsi="Arial"/>
          <w:sz w:val="14"/>
          <w:szCs w:val="14"/>
          <w:color w:val="231F20"/>
        </w:rPr>
        <w:t>Emissions from 76,000 cars on the road</w:t>
      </w:r>
    </w:p>
    <w:p>
      <w:pPr>
        <w:spacing w:after="0" w:line="68" w:lineRule="exact"/>
        <w:rPr>
          <w:rFonts w:ascii="Arial" w:cs="Arial" w:eastAsia="Arial" w:hAnsi="Arial"/>
          <w:sz w:val="14"/>
          <w:szCs w:val="14"/>
          <w:color w:val="4395D4"/>
        </w:rPr>
      </w:pPr>
    </w:p>
    <w:p>
      <w:pPr>
        <w:ind w:left="200" w:hanging="198"/>
        <w:spacing w:after="0"/>
        <w:tabs>
          <w:tab w:leader="none" w:pos="200" w:val="left"/>
        </w:tabs>
        <w:numPr>
          <w:ilvl w:val="0"/>
          <w:numId w:val="59"/>
        </w:numPr>
        <w:rPr>
          <w:rFonts w:ascii="Arial" w:cs="Arial" w:eastAsia="Arial" w:hAnsi="Arial"/>
          <w:sz w:val="14"/>
          <w:szCs w:val="14"/>
          <w:color w:val="4395D4"/>
        </w:rPr>
      </w:pPr>
      <w:r>
        <w:rPr>
          <w:rFonts w:ascii="Arial" w:cs="Arial" w:eastAsia="Arial" w:hAnsi="Arial"/>
          <w:sz w:val="14"/>
          <w:szCs w:val="14"/>
          <w:color w:val="231F20"/>
        </w:rPr>
        <w:t>Emissions from 59,000 homes’ electricity usage</w:t>
      </w:r>
    </w:p>
    <w:p>
      <w:pPr>
        <w:spacing w:after="0" w:line="33" w:lineRule="exact"/>
        <w:rPr>
          <w:rFonts w:ascii="Arial" w:cs="Arial" w:eastAsia="Arial" w:hAnsi="Arial"/>
          <w:sz w:val="14"/>
          <w:szCs w:val="14"/>
          <w:color w:val="4395D4"/>
        </w:rPr>
      </w:pPr>
    </w:p>
    <w:p>
      <w:pPr>
        <w:ind w:left="200" w:hanging="198"/>
        <w:spacing w:after="0" w:line="237" w:lineRule="auto"/>
        <w:tabs>
          <w:tab w:leader="none" w:pos="200" w:val="left"/>
        </w:tabs>
        <w:numPr>
          <w:ilvl w:val="0"/>
          <w:numId w:val="59"/>
        </w:numPr>
        <w:rPr>
          <w:rFonts w:ascii="Arial" w:cs="Arial" w:eastAsia="Arial" w:hAnsi="Arial"/>
          <w:sz w:val="14"/>
          <w:szCs w:val="14"/>
          <w:color w:val="4395D4"/>
        </w:rPr>
      </w:pPr>
      <w:r>
        <w:rPr>
          <w:rFonts w:ascii="Arial" w:cs="Arial" w:eastAsia="Arial" w:hAnsi="Arial"/>
          <w:sz w:val="14"/>
          <w:szCs w:val="14"/>
          <w:color w:val="231F20"/>
        </w:rPr>
        <w:t>CO</w:t>
      </w:r>
      <w:r>
        <w:rPr>
          <w:rFonts w:ascii="Arial" w:cs="Arial" w:eastAsia="Arial" w:hAnsi="Arial"/>
          <w:sz w:val="24"/>
          <w:szCs w:val="24"/>
          <w:color w:val="231F20"/>
          <w:vertAlign w:val="subscript"/>
        </w:rPr>
        <w:t>2</w:t>
      </w:r>
      <w:r>
        <w:rPr>
          <w:rFonts w:ascii="Arial" w:cs="Arial" w:eastAsia="Arial" w:hAnsi="Arial"/>
          <w:sz w:val="14"/>
          <w:szCs w:val="14"/>
          <w:color w:val="231F20"/>
        </w:rPr>
        <w:t xml:space="preserve"> sequestered by over 457,000 acres of U.S. forest, roughly the massive size of Sequoia National Park</w:t>
      </w:r>
    </w:p>
    <w:p>
      <w:pPr>
        <w:spacing w:after="0" w:line="56" w:lineRule="exact"/>
        <w:rPr>
          <w:sz w:val="20"/>
          <w:szCs w:val="20"/>
          <w:color w:val="auto"/>
        </w:rPr>
      </w:pPr>
    </w:p>
    <w:p>
      <w:pPr>
        <w:spacing w:after="0"/>
        <w:rPr>
          <w:sz w:val="20"/>
          <w:szCs w:val="20"/>
          <w:color w:val="auto"/>
        </w:rPr>
      </w:pPr>
      <w:r>
        <w:rPr>
          <w:rFonts w:ascii="Arial" w:cs="Arial" w:eastAsia="Arial" w:hAnsi="Arial"/>
          <w:sz w:val="14"/>
          <w:szCs w:val="14"/>
          <w:color w:val="231F20"/>
        </w:rPr>
        <w:t>The two most significant actions that will lead to such deep reductions are the following:</w:t>
      </w:r>
    </w:p>
    <w:p>
      <w:pPr>
        <w:spacing w:after="0" w:line="145" w:lineRule="exact"/>
        <w:rPr>
          <w:sz w:val="20"/>
          <w:szCs w:val="20"/>
          <w:color w:val="auto"/>
        </w:rPr>
      </w:pPr>
    </w:p>
    <w:p>
      <w:pPr>
        <w:ind w:left="200" w:right="40" w:hanging="198"/>
        <w:spacing w:after="0" w:line="278" w:lineRule="auto"/>
        <w:tabs>
          <w:tab w:leader="none" w:pos="200" w:val="left"/>
        </w:tabs>
        <w:numPr>
          <w:ilvl w:val="0"/>
          <w:numId w:val="60"/>
        </w:numPr>
        <w:rPr>
          <w:rFonts w:ascii="Arial" w:cs="Arial" w:eastAsia="Arial" w:hAnsi="Arial"/>
          <w:sz w:val="14"/>
          <w:szCs w:val="14"/>
          <w:color w:val="4395D4"/>
        </w:rPr>
      </w:pPr>
      <w:r>
        <w:rPr>
          <w:rFonts w:ascii="Arial" w:cs="Arial" w:eastAsia="Arial" w:hAnsi="Arial"/>
          <w:sz w:val="14"/>
          <w:szCs w:val="14"/>
          <w:color w:val="231F20"/>
        </w:rPr>
        <w:t>Gas Operations: Aggressive Long-Term Infrastructure Improvement Plan, which has a stated goal to replace 3,000 miles of leak- prone bare steel and cast-iron pipe through 2034</w:t>
      </w:r>
    </w:p>
    <w:p>
      <w:pPr>
        <w:spacing w:after="0" w:line="9" w:lineRule="exact"/>
        <w:rPr>
          <w:rFonts w:ascii="Arial" w:cs="Arial" w:eastAsia="Arial" w:hAnsi="Arial"/>
          <w:sz w:val="14"/>
          <w:szCs w:val="14"/>
          <w:color w:val="4395D4"/>
        </w:rPr>
      </w:pPr>
    </w:p>
    <w:p>
      <w:pPr>
        <w:ind w:left="200" w:hanging="198"/>
        <w:spacing w:after="0"/>
        <w:tabs>
          <w:tab w:leader="none" w:pos="200" w:val="left"/>
        </w:tabs>
        <w:numPr>
          <w:ilvl w:val="0"/>
          <w:numId w:val="60"/>
        </w:numPr>
        <w:rPr>
          <w:rFonts w:ascii="Arial" w:cs="Arial" w:eastAsia="Arial" w:hAnsi="Arial"/>
          <w:sz w:val="14"/>
          <w:szCs w:val="14"/>
          <w:color w:val="4395D4"/>
        </w:rPr>
      </w:pPr>
      <w:r>
        <w:rPr>
          <w:rFonts w:ascii="Arial" w:cs="Arial" w:eastAsia="Arial" w:hAnsi="Arial"/>
          <w:sz w:val="14"/>
          <w:szCs w:val="14"/>
          <w:color w:val="231F20"/>
        </w:rPr>
        <w:t>Water and Wastewater Operations: Beginning in 2022, moving to 100% renewable electricity supply in our Pennsylvania, New Jersey, Illinois, and Ohio operations</w:t>
      </w:r>
    </w:p>
    <w:p>
      <w:pPr>
        <w:spacing w:after="0" w:line="81" w:lineRule="exact"/>
        <w:rPr>
          <w:sz w:val="20"/>
          <w:szCs w:val="20"/>
          <w:color w:val="auto"/>
        </w:rPr>
      </w:pPr>
    </w:p>
    <w:p>
      <w:pPr>
        <w:ind w:right="640"/>
        <w:spacing w:after="0" w:line="278" w:lineRule="auto"/>
        <w:rPr>
          <w:sz w:val="20"/>
          <w:szCs w:val="20"/>
          <w:color w:val="auto"/>
        </w:rPr>
      </w:pPr>
      <w:r>
        <w:rPr>
          <w:rFonts w:ascii="Arial" w:cs="Arial" w:eastAsia="Arial" w:hAnsi="Arial"/>
          <w:sz w:val="14"/>
          <w:szCs w:val="14"/>
          <w:color w:val="231F20"/>
        </w:rPr>
        <w:t>This year, Essential will release its fourth consecutive CDP filing as well as its second Task Force on Climate-Related Financial Disclosure (TCFD) report. Each will be expanded to include our recently acquired Peoples operations.</w:t>
      </w:r>
    </w:p>
    <w:p>
      <w:pPr>
        <w:spacing w:after="0" w:line="83" w:lineRule="exact"/>
        <w:rPr>
          <w:sz w:val="20"/>
          <w:szCs w:val="20"/>
          <w:color w:val="auto"/>
        </w:rPr>
      </w:pPr>
    </w:p>
    <w:p>
      <w:pPr>
        <w:spacing w:after="0"/>
        <w:rPr>
          <w:sz w:val="20"/>
          <w:szCs w:val="20"/>
          <w:color w:val="auto"/>
        </w:rPr>
      </w:pPr>
      <w:r>
        <w:rPr>
          <w:rFonts w:ascii="Arial" w:cs="Arial" w:eastAsia="Arial" w:hAnsi="Arial"/>
          <w:sz w:val="17"/>
          <w:szCs w:val="17"/>
          <w:b w:val="1"/>
          <w:bCs w:val="1"/>
          <w:color w:val="4395D4"/>
        </w:rPr>
        <w:t>Excellence in Providing Safe Drinking Water</w:t>
      </w:r>
    </w:p>
    <w:p>
      <w:pPr>
        <w:spacing w:after="0" w:line="153" w:lineRule="exact"/>
        <w:rPr>
          <w:sz w:val="20"/>
          <w:szCs w:val="20"/>
          <w:color w:val="auto"/>
        </w:rPr>
      </w:pPr>
    </w:p>
    <w:p>
      <w:pPr>
        <w:ind w:right="300"/>
        <w:spacing w:after="0" w:line="278" w:lineRule="auto"/>
        <w:rPr>
          <w:sz w:val="20"/>
          <w:szCs w:val="20"/>
          <w:color w:val="auto"/>
        </w:rPr>
      </w:pPr>
      <w:r>
        <w:rPr>
          <w:rFonts w:ascii="Arial" w:cs="Arial" w:eastAsia="Arial" w:hAnsi="Arial"/>
          <w:sz w:val="14"/>
          <w:szCs w:val="14"/>
          <w:color w:val="231F20"/>
        </w:rPr>
        <w:t>Lack of infrastructure investment, increasingly costly and complex environmental regulations, and a fractured landscape of many thousands of water systems have plagued America’s drinking water supply. According to the EPA, about one in 10 U.S. community water systems have health-based violations.</w:t>
      </w:r>
    </w:p>
    <w:p>
      <w:pPr>
        <w:spacing w:after="0" w:line="86" w:lineRule="exact"/>
        <w:rPr>
          <w:sz w:val="20"/>
          <w:szCs w:val="20"/>
          <w:color w:val="auto"/>
        </w:rPr>
      </w:pPr>
    </w:p>
    <w:p>
      <w:pPr>
        <w:ind w:left="200" w:hanging="198"/>
        <w:spacing w:after="0" w:line="278" w:lineRule="auto"/>
        <w:tabs>
          <w:tab w:leader="none" w:pos="200" w:val="left"/>
        </w:tabs>
        <w:numPr>
          <w:ilvl w:val="0"/>
          <w:numId w:val="61"/>
        </w:numPr>
        <w:rPr>
          <w:rFonts w:ascii="Arial" w:cs="Arial" w:eastAsia="Arial" w:hAnsi="Arial"/>
          <w:sz w:val="14"/>
          <w:szCs w:val="14"/>
          <w:color w:val="4395D4"/>
        </w:rPr>
      </w:pPr>
      <w:r>
        <w:rPr>
          <w:rFonts w:ascii="Arial" w:cs="Arial" w:eastAsia="Arial" w:hAnsi="Arial"/>
          <w:sz w:val="14"/>
          <w:szCs w:val="14"/>
          <w:color w:val="231F20"/>
        </w:rPr>
        <w:t>Essential consistently and widely outperforms the national average for percentage of community water systems with health-based violations, typically smaller by a factor about 6 to 8 times.</w:t>
      </w:r>
    </w:p>
    <w:p>
      <w:pPr>
        <w:spacing w:after="0" w:line="86" w:lineRule="exact"/>
        <w:rPr>
          <w:sz w:val="20"/>
          <w:szCs w:val="20"/>
          <w:color w:val="auto"/>
        </w:rPr>
      </w:pPr>
    </w:p>
    <w:p>
      <w:pPr>
        <w:ind w:right="260"/>
        <w:spacing w:after="0" w:line="253" w:lineRule="auto"/>
        <w:rPr>
          <w:sz w:val="20"/>
          <w:szCs w:val="20"/>
          <w:color w:val="auto"/>
        </w:rPr>
      </w:pPr>
      <w:r>
        <w:rPr>
          <w:rFonts w:ascii="Arial" w:cs="Arial" w:eastAsia="Arial" w:hAnsi="Arial"/>
          <w:sz w:val="14"/>
          <w:szCs w:val="14"/>
          <w:color w:val="231F20"/>
        </w:rPr>
        <w:t>Providing safe drinking water to our customers is our paramount priority, guiding every single one of our actions and forming the bedrock of our operational culture. All water utilities seek to promote safety, but not all have the resources and expertise we are able to leverage. We are not only better able to supply safe water today than many municipal water utilities, but we are also often better prepared for difficult or unforeseen challenges that tomorrow may bring.</w:t>
      </w:r>
    </w:p>
    <w:p>
      <w:pPr>
        <w:spacing w:after="0" w:line="103" w:lineRule="exact"/>
        <w:rPr>
          <w:sz w:val="20"/>
          <w:szCs w:val="20"/>
          <w:color w:val="auto"/>
        </w:rPr>
      </w:pPr>
    </w:p>
    <w:p>
      <w:pPr>
        <w:jc w:val="both"/>
        <w:ind w:right="180"/>
        <w:spacing w:after="0" w:line="253" w:lineRule="auto"/>
        <w:rPr>
          <w:sz w:val="20"/>
          <w:szCs w:val="20"/>
          <w:color w:val="auto"/>
        </w:rPr>
      </w:pPr>
      <w:r>
        <w:rPr>
          <w:rFonts w:ascii="Arial" w:cs="Arial" w:eastAsia="Arial" w:hAnsi="Arial"/>
          <w:sz w:val="14"/>
          <w:szCs w:val="14"/>
          <w:color w:val="231F20"/>
        </w:rPr>
        <w:t>Consider one of the most widely discussed and alarming issues in drinking water today: PFAS. Per and poly-fluoro alkyl substances (PFAS – PFOA, PFOS, etc.) are a health concern in communities across the country where groundwater is believed to have been contaminated by nearby military bases or other causes. They have been used in the manufacturing of many common products we all use each day.</w:t>
      </w:r>
    </w:p>
    <w:p>
      <w:pPr>
        <w:spacing w:after="0" w:line="103" w:lineRule="exact"/>
        <w:rPr>
          <w:sz w:val="20"/>
          <w:szCs w:val="20"/>
          <w:color w:val="auto"/>
        </w:rPr>
      </w:pPr>
    </w:p>
    <w:p>
      <w:pPr>
        <w:ind w:left="200" w:right="260" w:hanging="198"/>
        <w:spacing w:after="0" w:line="278" w:lineRule="auto"/>
        <w:tabs>
          <w:tab w:leader="none" w:pos="200" w:val="left"/>
        </w:tabs>
        <w:numPr>
          <w:ilvl w:val="0"/>
          <w:numId w:val="62"/>
        </w:numPr>
        <w:rPr>
          <w:rFonts w:ascii="Arial" w:cs="Arial" w:eastAsia="Arial" w:hAnsi="Arial"/>
          <w:sz w:val="14"/>
          <w:szCs w:val="14"/>
          <w:color w:val="4395D4"/>
        </w:rPr>
      </w:pPr>
      <w:r>
        <w:rPr>
          <w:rFonts w:ascii="Arial" w:cs="Arial" w:eastAsia="Arial" w:hAnsi="Arial"/>
          <w:sz w:val="14"/>
          <w:szCs w:val="14"/>
          <w:color w:val="231F20"/>
        </w:rPr>
        <w:t>Essential took an industry leadership position in early 2020 by setting a company-wide standard of 13 parts-per-trillion (ppt), well below the EPA’s non-enforceable health advisory level of 70 ppt. This will enable Essential to address the contaminant uniformly across our footprint.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84455</wp:posOffset>
            </wp:positionV>
            <wp:extent cx="7139940"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39940" cy="8255"/>
                    </a:xfrm>
                    <a:prstGeom prst="rect">
                      <a:avLst/>
                    </a:prstGeom>
                    <a:noFill/>
                  </pic:spPr>
                </pic:pic>
              </a:graphicData>
            </a:graphic>
          </wp:anchor>
        </w:drawing>
      </w:r>
    </w:p>
    <w:p>
      <w:pPr>
        <w:spacing w:after="0" w:line="183" w:lineRule="exact"/>
        <w:rPr>
          <w:sz w:val="20"/>
          <w:szCs w:val="20"/>
          <w:color w:val="auto"/>
        </w:rPr>
      </w:pPr>
    </w:p>
    <w:p>
      <w:pPr>
        <w:ind w:left="300" w:hanging="298"/>
        <w:spacing w:after="0"/>
        <w:tabs>
          <w:tab w:leader="none" w:pos="300" w:val="left"/>
        </w:tabs>
        <w:numPr>
          <w:ilvl w:val="0"/>
          <w:numId w:val="63"/>
        </w:numPr>
        <w:rPr>
          <w:rFonts w:ascii="Arial" w:cs="Arial" w:eastAsia="Arial" w:hAnsi="Arial"/>
          <w:sz w:val="15"/>
          <w:szCs w:val="15"/>
          <w:color w:val="455986"/>
        </w:rPr>
      </w:pPr>
      <w:r>
        <w:rPr>
          <w:rFonts w:ascii="Arial" w:cs="Arial" w:eastAsia="Arial" w:hAnsi="Arial"/>
          <w:sz w:val="12"/>
          <w:szCs w:val="12"/>
          <w:color w:val="4395D4"/>
        </w:rPr>
        <w:t xml:space="preserve">ESSENTIAL UTILITIES, INC. </w:t>
      </w:r>
      <w:r>
        <w:rPr>
          <w:rFonts w:ascii="Arial" w:cs="Arial" w:eastAsia="Arial" w:hAnsi="Arial"/>
          <w:sz w:val="12"/>
          <w:szCs w:val="12"/>
          <w:color w:val="455986"/>
        </w:rPr>
        <w:t>2021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324485</wp:posOffset>
            </wp:positionV>
            <wp:extent cx="7139940" cy="2413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39940" cy="24130"/>
                    </a:xfrm>
                    <a:prstGeom prst="rect">
                      <a:avLst/>
                    </a:prstGeom>
                    <a:noFill/>
                  </pic:spPr>
                </pic:pic>
              </a:graphicData>
            </a:graphic>
          </wp:anchor>
        </w:drawing>
      </w:r>
    </w:p>
    <w:p>
      <w:pPr>
        <w:sectPr>
          <w:pgSz w:w="11900" w:h="16838" w:orient="portrait"/>
          <w:cols w:equalWidth="0" w:num="1">
            <w:col w:w="11240"/>
          </w:cols>
          <w:pgMar w:left="320" w:top="636" w:right="339" w:bottom="1440" w:gutter="0" w:footer="0" w:header="0"/>
        </w:sectPr>
      </w:pPr>
    </w:p>
    <w:bookmarkStart w:id="29" w:name="page30"/>
    <w:bookmarkEnd w:id="29"/>
    <w:p>
      <w:pPr>
        <w:spacing w:after="0"/>
        <w:rPr>
          <w:sz w:val="20"/>
          <w:szCs w:val="20"/>
          <w:color w:val="auto"/>
        </w:rPr>
      </w:pPr>
      <w:r>
        <w:rPr>
          <w:rFonts w:ascii="Arial" w:cs="Arial" w:eastAsia="Arial" w:hAnsi="Arial"/>
          <w:sz w:val="14"/>
          <w:szCs w:val="14"/>
          <w:b w:val="1"/>
          <w:bCs w:val="1"/>
          <w:color w:val="455986"/>
        </w:rPr>
        <w:t>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27940</wp:posOffset>
            </wp:positionV>
            <wp:extent cx="7139940"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39940" cy="8255"/>
                    </a:xfrm>
                    <a:prstGeom prst="rect">
                      <a:avLst/>
                    </a:prstGeom>
                    <a:noFill/>
                  </pic:spPr>
                </pic:pic>
              </a:graphicData>
            </a:graphic>
          </wp:anchor>
        </w:drawing>
      </w:r>
    </w:p>
    <w:p>
      <w:pPr>
        <w:spacing w:after="0" w:line="76" w:lineRule="exact"/>
        <w:rPr>
          <w:sz w:val="20"/>
          <w:szCs w:val="20"/>
          <w:color w:val="auto"/>
        </w:rPr>
      </w:pPr>
    </w:p>
    <w:p>
      <w:pPr>
        <w:spacing w:after="0"/>
        <w:rPr>
          <w:sz w:val="20"/>
          <w:szCs w:val="20"/>
          <w:color w:val="auto"/>
        </w:rPr>
      </w:pPr>
      <w:r>
        <w:rPr>
          <w:rFonts w:ascii="Arial" w:cs="Arial" w:eastAsia="Arial" w:hAnsi="Arial"/>
          <w:sz w:val="14"/>
          <w:szCs w:val="14"/>
          <w:color w:val="231F20"/>
        </w:rPr>
        <w:t>Environmental Stewardship and Corporate Responsibility</w:t>
      </w:r>
    </w:p>
    <w:p>
      <w:pPr>
        <w:spacing w:after="0" w:line="172" w:lineRule="exact"/>
        <w:rPr>
          <w:sz w:val="20"/>
          <w:szCs w:val="20"/>
          <w:color w:val="auto"/>
        </w:rPr>
      </w:pPr>
    </w:p>
    <w:p>
      <w:pPr>
        <w:ind w:right="20"/>
        <w:spacing w:after="0" w:line="260" w:lineRule="auto"/>
        <w:rPr>
          <w:sz w:val="20"/>
          <w:szCs w:val="20"/>
          <w:color w:val="auto"/>
        </w:rPr>
      </w:pPr>
      <w:r>
        <w:rPr>
          <w:rFonts w:ascii="Arial" w:cs="Arial" w:eastAsia="Arial" w:hAnsi="Arial"/>
          <w:sz w:val="14"/>
          <w:szCs w:val="14"/>
          <w:b w:val="1"/>
          <w:bCs w:val="1"/>
          <w:color w:val="455986"/>
        </w:rPr>
        <w:t xml:space="preserve">Scientific Testing. </w:t>
      </w:r>
      <w:r>
        <w:rPr>
          <w:rFonts w:ascii="Arial" w:cs="Arial" w:eastAsia="Arial" w:hAnsi="Arial"/>
          <w:sz w:val="14"/>
          <w:szCs w:val="14"/>
          <w:color w:val="231F20"/>
        </w:rPr>
        <w:t>We also committed to testing every single water source across our footprint for PFAS, a promise we believe to be unprecedented in our industry. We are</w:t>
      </w:r>
      <w:r>
        <w:rPr>
          <w:rFonts w:ascii="Arial" w:cs="Arial" w:eastAsia="Arial" w:hAnsi="Arial"/>
          <w:sz w:val="14"/>
          <w:szCs w:val="14"/>
          <w:b w:val="1"/>
          <w:bCs w:val="1"/>
          <w:color w:val="455986"/>
        </w:rPr>
        <w:t xml:space="preserve"> </w:t>
      </w:r>
      <w:r>
        <w:rPr>
          <w:rFonts w:ascii="Arial" w:cs="Arial" w:eastAsia="Arial" w:hAnsi="Arial"/>
          <w:sz w:val="14"/>
          <w:szCs w:val="14"/>
          <w:color w:val="231F20"/>
        </w:rPr>
        <w:t>building a new, state-of-the-art laboratory in Bryn Mawr, Pennsylvania which will be the only utility-owned facility in the state that is both certified and accredited to test for PFAS substances.</w:t>
      </w:r>
    </w:p>
    <w:p>
      <w:pPr>
        <w:spacing w:after="0" w:line="266" w:lineRule="exact"/>
        <w:rPr>
          <w:sz w:val="20"/>
          <w:szCs w:val="20"/>
          <w:color w:val="auto"/>
        </w:rPr>
      </w:pPr>
    </w:p>
    <w:p>
      <w:pPr>
        <w:ind w:right="60"/>
        <w:spacing w:after="0" w:line="245" w:lineRule="auto"/>
        <w:rPr>
          <w:sz w:val="20"/>
          <w:szCs w:val="20"/>
          <w:color w:val="auto"/>
        </w:rPr>
      </w:pPr>
      <w:r>
        <w:rPr>
          <w:rFonts w:ascii="Arial" w:cs="Arial" w:eastAsia="Arial" w:hAnsi="Arial"/>
          <w:sz w:val="14"/>
          <w:szCs w:val="14"/>
          <w:color w:val="231F20"/>
        </w:rPr>
        <w:t>Essential is also fortunate to have a talented and dedicated staff of scientists to examine water samples from across our footprint and study best practices to address emerging contaminants. We are putting the full scale of our resources, size, and capabilities behind the effort to address PFAS to a degree beyond what many other utilities, especially those municipally managed, are unfortunately unable to match. The health and safety of our customers, which include our employees themselves and their families, is too vital to do any less.</w:t>
      </w:r>
    </w:p>
    <w:p>
      <w:pPr>
        <w:spacing w:after="0" w:line="105" w:lineRule="exact"/>
        <w:rPr>
          <w:sz w:val="20"/>
          <w:szCs w:val="20"/>
          <w:color w:val="auto"/>
        </w:rPr>
      </w:pPr>
    </w:p>
    <w:p>
      <w:pPr>
        <w:spacing w:after="0"/>
        <w:rPr>
          <w:sz w:val="20"/>
          <w:szCs w:val="20"/>
          <w:color w:val="auto"/>
        </w:rPr>
      </w:pPr>
      <w:r>
        <w:rPr>
          <w:rFonts w:ascii="Arial" w:cs="Arial" w:eastAsia="Arial" w:hAnsi="Arial"/>
          <w:sz w:val="17"/>
          <w:szCs w:val="17"/>
          <w:b w:val="1"/>
          <w:bCs w:val="1"/>
          <w:color w:val="4395D4"/>
        </w:rPr>
        <w:t>Water as a Human Right</w:t>
      </w:r>
    </w:p>
    <w:p>
      <w:pPr>
        <w:spacing w:after="0" w:line="153" w:lineRule="exact"/>
        <w:rPr>
          <w:sz w:val="20"/>
          <w:szCs w:val="20"/>
          <w:color w:val="auto"/>
        </w:rPr>
      </w:pPr>
    </w:p>
    <w:p>
      <w:pPr>
        <w:jc w:val="both"/>
        <w:ind w:right="220"/>
        <w:spacing w:after="0" w:line="253" w:lineRule="auto"/>
        <w:rPr>
          <w:sz w:val="20"/>
          <w:szCs w:val="20"/>
          <w:color w:val="auto"/>
        </w:rPr>
      </w:pPr>
      <w:r>
        <w:rPr>
          <w:rFonts w:ascii="Arial" w:cs="Arial" w:eastAsia="Arial" w:hAnsi="Arial"/>
          <w:sz w:val="14"/>
          <w:szCs w:val="14"/>
          <w:color w:val="231F20"/>
        </w:rPr>
        <w:t>In 2019, the Board of Directors considered the Company’s responsibility to its customers and its ongoing commitment to the betterment of the societies in which we serve. It reviewed various policies and objectives. Following a review and recommendation by its Corporate Governance Committee, the Board of Directors unanimously adopted the following resolution: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79375</wp:posOffset>
            </wp:positionV>
            <wp:extent cx="5956300" cy="199390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5956300" cy="19939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Arial" w:cs="Arial" w:eastAsia="Arial" w:hAnsi="Arial"/>
          <w:sz w:val="20"/>
          <w:szCs w:val="20"/>
          <w:b w:val="1"/>
          <w:bCs w:val="1"/>
          <w:color w:val="231F20"/>
        </w:rPr>
        <w:t>Human Capital Management</w:t>
      </w:r>
    </w:p>
    <w:p>
      <w:pPr>
        <w:spacing w:after="0" w:line="162" w:lineRule="exact"/>
        <w:rPr>
          <w:sz w:val="20"/>
          <w:szCs w:val="20"/>
          <w:color w:val="auto"/>
        </w:rPr>
      </w:pPr>
    </w:p>
    <w:p>
      <w:pPr>
        <w:spacing w:after="0"/>
        <w:rPr>
          <w:sz w:val="20"/>
          <w:szCs w:val="20"/>
          <w:color w:val="auto"/>
        </w:rPr>
      </w:pPr>
      <w:r>
        <w:rPr>
          <w:rFonts w:ascii="Arial" w:cs="Arial" w:eastAsia="Arial" w:hAnsi="Arial"/>
          <w:sz w:val="17"/>
          <w:szCs w:val="17"/>
          <w:b w:val="1"/>
          <w:bCs w:val="1"/>
          <w:color w:val="4395D4"/>
        </w:rPr>
        <w:t>Growth and Development</w:t>
      </w:r>
    </w:p>
    <w:p>
      <w:pPr>
        <w:spacing w:after="0" w:line="153" w:lineRule="exact"/>
        <w:rPr>
          <w:sz w:val="20"/>
          <w:szCs w:val="20"/>
          <w:color w:val="auto"/>
        </w:rPr>
      </w:pPr>
    </w:p>
    <w:p>
      <w:pPr>
        <w:ind w:right="180"/>
        <w:spacing w:after="0"/>
        <w:rPr>
          <w:sz w:val="20"/>
          <w:szCs w:val="20"/>
          <w:color w:val="auto"/>
        </w:rPr>
      </w:pPr>
      <w:r>
        <w:rPr>
          <w:rFonts w:ascii="Arial" w:cs="Arial" w:eastAsia="Arial" w:hAnsi="Arial"/>
          <w:sz w:val="14"/>
          <w:szCs w:val="14"/>
          <w:color w:val="231F20"/>
        </w:rPr>
        <w:t>We believe that strategic workforce planning and investments to develop and train our people are important to the Company’s success. We have a regular, disciplined workforce review process and link hiring plans and training needs to business objectives. We offer a learning and development curriculum, which incorporates multi-modes of education to enhancing employees’ skills and enable their growth. Our water and gas technical training supports the workforce to maintain job qualifications or reskill as technology and other factors change job requirements. We emphasize and promote continued education for our water and gas employees to keep abreast of new developments in our industries. We utilize talent analytics that enable us to project the Company’s future workforce needs and allow us to identify and mitigate talent risks proactively.</w:t>
      </w:r>
    </w:p>
    <w:p>
      <w:pPr>
        <w:spacing w:after="0" w:line="264" w:lineRule="exact"/>
        <w:rPr>
          <w:sz w:val="20"/>
          <w:szCs w:val="20"/>
          <w:color w:val="auto"/>
        </w:rPr>
      </w:pPr>
    </w:p>
    <w:p>
      <w:pPr>
        <w:spacing w:after="0"/>
        <w:rPr>
          <w:sz w:val="20"/>
          <w:szCs w:val="20"/>
          <w:color w:val="auto"/>
        </w:rPr>
      </w:pPr>
      <w:r>
        <w:rPr>
          <w:rFonts w:ascii="Arial" w:cs="Arial" w:eastAsia="Arial" w:hAnsi="Arial"/>
          <w:sz w:val="17"/>
          <w:szCs w:val="17"/>
          <w:b w:val="1"/>
          <w:bCs w:val="1"/>
          <w:color w:val="4395D4"/>
        </w:rPr>
        <w:t>Communication and Engagement</w:t>
      </w:r>
    </w:p>
    <w:p>
      <w:pPr>
        <w:spacing w:after="0" w:line="153" w:lineRule="exact"/>
        <w:rPr>
          <w:sz w:val="20"/>
          <w:szCs w:val="20"/>
          <w:color w:val="auto"/>
        </w:rPr>
      </w:pPr>
    </w:p>
    <w:p>
      <w:pPr>
        <w:ind w:right="20"/>
        <w:spacing w:after="0" w:line="278" w:lineRule="auto"/>
        <w:rPr>
          <w:sz w:val="20"/>
          <w:szCs w:val="20"/>
          <w:color w:val="auto"/>
        </w:rPr>
      </w:pPr>
      <w:r>
        <w:rPr>
          <w:rFonts w:ascii="Arial" w:cs="Arial" w:eastAsia="Arial" w:hAnsi="Arial"/>
          <w:sz w:val="14"/>
          <w:szCs w:val="14"/>
          <w:color w:val="231F20"/>
        </w:rPr>
        <w:t>We believe that our success depends on employees understanding how their work contributes to the Company’s overall strategy. We use a variety of communications channels to facilitate open and direct communication, including:</w:t>
      </w:r>
    </w:p>
    <w:p>
      <w:pPr>
        <w:sectPr>
          <w:pgSz w:w="11900" w:h="16838" w:orient="portrait"/>
          <w:cols w:equalWidth="0" w:num="1">
            <w:col w:w="11240"/>
          </w:cols>
          <w:pgMar w:left="320" w:top="636" w:right="339" w:bottom="1440" w:gutter="0" w:footer="0" w:header="0"/>
        </w:sectPr>
      </w:pPr>
    </w:p>
    <w:p>
      <w:pPr>
        <w:spacing w:after="0" w:line="86" w:lineRule="exact"/>
        <w:rPr>
          <w:sz w:val="20"/>
          <w:szCs w:val="20"/>
          <w:color w:val="auto"/>
        </w:rPr>
      </w:pPr>
    </w:p>
    <w:p>
      <w:pPr>
        <w:spacing w:after="0"/>
        <w:tabs>
          <w:tab w:leader="none" w:pos="160" w:val="left"/>
        </w:tabs>
        <w:rPr>
          <w:sz w:val="20"/>
          <w:szCs w:val="20"/>
          <w:color w:val="auto"/>
        </w:rPr>
      </w:pPr>
      <w:r>
        <w:rPr>
          <w:rFonts w:ascii="Arial" w:cs="Arial" w:eastAsia="Arial" w:hAnsi="Arial"/>
          <w:sz w:val="14"/>
          <w:szCs w:val="14"/>
          <w:color w:val="4395D4"/>
        </w:rPr>
        <w:t>•</w:t>
      </w:r>
      <w:r>
        <w:rPr>
          <w:rFonts w:ascii="Arial" w:cs="Arial" w:eastAsia="Arial" w:hAnsi="Arial"/>
          <w:sz w:val="14"/>
          <w:szCs w:val="14"/>
          <w:color w:val="231F20"/>
        </w:rPr>
        <w:tab/>
        <w:t>Open forums with our executives;</w:t>
      </w:r>
    </w:p>
    <w:p>
      <w:pPr>
        <w:spacing w:after="0" w:line="20" w:lineRule="exact"/>
        <w:rPr>
          <w:sz w:val="20"/>
          <w:szCs w:val="20"/>
          <w:color w:val="auto"/>
        </w:rPr>
      </w:pPr>
      <w:r>
        <w:rPr>
          <w:sz w:val="20"/>
          <w:szCs w:val="20"/>
          <w:color w:val="auto"/>
        </w:rPr>
        <w:br w:type="column"/>
      </w:r>
    </w:p>
    <w:p>
      <w:pPr>
        <w:spacing w:after="0" w:line="66" w:lineRule="exact"/>
        <w:rPr>
          <w:sz w:val="20"/>
          <w:szCs w:val="20"/>
          <w:color w:val="auto"/>
        </w:rPr>
      </w:pPr>
    </w:p>
    <w:p>
      <w:pPr>
        <w:spacing w:after="0"/>
        <w:tabs>
          <w:tab w:leader="none" w:pos="160" w:val="left"/>
        </w:tabs>
        <w:rPr>
          <w:sz w:val="20"/>
          <w:szCs w:val="20"/>
          <w:color w:val="auto"/>
        </w:rPr>
      </w:pPr>
      <w:r>
        <w:rPr>
          <w:rFonts w:ascii="Arial" w:cs="Arial" w:eastAsia="Arial" w:hAnsi="Arial"/>
          <w:sz w:val="14"/>
          <w:szCs w:val="14"/>
          <w:color w:val="4395D4"/>
        </w:rPr>
        <w:t>•</w:t>
      </w:r>
      <w:r>
        <w:rPr>
          <w:rFonts w:ascii="Arial" w:cs="Arial" w:eastAsia="Arial" w:hAnsi="Arial"/>
          <w:sz w:val="14"/>
          <w:szCs w:val="14"/>
          <w:color w:val="231F20"/>
        </w:rPr>
        <w:tab/>
        <w:t>Regular engagement surveys; and</w:t>
      </w:r>
    </w:p>
    <w:p>
      <w:pPr>
        <w:spacing w:after="0" w:line="69" w:lineRule="exact"/>
        <w:rPr>
          <w:sz w:val="20"/>
          <w:szCs w:val="20"/>
          <w:color w:val="auto"/>
        </w:rPr>
      </w:pPr>
    </w:p>
    <w:p>
      <w:pPr>
        <w:sectPr>
          <w:pgSz w:w="11900" w:h="16838" w:orient="portrait"/>
          <w:cols w:equalWidth="0" w:num="2">
            <w:col w:w="5140" w:space="720"/>
            <w:col w:w="5380"/>
          </w:cols>
          <w:pgMar w:left="320" w:top="636" w:right="339" w:bottom="1440" w:gutter="0" w:footer="0" w:header="0"/>
          <w:type w:val="continuous"/>
        </w:sectPr>
      </w:pPr>
    </w:p>
    <w:p>
      <w:pPr>
        <w:spacing w:after="0"/>
        <w:tabs>
          <w:tab w:leader="none" w:pos="160" w:val="left"/>
        </w:tabs>
        <w:rPr>
          <w:sz w:val="20"/>
          <w:szCs w:val="20"/>
          <w:color w:val="auto"/>
        </w:rPr>
      </w:pPr>
      <w:r>
        <w:rPr>
          <w:rFonts w:ascii="Arial" w:cs="Arial" w:eastAsia="Arial" w:hAnsi="Arial"/>
          <w:sz w:val="14"/>
          <w:szCs w:val="14"/>
          <w:color w:val="4395D4"/>
        </w:rPr>
        <w:t>•</w:t>
      </w:r>
      <w:r>
        <w:rPr>
          <w:rFonts w:ascii="Arial" w:cs="Arial" w:eastAsia="Arial" w:hAnsi="Arial"/>
          <w:sz w:val="14"/>
          <w:szCs w:val="14"/>
          <w:color w:val="231F20"/>
        </w:rPr>
        <w:tab/>
        <w:t>Monthly Town Halls;</w:t>
      </w:r>
    </w:p>
    <w:p>
      <w:pPr>
        <w:spacing w:after="0" w:line="20" w:lineRule="exact"/>
        <w:rPr>
          <w:sz w:val="20"/>
          <w:szCs w:val="20"/>
          <w:color w:val="auto"/>
        </w:rPr>
      </w:pPr>
      <w:r>
        <w:rPr>
          <w:sz w:val="20"/>
          <w:szCs w:val="20"/>
          <w:color w:val="auto"/>
        </w:rPr>
        <w:br w:type="column"/>
      </w:r>
    </w:p>
    <w:p>
      <w:pPr>
        <w:spacing w:after="0"/>
        <w:tabs>
          <w:tab w:leader="none" w:pos="160" w:val="left"/>
        </w:tabs>
        <w:rPr>
          <w:sz w:val="20"/>
          <w:szCs w:val="20"/>
          <w:color w:val="auto"/>
        </w:rPr>
      </w:pPr>
      <w:r>
        <w:rPr>
          <w:rFonts w:ascii="Arial" w:cs="Arial" w:eastAsia="Arial" w:hAnsi="Arial"/>
          <w:sz w:val="14"/>
          <w:szCs w:val="14"/>
          <w:color w:val="4395D4"/>
        </w:rPr>
        <w:t>•</w:t>
      </w:r>
      <w:r>
        <w:rPr>
          <w:rFonts w:ascii="Arial" w:cs="Arial" w:eastAsia="Arial" w:hAnsi="Arial"/>
          <w:sz w:val="14"/>
          <w:szCs w:val="14"/>
          <w:color w:val="231F20"/>
        </w:rPr>
        <w:tab/>
        <w:t>Employee resource groups.</w:t>
      </w:r>
    </w:p>
    <w:p>
      <w:pPr>
        <w:spacing w:after="0" w:line="154" w:lineRule="exact"/>
        <w:rPr>
          <w:sz w:val="20"/>
          <w:szCs w:val="20"/>
          <w:color w:val="auto"/>
        </w:rPr>
      </w:pPr>
    </w:p>
    <w:p>
      <w:pPr>
        <w:sectPr>
          <w:pgSz w:w="11900" w:h="16838" w:orient="portrait"/>
          <w:cols w:equalWidth="0" w:num="2">
            <w:col w:w="5140" w:space="720"/>
            <w:col w:w="5380"/>
          </w:cols>
          <w:pgMar w:left="320" w:top="636" w:right="339" w:bottom="1440" w:gutter="0" w:footer="0" w:header="0"/>
          <w:type w:val="continuous"/>
        </w:sectPr>
      </w:pPr>
    </w:p>
    <w:p>
      <w:pPr>
        <w:spacing w:after="0"/>
        <w:rPr>
          <w:sz w:val="20"/>
          <w:szCs w:val="20"/>
          <w:color w:val="auto"/>
        </w:rPr>
      </w:pPr>
      <w:r>
        <w:rPr>
          <w:rFonts w:ascii="Arial" w:cs="Arial" w:eastAsia="Arial" w:hAnsi="Arial"/>
          <w:sz w:val="17"/>
          <w:szCs w:val="17"/>
          <w:b w:val="1"/>
          <w:bCs w:val="1"/>
          <w:color w:val="4395D4"/>
        </w:rPr>
        <w:t>COVID-19 Communications</w:t>
      </w:r>
    </w:p>
    <w:p>
      <w:pPr>
        <w:spacing w:after="0" w:line="153" w:lineRule="exact"/>
        <w:rPr>
          <w:sz w:val="20"/>
          <w:szCs w:val="20"/>
          <w:color w:val="auto"/>
        </w:rPr>
      </w:pPr>
    </w:p>
    <w:p>
      <w:pPr>
        <w:ind w:right="180"/>
        <w:spacing w:after="0" w:line="253" w:lineRule="auto"/>
        <w:rPr>
          <w:sz w:val="20"/>
          <w:szCs w:val="20"/>
          <w:color w:val="auto"/>
        </w:rPr>
      </w:pPr>
      <w:r>
        <w:rPr>
          <w:rFonts w:ascii="Arial" w:cs="Arial" w:eastAsia="Arial" w:hAnsi="Arial"/>
          <w:sz w:val="14"/>
          <w:szCs w:val="14"/>
          <w:color w:val="231F20"/>
        </w:rPr>
        <w:t>Since 2020, with the impact of COVID and our move to have more than 30% of our employees working from home, our communications became even more critical to ensure continuity of services for our customers. We conducted employee surveys throughout 2020 to ensure we had the pulse on employees’ thoughts and concerns. Our survey results told us employees felt: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103505</wp:posOffset>
            </wp:positionV>
            <wp:extent cx="7139940"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39940" cy="8255"/>
                    </a:xfrm>
                    <a:prstGeom prst="rect">
                      <a:avLst/>
                    </a:prstGeom>
                    <a:noFill/>
                  </pic:spPr>
                </pic:pic>
              </a:graphicData>
            </a:graphic>
          </wp:anchor>
        </w:drawing>
      </w:r>
    </w:p>
    <w:p>
      <w:pPr>
        <w:spacing w:after="0" w:line="189" w:lineRule="exact"/>
        <w:rPr>
          <w:sz w:val="20"/>
          <w:szCs w:val="20"/>
          <w:color w:val="auto"/>
        </w:rPr>
      </w:pPr>
    </w:p>
    <w:p>
      <w:pPr>
        <w:jc w:val="right"/>
        <w:spacing w:after="0"/>
        <w:tabs>
          <w:tab w:leader="none" w:pos="140" w:val="left"/>
        </w:tabs>
        <w:rPr>
          <w:sz w:val="20"/>
          <w:szCs w:val="20"/>
          <w:color w:val="auto"/>
        </w:rPr>
      </w:pPr>
      <w:r>
        <w:rPr>
          <w:rFonts w:ascii="Arial" w:cs="Arial" w:eastAsia="Arial" w:hAnsi="Arial"/>
          <w:sz w:val="12"/>
          <w:szCs w:val="12"/>
          <w:color w:val="4395D4"/>
        </w:rPr>
        <w:t xml:space="preserve">ESSENTIAL UTILITIES, INC. </w:t>
      </w:r>
      <w:r>
        <w:rPr>
          <w:rFonts w:ascii="Arial" w:cs="Arial" w:eastAsia="Arial" w:hAnsi="Arial"/>
          <w:sz w:val="12"/>
          <w:szCs w:val="12"/>
          <w:color w:val="455986"/>
        </w:rPr>
        <w:t>2021 PROXY STATEMENT</w:t>
      </w:r>
      <w:r>
        <w:rPr>
          <w:sz w:val="20"/>
          <w:szCs w:val="20"/>
          <w:color w:val="auto"/>
        </w:rPr>
        <w:tab/>
      </w:r>
      <w:r>
        <w:rPr>
          <w:rFonts w:ascii="Arial" w:cs="Arial" w:eastAsia="Arial" w:hAnsi="Arial"/>
          <w:sz w:val="14"/>
          <w:szCs w:val="14"/>
          <w:color w:val="455986"/>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339090</wp:posOffset>
            </wp:positionV>
            <wp:extent cx="7139940" cy="2413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39940" cy="24130"/>
                    </a:xfrm>
                    <a:prstGeom prst="rect">
                      <a:avLst/>
                    </a:prstGeom>
                    <a:noFill/>
                  </pic:spPr>
                </pic:pic>
              </a:graphicData>
            </a:graphic>
          </wp:anchor>
        </w:drawing>
      </w:r>
    </w:p>
    <w:p>
      <w:pPr>
        <w:sectPr>
          <w:pgSz w:w="11900" w:h="16838" w:orient="portrait"/>
          <w:cols w:equalWidth="0" w:num="1">
            <w:col w:w="11240"/>
          </w:cols>
          <w:pgMar w:left="320" w:top="636" w:right="339" w:bottom="1440" w:gutter="0" w:footer="0" w:header="0"/>
          <w:type w:val="continuous"/>
        </w:sectPr>
      </w:pPr>
    </w:p>
    <w:bookmarkStart w:id="30" w:name="page31"/>
    <w:bookmarkEnd w:id="30"/>
    <w:p>
      <w:pPr>
        <w:spacing w:after="0"/>
        <w:rPr>
          <w:sz w:val="20"/>
          <w:szCs w:val="20"/>
          <w:color w:val="auto"/>
        </w:rPr>
      </w:pPr>
      <w:r>
        <w:rPr>
          <w:rFonts w:ascii="Arial" w:cs="Arial" w:eastAsia="Arial" w:hAnsi="Arial"/>
          <w:sz w:val="14"/>
          <w:szCs w:val="14"/>
          <w:b w:val="1"/>
          <w:bCs w:val="1"/>
          <w:color w:val="455986"/>
        </w:rPr>
        <w:t>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27940</wp:posOffset>
            </wp:positionV>
            <wp:extent cx="7139940"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39940" cy="8255"/>
                    </a:xfrm>
                    <a:prstGeom prst="rect">
                      <a:avLst/>
                    </a:prstGeom>
                    <a:noFill/>
                  </pic:spPr>
                </pic:pic>
              </a:graphicData>
            </a:graphic>
          </wp:anchor>
        </w:drawing>
      </w:r>
    </w:p>
    <w:p>
      <w:pPr>
        <w:spacing w:after="0" w:line="76" w:lineRule="exact"/>
        <w:rPr>
          <w:sz w:val="20"/>
          <w:szCs w:val="20"/>
          <w:color w:val="auto"/>
        </w:rPr>
      </w:pPr>
    </w:p>
    <w:p>
      <w:pPr>
        <w:spacing w:after="0"/>
        <w:rPr>
          <w:sz w:val="20"/>
          <w:szCs w:val="20"/>
          <w:color w:val="auto"/>
        </w:rPr>
      </w:pPr>
      <w:r>
        <w:rPr>
          <w:rFonts w:ascii="Arial" w:cs="Arial" w:eastAsia="Arial" w:hAnsi="Arial"/>
          <w:sz w:val="12"/>
          <w:szCs w:val="12"/>
          <w:color w:val="231F20"/>
        </w:rPr>
        <w:t>Environmental Stewardship and Corporate Responsibility</w:t>
      </w:r>
    </w:p>
    <w:p>
      <w:pPr>
        <w:sectPr>
          <w:pgSz w:w="11900" w:h="16838" w:orient="portrait"/>
          <w:cols w:equalWidth="0" w:num="1">
            <w:col w:w="11240"/>
          </w:cols>
          <w:pgMar w:left="320" w:top="636" w:right="339" w:bottom="1440" w:gutter="0" w:footer="0" w:header="0"/>
        </w:sectPr>
      </w:pPr>
    </w:p>
    <w:p>
      <w:pPr>
        <w:spacing w:after="0" w:line="197" w:lineRule="exact"/>
        <w:rPr>
          <w:sz w:val="20"/>
          <w:szCs w:val="20"/>
          <w:color w:val="auto"/>
        </w:rPr>
      </w:pPr>
    </w:p>
    <w:p>
      <w:pPr>
        <w:spacing w:after="0"/>
        <w:tabs>
          <w:tab w:leader="none" w:pos="160" w:val="left"/>
        </w:tabs>
        <w:rPr>
          <w:sz w:val="20"/>
          <w:szCs w:val="20"/>
          <w:color w:val="auto"/>
        </w:rPr>
      </w:pPr>
      <w:r>
        <w:rPr>
          <w:rFonts w:ascii="Arial" w:cs="Arial" w:eastAsia="Arial" w:hAnsi="Arial"/>
          <w:sz w:val="14"/>
          <w:szCs w:val="14"/>
          <w:color w:val="4395D4"/>
        </w:rPr>
        <w:t>•</w:t>
      </w:r>
      <w:r>
        <w:rPr>
          <w:rFonts w:ascii="Arial" w:cs="Arial" w:eastAsia="Arial" w:hAnsi="Arial"/>
          <w:sz w:val="14"/>
          <w:szCs w:val="14"/>
          <w:color w:val="231F20"/>
        </w:rPr>
        <w:tab/>
        <w:t>Supported by the Company during the pandemic;</w:t>
      </w:r>
    </w:p>
    <w:p>
      <w:pPr>
        <w:spacing w:after="0" w:line="20" w:lineRule="exact"/>
        <w:rPr>
          <w:sz w:val="20"/>
          <w:szCs w:val="20"/>
          <w:color w:val="auto"/>
        </w:rPr>
      </w:pPr>
      <w:r>
        <w:rPr>
          <w:sz w:val="20"/>
          <w:szCs w:val="20"/>
          <w:color w:val="auto"/>
        </w:rPr>
        <w:br w:type="column"/>
      </w:r>
    </w:p>
    <w:p>
      <w:pPr>
        <w:spacing w:after="0" w:line="177" w:lineRule="exact"/>
        <w:rPr>
          <w:sz w:val="20"/>
          <w:szCs w:val="20"/>
          <w:color w:val="auto"/>
        </w:rPr>
      </w:pPr>
    </w:p>
    <w:p>
      <w:pPr>
        <w:spacing w:after="0"/>
        <w:tabs>
          <w:tab w:leader="none" w:pos="160" w:val="left"/>
        </w:tabs>
        <w:rPr>
          <w:sz w:val="20"/>
          <w:szCs w:val="20"/>
          <w:color w:val="auto"/>
        </w:rPr>
      </w:pPr>
      <w:r>
        <w:rPr>
          <w:rFonts w:ascii="Arial" w:cs="Arial" w:eastAsia="Arial" w:hAnsi="Arial"/>
          <w:sz w:val="14"/>
          <w:szCs w:val="14"/>
          <w:color w:val="4395D4"/>
        </w:rPr>
        <w:t>•</w:t>
      </w:r>
      <w:r>
        <w:rPr>
          <w:rFonts w:ascii="Arial" w:cs="Arial" w:eastAsia="Arial" w:hAnsi="Arial"/>
          <w:sz w:val="14"/>
          <w:szCs w:val="14"/>
          <w:color w:val="231F20"/>
        </w:rPr>
        <w:tab/>
        <w:t>Company has taken appropriate steps to keep them safe; and</w:t>
      </w:r>
    </w:p>
    <w:p>
      <w:pPr>
        <w:spacing w:after="0" w:line="69" w:lineRule="exact"/>
        <w:rPr>
          <w:sz w:val="20"/>
          <w:szCs w:val="20"/>
          <w:color w:val="auto"/>
        </w:rPr>
      </w:pPr>
    </w:p>
    <w:p>
      <w:pPr>
        <w:sectPr>
          <w:pgSz w:w="11900" w:h="16838" w:orient="portrait"/>
          <w:cols w:equalWidth="0" w:num="2">
            <w:col w:w="5140" w:space="720"/>
            <w:col w:w="5380"/>
          </w:cols>
          <w:pgMar w:left="320" w:top="636" w:right="339" w:bottom="1440" w:gutter="0" w:footer="0" w:header="0"/>
          <w:type w:val="continuous"/>
        </w:sectPr>
      </w:pPr>
    </w:p>
    <w:p>
      <w:pPr>
        <w:spacing w:after="0"/>
        <w:tabs>
          <w:tab w:leader="none" w:pos="160" w:val="left"/>
        </w:tabs>
        <w:rPr>
          <w:sz w:val="20"/>
          <w:szCs w:val="20"/>
          <w:color w:val="auto"/>
        </w:rPr>
      </w:pPr>
      <w:r>
        <w:rPr>
          <w:rFonts w:ascii="Arial" w:cs="Arial" w:eastAsia="Arial" w:hAnsi="Arial"/>
          <w:sz w:val="14"/>
          <w:szCs w:val="14"/>
          <w:color w:val="4395D4"/>
        </w:rPr>
        <w:t>•</w:t>
      </w:r>
      <w:r>
        <w:rPr>
          <w:rFonts w:ascii="Arial" w:cs="Arial" w:eastAsia="Arial" w:hAnsi="Arial"/>
          <w:sz w:val="14"/>
          <w:szCs w:val="14"/>
          <w:color w:val="231F20"/>
        </w:rPr>
        <w:tab/>
        <w:t>Supported by their managers and know what their priorities were for the job;</w:t>
      </w:r>
    </w:p>
    <w:p>
      <w:pPr>
        <w:spacing w:after="0" w:line="20" w:lineRule="exact"/>
        <w:rPr>
          <w:sz w:val="20"/>
          <w:szCs w:val="20"/>
          <w:color w:val="auto"/>
        </w:rPr>
      </w:pPr>
      <w:r>
        <w:rPr>
          <w:sz w:val="20"/>
          <w:szCs w:val="20"/>
          <w:color w:val="auto"/>
        </w:rPr>
        <w:br w:type="column"/>
      </w:r>
    </w:p>
    <w:p>
      <w:pPr>
        <w:spacing w:after="0"/>
        <w:tabs>
          <w:tab w:leader="none" w:pos="160" w:val="left"/>
        </w:tabs>
        <w:rPr>
          <w:sz w:val="20"/>
          <w:szCs w:val="20"/>
          <w:color w:val="auto"/>
        </w:rPr>
      </w:pPr>
      <w:r>
        <w:rPr>
          <w:rFonts w:ascii="Arial" w:cs="Arial" w:eastAsia="Arial" w:hAnsi="Arial"/>
          <w:sz w:val="14"/>
          <w:szCs w:val="14"/>
          <w:color w:val="4395D4"/>
        </w:rPr>
        <w:t>•</w:t>
      </w:r>
      <w:r>
        <w:rPr>
          <w:rFonts w:ascii="Arial" w:cs="Arial" w:eastAsia="Arial" w:hAnsi="Arial"/>
          <w:sz w:val="14"/>
          <w:szCs w:val="14"/>
          <w:color w:val="231F20"/>
        </w:rPr>
        <w:tab/>
        <w:t>Dedicated in delivering excellent service to our customers despite the pandemic.</w:t>
      </w:r>
    </w:p>
    <w:p>
      <w:pPr>
        <w:spacing w:after="0" w:line="81" w:lineRule="exact"/>
        <w:rPr>
          <w:sz w:val="20"/>
          <w:szCs w:val="20"/>
          <w:color w:val="auto"/>
        </w:rPr>
      </w:pPr>
    </w:p>
    <w:p>
      <w:pPr>
        <w:sectPr>
          <w:pgSz w:w="11900" w:h="16838" w:orient="portrait"/>
          <w:cols w:equalWidth="0" w:num="2">
            <w:col w:w="5140" w:space="720"/>
            <w:col w:w="5380"/>
          </w:cols>
          <w:pgMar w:left="320" w:top="636" w:right="339" w:bottom="1440" w:gutter="0" w:footer="0" w:header="0"/>
          <w:type w:val="continuous"/>
        </w:sectPr>
      </w:pPr>
    </w:p>
    <w:p>
      <w:pPr>
        <w:ind w:left="180" w:right="6220" w:hanging="178"/>
        <w:spacing w:after="0" w:line="278" w:lineRule="auto"/>
        <w:tabs>
          <w:tab w:leader="none" w:pos="181" w:val="left"/>
        </w:tabs>
        <w:numPr>
          <w:ilvl w:val="0"/>
          <w:numId w:val="64"/>
        </w:numPr>
        <w:rPr>
          <w:rFonts w:ascii="Arial" w:cs="Arial" w:eastAsia="Arial" w:hAnsi="Arial"/>
          <w:sz w:val="14"/>
          <w:szCs w:val="14"/>
          <w:color w:val="4395D4"/>
        </w:rPr>
      </w:pPr>
      <w:r>
        <w:rPr>
          <w:rFonts w:ascii="Arial" w:cs="Arial" w:eastAsia="Arial" w:hAnsi="Arial"/>
          <w:sz w:val="14"/>
          <w:szCs w:val="14"/>
          <w:color w:val="231F20"/>
        </w:rPr>
        <w:t>Have the resources needed to work safely in the field or work remotely from home;</w:t>
      </w:r>
    </w:p>
    <w:p>
      <w:pPr>
        <w:spacing w:after="0" w:line="74" w:lineRule="exact"/>
        <w:rPr>
          <w:sz w:val="20"/>
          <w:szCs w:val="20"/>
          <w:color w:val="auto"/>
        </w:rPr>
      </w:pPr>
    </w:p>
    <w:p>
      <w:pPr>
        <w:spacing w:after="0"/>
        <w:rPr>
          <w:sz w:val="20"/>
          <w:szCs w:val="20"/>
          <w:color w:val="auto"/>
        </w:rPr>
      </w:pPr>
      <w:r>
        <w:rPr>
          <w:rFonts w:ascii="Arial" w:cs="Arial" w:eastAsia="Arial" w:hAnsi="Arial"/>
          <w:sz w:val="20"/>
          <w:szCs w:val="20"/>
          <w:b w:val="1"/>
          <w:bCs w:val="1"/>
          <w:color w:val="231F20"/>
        </w:rPr>
        <w:t>Diversity, Equity, and Inclusion</w:t>
      </w:r>
    </w:p>
    <w:p>
      <w:pPr>
        <w:spacing w:after="0" w:line="166" w:lineRule="exact"/>
        <w:rPr>
          <w:sz w:val="20"/>
          <w:szCs w:val="20"/>
          <w:color w:val="auto"/>
        </w:rPr>
      </w:pPr>
    </w:p>
    <w:p>
      <w:pPr>
        <w:jc w:val="both"/>
        <w:spacing w:after="0" w:line="253" w:lineRule="auto"/>
        <w:rPr>
          <w:sz w:val="20"/>
          <w:szCs w:val="20"/>
          <w:color w:val="auto"/>
        </w:rPr>
      </w:pPr>
      <w:r>
        <w:rPr>
          <w:rFonts w:ascii="Arial" w:cs="Arial" w:eastAsia="Arial" w:hAnsi="Arial"/>
          <w:sz w:val="14"/>
          <w:szCs w:val="14"/>
          <w:color w:val="231F20"/>
        </w:rPr>
        <w:t>We are committed to expanding our diversity, promoting equity, and building a culture of inclusion. Essential plays an elemental role in every community across our footprint; we provide natural resources for life. Doing so is rooted in a firm belief that our employees, our most valuable internal resource, should reflect the communities we live and serve each day.</w:t>
      </w:r>
    </w:p>
    <w:p>
      <w:pPr>
        <w:spacing w:after="0" w:line="103" w:lineRule="exact"/>
        <w:rPr>
          <w:sz w:val="20"/>
          <w:szCs w:val="20"/>
          <w:color w:val="auto"/>
        </w:rPr>
      </w:pPr>
    </w:p>
    <w:p>
      <w:pPr>
        <w:ind w:right="220"/>
        <w:spacing w:after="0" w:line="253" w:lineRule="auto"/>
        <w:rPr>
          <w:sz w:val="20"/>
          <w:szCs w:val="20"/>
          <w:color w:val="auto"/>
        </w:rPr>
      </w:pPr>
      <w:r>
        <w:rPr>
          <w:rFonts w:ascii="Arial" w:cs="Arial" w:eastAsia="Arial" w:hAnsi="Arial"/>
          <w:sz w:val="14"/>
          <w:szCs w:val="14"/>
          <w:color w:val="231F20"/>
        </w:rPr>
        <w:t>Our suppliers, many of which are locally based and small businesses, should have ownership reflective of the communities we live and serve each day. Diversity, equity, and inclusion do not just enrich and strengthen local neighborhoods and economies. They make our company stronger, more resilient, and help us create greater value for our stakeholders.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79375</wp:posOffset>
            </wp:positionV>
            <wp:extent cx="5956300" cy="23666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5956300" cy="23666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Arial" w:cs="Arial" w:eastAsia="Arial" w:hAnsi="Arial"/>
          <w:sz w:val="17"/>
          <w:szCs w:val="17"/>
          <w:b w:val="1"/>
          <w:bCs w:val="1"/>
          <w:color w:val="4395D4"/>
        </w:rPr>
        <w:t>Building a Diverse and Inclusive Culture</w:t>
      </w:r>
    </w:p>
    <w:p>
      <w:pPr>
        <w:spacing w:after="0" w:line="153" w:lineRule="exact"/>
        <w:rPr>
          <w:sz w:val="20"/>
          <w:szCs w:val="20"/>
          <w:color w:val="auto"/>
        </w:rPr>
      </w:pPr>
    </w:p>
    <w:p>
      <w:pPr>
        <w:ind w:right="320"/>
        <w:spacing w:after="0" w:line="278" w:lineRule="auto"/>
        <w:rPr>
          <w:sz w:val="20"/>
          <w:szCs w:val="20"/>
          <w:color w:val="auto"/>
        </w:rPr>
      </w:pPr>
      <w:r>
        <w:rPr>
          <w:rFonts w:ascii="Arial" w:cs="Arial" w:eastAsia="Arial" w:hAnsi="Arial"/>
          <w:sz w:val="14"/>
          <w:szCs w:val="14"/>
          <w:color w:val="231F20"/>
        </w:rPr>
        <w:t>To help us achieve our goals, we have been building and expanding our program and actions in this area to create an environment where our differences are valued, every person feels a sense of belonging, and engagement supports a thriving organization.</w:t>
      </w:r>
    </w:p>
    <w:p>
      <w:pPr>
        <w:spacing w:after="0" w:line="90" w:lineRule="exact"/>
        <w:rPr>
          <w:sz w:val="20"/>
          <w:szCs w:val="20"/>
          <w:color w:val="auto"/>
        </w:rPr>
      </w:pPr>
    </w:p>
    <w:p>
      <w:pPr>
        <w:spacing w:after="0"/>
        <w:rPr>
          <w:sz w:val="20"/>
          <w:szCs w:val="20"/>
          <w:color w:val="auto"/>
        </w:rPr>
      </w:pPr>
      <w:r>
        <w:rPr>
          <w:rFonts w:ascii="Arial" w:cs="Arial" w:eastAsia="Arial" w:hAnsi="Arial"/>
          <w:sz w:val="15"/>
          <w:szCs w:val="15"/>
          <w:b w:val="1"/>
          <w:bCs w:val="1"/>
          <w:color w:val="231F20"/>
        </w:rPr>
        <w:t>Essential Employee Programs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113030</wp:posOffset>
            </wp:positionV>
            <wp:extent cx="7139940"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39940" cy="8255"/>
                    </a:xfrm>
                    <a:prstGeom prst="rect">
                      <a:avLst/>
                    </a:prstGeom>
                    <a:noFill/>
                  </pic:spPr>
                </pic:pic>
              </a:graphicData>
            </a:graphic>
          </wp:anchor>
        </w:drawing>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880" w:type="dxa"/>
            <w:vAlign w:val="bottom"/>
          </w:tcPr>
          <w:p>
            <w:pPr>
              <w:spacing w:after="0"/>
              <w:rPr>
                <w:sz w:val="20"/>
                <w:szCs w:val="20"/>
                <w:color w:val="auto"/>
              </w:rPr>
            </w:pPr>
            <w:r>
              <w:rPr>
                <w:rFonts w:ascii="Arial" w:cs="Arial" w:eastAsia="Arial" w:hAnsi="Arial"/>
                <w:sz w:val="14"/>
                <w:szCs w:val="14"/>
                <w:b w:val="1"/>
                <w:bCs w:val="1"/>
                <w:color w:val="455986"/>
              </w:rPr>
              <w:t>Education</w:t>
            </w:r>
          </w:p>
        </w:tc>
        <w:tc>
          <w:tcPr>
            <w:tcW w:w="9360" w:type="dxa"/>
            <w:vAlign w:val="bottom"/>
          </w:tcPr>
          <w:p>
            <w:pPr>
              <w:ind w:left="500"/>
              <w:spacing w:after="0"/>
              <w:rPr>
                <w:sz w:val="20"/>
                <w:szCs w:val="20"/>
                <w:color w:val="auto"/>
              </w:rPr>
            </w:pPr>
            <w:r>
              <w:rPr>
                <w:rFonts w:ascii="Arial" w:cs="Arial" w:eastAsia="Arial" w:hAnsi="Arial"/>
                <w:sz w:val="14"/>
                <w:szCs w:val="14"/>
                <w:color w:val="231F20"/>
              </w:rPr>
              <w:t>We hold education and unconscious bias workshops and action planning sessions for employees across our company footprint to improve</w:t>
            </w:r>
          </w:p>
        </w:tc>
      </w:tr>
      <w:tr>
        <w:trPr>
          <w:trHeight w:val="153"/>
        </w:trPr>
        <w:tc>
          <w:tcPr>
            <w:tcW w:w="1880" w:type="dxa"/>
            <w:vAlign w:val="bottom"/>
          </w:tcPr>
          <w:p>
            <w:pPr>
              <w:spacing w:after="0"/>
              <w:rPr>
                <w:sz w:val="13"/>
                <w:szCs w:val="13"/>
                <w:color w:val="auto"/>
              </w:rPr>
            </w:pPr>
          </w:p>
        </w:tc>
        <w:tc>
          <w:tcPr>
            <w:tcW w:w="9360" w:type="dxa"/>
            <w:vAlign w:val="bottom"/>
          </w:tcPr>
          <w:p>
            <w:pPr>
              <w:ind w:left="500"/>
              <w:spacing w:after="0" w:line="153" w:lineRule="exact"/>
              <w:rPr>
                <w:sz w:val="20"/>
                <w:szCs w:val="20"/>
                <w:color w:val="auto"/>
              </w:rPr>
            </w:pPr>
            <w:r>
              <w:rPr>
                <w:rFonts w:ascii="Arial" w:cs="Arial" w:eastAsia="Arial" w:hAnsi="Arial"/>
                <w:sz w:val="14"/>
                <w:szCs w:val="14"/>
                <w:color w:val="231F20"/>
              </w:rPr>
              <w:t>the dialogue and build on an inclusive culture. These sessions explore the perspectives and pre-conceived notions individuals bring to</w:t>
            </w:r>
          </w:p>
        </w:tc>
      </w:tr>
      <w:tr>
        <w:trPr>
          <w:trHeight w:val="197"/>
        </w:trPr>
        <w:tc>
          <w:tcPr>
            <w:tcW w:w="1880" w:type="dxa"/>
            <w:vAlign w:val="bottom"/>
            <w:tcBorders>
              <w:bottom w:val="single" w:sz="8" w:color="231F20"/>
            </w:tcBorders>
          </w:tcPr>
          <w:p>
            <w:pPr>
              <w:spacing w:after="0"/>
              <w:rPr>
                <w:sz w:val="17"/>
                <w:szCs w:val="17"/>
                <w:color w:val="auto"/>
              </w:rPr>
            </w:pPr>
          </w:p>
        </w:tc>
        <w:tc>
          <w:tcPr>
            <w:tcW w:w="9360" w:type="dxa"/>
            <w:vAlign w:val="bottom"/>
            <w:tcBorders>
              <w:bottom w:val="single" w:sz="8" w:color="231F20"/>
            </w:tcBorders>
          </w:tcPr>
          <w:p>
            <w:pPr>
              <w:ind w:left="500"/>
              <w:spacing w:after="0"/>
              <w:rPr>
                <w:sz w:val="20"/>
                <w:szCs w:val="20"/>
                <w:color w:val="auto"/>
              </w:rPr>
            </w:pPr>
            <w:r>
              <w:rPr>
                <w:rFonts w:ascii="Arial" w:cs="Arial" w:eastAsia="Arial" w:hAnsi="Arial"/>
                <w:sz w:val="14"/>
                <w:szCs w:val="14"/>
                <w:color w:val="231F20"/>
              </w:rPr>
              <w:t>work each day that impact others.</w:t>
            </w:r>
          </w:p>
        </w:tc>
      </w:tr>
      <w:tr>
        <w:trPr>
          <w:trHeight w:val="151"/>
        </w:trPr>
        <w:tc>
          <w:tcPr>
            <w:tcW w:w="1880" w:type="dxa"/>
            <w:vAlign w:val="bottom"/>
          </w:tcPr>
          <w:p>
            <w:pPr>
              <w:spacing w:after="0" w:line="151" w:lineRule="exact"/>
              <w:rPr>
                <w:sz w:val="20"/>
                <w:szCs w:val="20"/>
                <w:color w:val="auto"/>
              </w:rPr>
            </w:pPr>
            <w:r>
              <w:rPr>
                <w:rFonts w:ascii="Arial" w:cs="Arial" w:eastAsia="Arial" w:hAnsi="Arial"/>
                <w:sz w:val="14"/>
                <w:szCs w:val="14"/>
                <w:b w:val="1"/>
                <w:bCs w:val="1"/>
                <w:color w:val="455986"/>
              </w:rPr>
              <w:t>Diverse New Talent</w:t>
            </w:r>
          </w:p>
        </w:tc>
        <w:tc>
          <w:tcPr>
            <w:tcW w:w="9360" w:type="dxa"/>
            <w:vAlign w:val="bottom"/>
          </w:tcPr>
          <w:p>
            <w:pPr>
              <w:ind w:left="500"/>
              <w:spacing w:after="0" w:line="151" w:lineRule="exact"/>
              <w:rPr>
                <w:sz w:val="20"/>
                <w:szCs w:val="20"/>
                <w:color w:val="auto"/>
              </w:rPr>
            </w:pPr>
            <w:r>
              <w:rPr>
                <w:rFonts w:ascii="Arial" w:cs="Arial" w:eastAsia="Arial" w:hAnsi="Arial"/>
                <w:sz w:val="14"/>
                <w:szCs w:val="14"/>
                <w:color w:val="231F20"/>
              </w:rPr>
              <w:t>Our diversity recruitment is supported through diversity associations and job boards for employees of color, veterans and women; we also</w:t>
            </w:r>
          </w:p>
        </w:tc>
      </w:tr>
      <w:tr>
        <w:trPr>
          <w:trHeight w:val="202"/>
        </w:trPr>
        <w:tc>
          <w:tcPr>
            <w:tcW w:w="1880" w:type="dxa"/>
            <w:vAlign w:val="bottom"/>
            <w:tcBorders>
              <w:bottom w:val="single" w:sz="8" w:color="231F20"/>
            </w:tcBorders>
          </w:tcPr>
          <w:p>
            <w:pPr>
              <w:spacing w:after="0"/>
              <w:rPr>
                <w:sz w:val="20"/>
                <w:szCs w:val="20"/>
                <w:color w:val="auto"/>
              </w:rPr>
            </w:pPr>
            <w:r>
              <w:rPr>
                <w:rFonts w:ascii="Arial" w:cs="Arial" w:eastAsia="Arial" w:hAnsi="Arial"/>
                <w:sz w:val="14"/>
                <w:szCs w:val="14"/>
                <w:b w:val="1"/>
                <w:bCs w:val="1"/>
                <w:color w:val="455986"/>
              </w:rPr>
              <w:t>Recruitment</w:t>
            </w:r>
          </w:p>
        </w:tc>
        <w:tc>
          <w:tcPr>
            <w:tcW w:w="9360" w:type="dxa"/>
            <w:vAlign w:val="bottom"/>
            <w:tcBorders>
              <w:bottom w:val="single" w:sz="8" w:color="231F20"/>
            </w:tcBorders>
          </w:tcPr>
          <w:p>
            <w:pPr>
              <w:ind w:left="500"/>
              <w:spacing w:after="0"/>
              <w:rPr>
                <w:sz w:val="20"/>
                <w:szCs w:val="20"/>
                <w:color w:val="auto"/>
              </w:rPr>
            </w:pPr>
            <w:r>
              <w:rPr>
                <w:rFonts w:ascii="Arial" w:cs="Arial" w:eastAsia="Arial" w:hAnsi="Arial"/>
                <w:sz w:val="14"/>
                <w:szCs w:val="14"/>
                <w:color w:val="231F20"/>
              </w:rPr>
              <w:t>recruit new talent from local community colleges and city-based universities.</w:t>
            </w:r>
          </w:p>
        </w:tc>
      </w:tr>
      <w:tr>
        <w:trPr>
          <w:trHeight w:val="148"/>
        </w:trPr>
        <w:tc>
          <w:tcPr>
            <w:tcW w:w="1880" w:type="dxa"/>
            <w:vAlign w:val="bottom"/>
          </w:tcPr>
          <w:p>
            <w:pPr>
              <w:spacing w:after="0" w:line="148" w:lineRule="exact"/>
              <w:rPr>
                <w:sz w:val="20"/>
                <w:szCs w:val="20"/>
                <w:color w:val="auto"/>
              </w:rPr>
            </w:pPr>
            <w:r>
              <w:rPr>
                <w:rFonts w:ascii="Arial" w:cs="Arial" w:eastAsia="Arial" w:hAnsi="Arial"/>
                <w:sz w:val="14"/>
                <w:szCs w:val="14"/>
                <w:b w:val="1"/>
                <w:bCs w:val="1"/>
                <w:color w:val="455986"/>
              </w:rPr>
              <w:t>Employee Resource</w:t>
            </w:r>
          </w:p>
        </w:tc>
        <w:tc>
          <w:tcPr>
            <w:tcW w:w="9360" w:type="dxa"/>
            <w:vAlign w:val="bottom"/>
          </w:tcPr>
          <w:p>
            <w:pPr>
              <w:ind w:left="500"/>
              <w:spacing w:after="0" w:line="148" w:lineRule="exact"/>
              <w:rPr>
                <w:sz w:val="20"/>
                <w:szCs w:val="20"/>
                <w:color w:val="auto"/>
              </w:rPr>
            </w:pPr>
            <w:r>
              <w:rPr>
                <w:rFonts w:ascii="Arial" w:cs="Arial" w:eastAsia="Arial" w:hAnsi="Arial"/>
                <w:sz w:val="14"/>
                <w:szCs w:val="14"/>
                <w:color w:val="231F20"/>
              </w:rPr>
              <w:t>We host several employee resource groups across the organization to help ensure our employees feel supported in their professional</w:t>
            </w:r>
          </w:p>
        </w:tc>
      </w:tr>
      <w:tr>
        <w:trPr>
          <w:trHeight w:val="155"/>
        </w:trPr>
        <w:tc>
          <w:tcPr>
            <w:tcW w:w="1880" w:type="dxa"/>
            <w:vAlign w:val="bottom"/>
          </w:tcPr>
          <w:p>
            <w:pPr>
              <w:spacing w:after="0" w:line="155" w:lineRule="exact"/>
              <w:rPr>
                <w:sz w:val="20"/>
                <w:szCs w:val="20"/>
                <w:color w:val="auto"/>
              </w:rPr>
            </w:pPr>
            <w:r>
              <w:rPr>
                <w:rFonts w:ascii="Arial" w:cs="Arial" w:eastAsia="Arial" w:hAnsi="Arial"/>
                <w:sz w:val="14"/>
                <w:szCs w:val="14"/>
                <w:b w:val="1"/>
                <w:bCs w:val="1"/>
                <w:color w:val="455986"/>
              </w:rPr>
              <w:t>Groups</w:t>
            </w:r>
          </w:p>
        </w:tc>
        <w:tc>
          <w:tcPr>
            <w:tcW w:w="9360" w:type="dxa"/>
            <w:vAlign w:val="bottom"/>
          </w:tcPr>
          <w:p>
            <w:pPr>
              <w:ind w:left="500"/>
              <w:spacing w:after="0" w:line="155" w:lineRule="exact"/>
              <w:rPr>
                <w:sz w:val="20"/>
                <w:szCs w:val="20"/>
                <w:color w:val="auto"/>
              </w:rPr>
            </w:pPr>
            <w:r>
              <w:rPr>
                <w:rFonts w:ascii="Arial" w:cs="Arial" w:eastAsia="Arial" w:hAnsi="Arial"/>
                <w:sz w:val="14"/>
                <w:szCs w:val="14"/>
                <w:color w:val="231F20"/>
              </w:rPr>
              <w:t>growth at all levels, including Black Resource Group, Women’s Resource Group, Peoples’ Diversity Council, and Essential Diversity,</w:t>
            </w:r>
          </w:p>
        </w:tc>
      </w:tr>
      <w:tr>
        <w:trPr>
          <w:trHeight w:val="197"/>
        </w:trPr>
        <w:tc>
          <w:tcPr>
            <w:tcW w:w="1880" w:type="dxa"/>
            <w:vAlign w:val="bottom"/>
            <w:tcBorders>
              <w:bottom w:val="single" w:sz="8" w:color="231F20"/>
            </w:tcBorders>
          </w:tcPr>
          <w:p>
            <w:pPr>
              <w:spacing w:after="0"/>
              <w:rPr>
                <w:sz w:val="17"/>
                <w:szCs w:val="17"/>
                <w:color w:val="auto"/>
              </w:rPr>
            </w:pPr>
          </w:p>
        </w:tc>
        <w:tc>
          <w:tcPr>
            <w:tcW w:w="9360" w:type="dxa"/>
            <w:vAlign w:val="bottom"/>
            <w:tcBorders>
              <w:bottom w:val="single" w:sz="8" w:color="231F20"/>
            </w:tcBorders>
          </w:tcPr>
          <w:p>
            <w:pPr>
              <w:ind w:left="500"/>
              <w:spacing w:after="0"/>
              <w:rPr>
                <w:sz w:val="20"/>
                <w:szCs w:val="20"/>
                <w:color w:val="auto"/>
              </w:rPr>
            </w:pPr>
            <w:r>
              <w:rPr>
                <w:rFonts w:ascii="Arial" w:cs="Arial" w:eastAsia="Arial" w:hAnsi="Arial"/>
                <w:sz w:val="14"/>
                <w:szCs w:val="14"/>
                <w:color w:val="231F20"/>
              </w:rPr>
              <w:t>Equity and Inclusion Advisory Council.</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113665</wp:posOffset>
            </wp:positionV>
            <wp:extent cx="7139940"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39940" cy="8255"/>
                    </a:xfrm>
                    <a:prstGeom prst="rect">
                      <a:avLst/>
                    </a:prstGeom>
                    <a:noFill/>
                  </pic:spPr>
                </pic:pic>
              </a:graphicData>
            </a:graphic>
          </wp:anchor>
        </w:drawing>
      </w:r>
    </w:p>
    <w:p>
      <w:pPr>
        <w:spacing w:after="0" w:line="228" w:lineRule="exact"/>
        <w:rPr>
          <w:sz w:val="20"/>
          <w:szCs w:val="20"/>
          <w:color w:val="auto"/>
        </w:rPr>
      </w:pPr>
    </w:p>
    <w:p>
      <w:pPr>
        <w:ind w:left="300" w:hanging="298"/>
        <w:spacing w:after="0"/>
        <w:tabs>
          <w:tab w:leader="none" w:pos="300" w:val="left"/>
        </w:tabs>
        <w:numPr>
          <w:ilvl w:val="0"/>
          <w:numId w:val="65"/>
        </w:numPr>
        <w:rPr>
          <w:rFonts w:ascii="Arial" w:cs="Arial" w:eastAsia="Arial" w:hAnsi="Arial"/>
          <w:sz w:val="15"/>
          <w:szCs w:val="15"/>
          <w:color w:val="455986"/>
        </w:rPr>
      </w:pPr>
      <w:r>
        <w:rPr>
          <w:rFonts w:ascii="Arial" w:cs="Arial" w:eastAsia="Arial" w:hAnsi="Arial"/>
          <w:sz w:val="12"/>
          <w:szCs w:val="12"/>
          <w:color w:val="4395D4"/>
        </w:rPr>
        <w:t xml:space="preserve">ESSENTIAL UTILITIES, INC. </w:t>
      </w:r>
      <w:r>
        <w:rPr>
          <w:rFonts w:ascii="Arial" w:cs="Arial" w:eastAsia="Arial" w:hAnsi="Arial"/>
          <w:sz w:val="12"/>
          <w:szCs w:val="12"/>
          <w:color w:val="455986"/>
        </w:rPr>
        <w:t>2021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316230</wp:posOffset>
            </wp:positionV>
            <wp:extent cx="7139940" cy="2413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39940" cy="24130"/>
                    </a:xfrm>
                    <a:prstGeom prst="rect">
                      <a:avLst/>
                    </a:prstGeom>
                    <a:noFill/>
                  </pic:spPr>
                </pic:pic>
              </a:graphicData>
            </a:graphic>
          </wp:anchor>
        </w:drawing>
      </w:r>
    </w:p>
    <w:p>
      <w:pPr>
        <w:sectPr>
          <w:pgSz w:w="11900" w:h="16838" w:orient="portrait"/>
          <w:cols w:equalWidth="0" w:num="1">
            <w:col w:w="11240"/>
          </w:cols>
          <w:pgMar w:left="320" w:top="636" w:right="339" w:bottom="1440" w:gutter="0" w:footer="0" w:header="0"/>
          <w:type w:val="continuous"/>
        </w:sectPr>
      </w:pPr>
    </w:p>
    <w:bookmarkStart w:id="31" w:name="page32"/>
    <w:bookmarkEnd w:id="31"/>
    <w:p>
      <w:pPr>
        <w:spacing w:after="0"/>
        <w:rPr>
          <w:sz w:val="20"/>
          <w:szCs w:val="20"/>
          <w:color w:val="auto"/>
        </w:rPr>
      </w:pPr>
      <w:r>
        <w:rPr>
          <w:rFonts w:ascii="Arial" w:cs="Arial" w:eastAsia="Arial" w:hAnsi="Arial"/>
          <w:sz w:val="14"/>
          <w:szCs w:val="14"/>
          <w:b w:val="1"/>
          <w:bCs w:val="1"/>
          <w:color w:val="455986"/>
        </w:rPr>
        <w:t>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27940</wp:posOffset>
            </wp:positionV>
            <wp:extent cx="7139940"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39940" cy="8255"/>
                    </a:xfrm>
                    <a:prstGeom prst="rect">
                      <a:avLst/>
                    </a:prstGeom>
                    <a:noFill/>
                  </pic:spPr>
                </pic:pic>
              </a:graphicData>
            </a:graphic>
          </wp:anchor>
        </w:drawing>
      </w:r>
    </w:p>
    <w:p>
      <w:pPr>
        <w:spacing w:after="0" w:line="76" w:lineRule="exact"/>
        <w:rPr>
          <w:sz w:val="20"/>
          <w:szCs w:val="20"/>
          <w:color w:val="auto"/>
        </w:rPr>
      </w:pPr>
    </w:p>
    <w:p>
      <w:pPr>
        <w:spacing w:after="0"/>
        <w:rPr>
          <w:sz w:val="20"/>
          <w:szCs w:val="20"/>
          <w:color w:val="auto"/>
        </w:rPr>
      </w:pPr>
      <w:r>
        <w:rPr>
          <w:rFonts w:ascii="Arial" w:cs="Arial" w:eastAsia="Arial" w:hAnsi="Arial"/>
          <w:sz w:val="14"/>
          <w:szCs w:val="14"/>
          <w:color w:val="231F20"/>
        </w:rPr>
        <w:t>Environmental Stewardship and Corporate Responsibility</w:t>
      </w:r>
    </w:p>
    <w:p>
      <w:pPr>
        <w:spacing w:after="0" w:line="172" w:lineRule="exact"/>
        <w:rPr>
          <w:sz w:val="20"/>
          <w:szCs w:val="20"/>
          <w:color w:val="auto"/>
        </w:rPr>
      </w:pPr>
    </w:p>
    <w:p>
      <w:pPr>
        <w:ind w:right="200"/>
        <w:spacing w:after="0" w:line="255" w:lineRule="auto"/>
        <w:rPr>
          <w:sz w:val="20"/>
          <w:szCs w:val="20"/>
          <w:color w:val="auto"/>
        </w:rPr>
      </w:pPr>
      <w:r>
        <w:rPr>
          <w:rFonts w:ascii="Arial" w:cs="Arial" w:eastAsia="Arial" w:hAnsi="Arial"/>
          <w:sz w:val="14"/>
          <w:szCs w:val="14"/>
          <w:b w:val="1"/>
          <w:bCs w:val="1"/>
          <w:color w:val="455986"/>
        </w:rPr>
        <w:t xml:space="preserve">Supplier Diversity. </w:t>
      </w:r>
      <w:r>
        <w:rPr>
          <w:rFonts w:ascii="Arial" w:cs="Arial" w:eastAsia="Arial" w:hAnsi="Arial"/>
          <w:sz w:val="14"/>
          <w:szCs w:val="14"/>
          <w:color w:val="231F20"/>
        </w:rPr>
        <w:t>To promote supplier diversity, we have taken various steps internally to increase our work with diverse suppliers in the procurement process, including</w:t>
      </w:r>
      <w:r>
        <w:rPr>
          <w:rFonts w:ascii="Arial" w:cs="Arial" w:eastAsia="Arial" w:hAnsi="Arial"/>
          <w:sz w:val="14"/>
          <w:szCs w:val="14"/>
          <w:b w:val="1"/>
          <w:bCs w:val="1"/>
          <w:color w:val="455986"/>
        </w:rPr>
        <w:t xml:space="preserve"> </w:t>
      </w:r>
      <w:r>
        <w:rPr>
          <w:rFonts w:ascii="Arial" w:cs="Arial" w:eastAsia="Arial" w:hAnsi="Arial"/>
          <w:sz w:val="14"/>
          <w:szCs w:val="14"/>
          <w:color w:val="231F20"/>
        </w:rPr>
        <w:t>regular review of controllable spend categories to expand the use of diverse suppliers, updating our internal purchasing website to encourage greater use of qualified diverse suppliers, working with a leading provider of supplier diversity data and enhancing reporting to better recognize our work with such suppliers.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110490</wp:posOffset>
            </wp:positionV>
            <wp:extent cx="7139940"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39940" cy="8255"/>
                    </a:xfrm>
                    <a:prstGeom prst="rect">
                      <a:avLst/>
                    </a:prstGeom>
                    <a:noFill/>
                  </pic:spPr>
                </pic:pic>
              </a:graphicData>
            </a:graphic>
          </wp:anchor>
        </w:drawing>
      </w:r>
    </w:p>
    <w:p>
      <w:pPr>
        <w:spacing w:after="0" w:line="360" w:lineRule="exact"/>
        <w:rPr>
          <w:sz w:val="20"/>
          <w:szCs w:val="20"/>
          <w:color w:val="auto"/>
        </w:rPr>
      </w:pPr>
    </w:p>
    <w:p>
      <w:pPr>
        <w:ind w:right="340"/>
        <w:spacing w:after="0" w:line="293" w:lineRule="auto"/>
        <w:rPr>
          <w:sz w:val="20"/>
          <w:szCs w:val="20"/>
          <w:color w:val="auto"/>
        </w:rPr>
      </w:pPr>
      <w:r>
        <w:rPr>
          <w:rFonts w:ascii="Arial" w:cs="Arial" w:eastAsia="Arial" w:hAnsi="Arial"/>
          <w:sz w:val="14"/>
          <w:szCs w:val="14"/>
          <w:b w:val="1"/>
          <w:bCs w:val="1"/>
          <w:color w:val="4395D4"/>
        </w:rPr>
        <w:t>More than 62% of the board is diverse, including 37% female directors. Diverse leadership at the highest levels of our company is vital and we seek to promote career advancement and opportunities for all individuals, regardless of background.</w:t>
      </w:r>
    </w:p>
    <w:p>
      <w:pPr>
        <w:spacing w:after="0" w:line="55" w:lineRule="exact"/>
        <w:rPr>
          <w:sz w:val="20"/>
          <w:szCs w:val="20"/>
          <w:color w:val="auto"/>
        </w:rPr>
      </w:pPr>
    </w:p>
    <w:p>
      <w:pPr>
        <w:spacing w:after="0"/>
        <w:rPr>
          <w:sz w:val="20"/>
          <w:szCs w:val="20"/>
          <w:color w:val="auto"/>
        </w:rPr>
      </w:pPr>
      <w:r>
        <w:rPr>
          <w:rFonts w:ascii="Arial" w:cs="Arial" w:eastAsia="Arial" w:hAnsi="Arial"/>
          <w:sz w:val="20"/>
          <w:szCs w:val="20"/>
          <w:b w:val="1"/>
          <w:bCs w:val="1"/>
          <w:color w:val="231F20"/>
        </w:rPr>
        <w:t>Safety &amp; Wellness</w:t>
      </w:r>
    </w:p>
    <w:p>
      <w:pPr>
        <w:spacing w:after="0" w:line="166" w:lineRule="exact"/>
        <w:rPr>
          <w:sz w:val="20"/>
          <w:szCs w:val="20"/>
          <w:color w:val="auto"/>
        </w:rPr>
      </w:pPr>
    </w:p>
    <w:p>
      <w:pPr>
        <w:ind w:right="140"/>
        <w:spacing w:after="0" w:line="253" w:lineRule="auto"/>
        <w:rPr>
          <w:sz w:val="20"/>
          <w:szCs w:val="20"/>
          <w:color w:val="auto"/>
        </w:rPr>
      </w:pPr>
      <w:r>
        <w:rPr>
          <w:rFonts w:ascii="Arial" w:cs="Arial" w:eastAsia="Arial" w:hAnsi="Arial"/>
          <w:sz w:val="14"/>
          <w:szCs w:val="14"/>
          <w:color w:val="231F20"/>
        </w:rPr>
        <w:t>Safety is not just a topic we talk about — it is our top priority, the foundation of our business and what guides all our employees’ actions. We continue to invest in safety improvements, implement policies and procedures, develop technical training and guidelines for our employees, and leverage new tools and technology to improve our maps, records and infrastructure performance. We are focused on identifying and mitigating risk and safeguarding our plants and distribution lines.</w:t>
      </w:r>
    </w:p>
    <w:p>
      <w:pPr>
        <w:spacing w:after="0" w:line="103" w:lineRule="exact"/>
        <w:rPr>
          <w:sz w:val="20"/>
          <w:szCs w:val="20"/>
          <w:color w:val="auto"/>
        </w:rPr>
      </w:pPr>
    </w:p>
    <w:p>
      <w:pPr>
        <w:ind w:right="100"/>
        <w:spacing w:after="0" w:line="278" w:lineRule="auto"/>
        <w:rPr>
          <w:sz w:val="20"/>
          <w:szCs w:val="20"/>
          <w:color w:val="auto"/>
        </w:rPr>
      </w:pPr>
      <w:r>
        <w:rPr>
          <w:rFonts w:ascii="Arial" w:cs="Arial" w:eastAsia="Arial" w:hAnsi="Arial"/>
          <w:sz w:val="14"/>
          <w:szCs w:val="14"/>
          <w:color w:val="231F20"/>
        </w:rPr>
        <w:t>Our employees take actions each day to keep themselves, one another, our customers and our communities safe. Our teams make safety a focus on the job, in meetings, and our surrounding work environments to ensure employees and our customers’ safety is treated with the highest level of concern.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68580</wp:posOffset>
            </wp:positionV>
            <wp:extent cx="5972810" cy="324167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5972810" cy="32416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Arial" w:cs="Arial" w:eastAsia="Arial" w:hAnsi="Arial"/>
          <w:sz w:val="17"/>
          <w:szCs w:val="17"/>
          <w:b w:val="1"/>
          <w:bCs w:val="1"/>
          <w:color w:val="4395D4"/>
        </w:rPr>
        <w:t>2020 Safety Culture Survey</w:t>
      </w:r>
    </w:p>
    <w:p>
      <w:pPr>
        <w:spacing w:after="0" w:line="153" w:lineRule="exact"/>
        <w:rPr>
          <w:sz w:val="20"/>
          <w:szCs w:val="20"/>
          <w:color w:val="auto"/>
        </w:rPr>
      </w:pPr>
    </w:p>
    <w:p>
      <w:pPr>
        <w:ind w:right="80"/>
        <w:spacing w:after="0" w:line="245" w:lineRule="auto"/>
        <w:rPr>
          <w:sz w:val="20"/>
          <w:szCs w:val="20"/>
          <w:color w:val="auto"/>
        </w:rPr>
      </w:pPr>
      <w:r>
        <w:rPr>
          <w:rFonts w:ascii="Arial" w:cs="Arial" w:eastAsia="Arial" w:hAnsi="Arial"/>
          <w:sz w:val="14"/>
          <w:szCs w:val="14"/>
          <w:color w:val="231F20"/>
        </w:rPr>
        <w:t>Additionally, Essential took advantage of the timing of the Company’s acquisition of Peoples to set a baseline for our respective safety cultures by conducting a Safety Culture Survey. This survey was conducted by a third party and provided us an opportunity to obtain feedback on safety from our employees, which have assisted us in obtaining clear insight into our strengths and opportunities for improvement. 77% of our workforce participated in the survey and of their responses, 89% showed positive perceptions of our safety programs, leadership and employee engagement.</w:t>
      </w:r>
    </w:p>
    <w:p>
      <w:pPr>
        <w:spacing w:after="0" w:line="108" w:lineRule="exact"/>
        <w:rPr>
          <w:sz w:val="20"/>
          <w:szCs w:val="20"/>
          <w:color w:val="auto"/>
        </w:rPr>
      </w:pPr>
    </w:p>
    <w:p>
      <w:pPr>
        <w:ind w:right="520"/>
        <w:spacing w:after="0" w:line="253" w:lineRule="auto"/>
        <w:rPr>
          <w:sz w:val="20"/>
          <w:szCs w:val="20"/>
          <w:color w:val="auto"/>
        </w:rPr>
      </w:pPr>
      <w:r>
        <w:rPr>
          <w:rFonts w:ascii="Arial" w:cs="Arial" w:eastAsia="Arial" w:hAnsi="Arial"/>
          <w:sz w:val="14"/>
          <w:szCs w:val="14"/>
          <w:color w:val="231F20"/>
        </w:rPr>
        <w:t>In fact, our workplace is safer. Since 2015, our safety record has improved significantly. Our lost time and restricted incidents are down 52% and our responsible vehicle accidents have declined by 30%. To incentivize managers to promote a safe environment, these metrics, among others, are incorporated in management’s incentive compensation plans and are further discussed in the CD&amp;A Section beginning on page 52 of this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103505</wp:posOffset>
            </wp:positionV>
            <wp:extent cx="7139940"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39940" cy="8255"/>
                    </a:xfrm>
                    <a:prstGeom prst="rect">
                      <a:avLst/>
                    </a:prstGeom>
                    <a:noFill/>
                  </pic:spPr>
                </pic:pic>
              </a:graphicData>
            </a:graphic>
          </wp:anchor>
        </w:drawing>
      </w:r>
    </w:p>
    <w:p>
      <w:pPr>
        <w:spacing w:after="0" w:line="189" w:lineRule="exact"/>
        <w:rPr>
          <w:sz w:val="20"/>
          <w:szCs w:val="20"/>
          <w:color w:val="auto"/>
        </w:rPr>
      </w:pPr>
    </w:p>
    <w:p>
      <w:pPr>
        <w:jc w:val="right"/>
        <w:spacing w:after="0"/>
        <w:tabs>
          <w:tab w:leader="none" w:pos="140" w:val="left"/>
        </w:tabs>
        <w:rPr>
          <w:sz w:val="20"/>
          <w:szCs w:val="20"/>
          <w:color w:val="auto"/>
        </w:rPr>
      </w:pPr>
      <w:r>
        <w:rPr>
          <w:rFonts w:ascii="Arial" w:cs="Arial" w:eastAsia="Arial" w:hAnsi="Arial"/>
          <w:sz w:val="12"/>
          <w:szCs w:val="12"/>
          <w:color w:val="4395D4"/>
        </w:rPr>
        <w:t xml:space="preserve">ESSENTIAL UTILITIES, INC. </w:t>
      </w:r>
      <w:r>
        <w:rPr>
          <w:rFonts w:ascii="Arial" w:cs="Arial" w:eastAsia="Arial" w:hAnsi="Arial"/>
          <w:sz w:val="12"/>
          <w:szCs w:val="12"/>
          <w:color w:val="455986"/>
        </w:rPr>
        <w:t>2021 PROXY STATEMENT</w:t>
      </w:r>
      <w:r>
        <w:rPr>
          <w:sz w:val="20"/>
          <w:szCs w:val="20"/>
          <w:color w:val="auto"/>
        </w:rPr>
        <w:tab/>
      </w:r>
      <w:r>
        <w:rPr>
          <w:rFonts w:ascii="Arial" w:cs="Arial" w:eastAsia="Arial" w:hAnsi="Arial"/>
          <w:sz w:val="14"/>
          <w:szCs w:val="14"/>
          <w:color w:val="455986"/>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346710</wp:posOffset>
            </wp:positionV>
            <wp:extent cx="7139940" cy="2413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39940" cy="24130"/>
                    </a:xfrm>
                    <a:prstGeom prst="rect">
                      <a:avLst/>
                    </a:prstGeom>
                    <a:noFill/>
                  </pic:spPr>
                </pic:pic>
              </a:graphicData>
            </a:graphic>
          </wp:anchor>
        </w:drawing>
      </w:r>
    </w:p>
    <w:p>
      <w:pPr>
        <w:sectPr>
          <w:pgSz w:w="11900" w:h="16838" w:orient="portrait"/>
          <w:cols w:equalWidth="0" w:num="1">
            <w:col w:w="11240"/>
          </w:cols>
          <w:pgMar w:left="320" w:top="636" w:right="339" w:bottom="1440" w:gutter="0" w:footer="0" w:header="0"/>
        </w:sectPr>
      </w:pPr>
    </w:p>
    <w:bookmarkStart w:id="32" w:name="page33"/>
    <w:bookmarkEnd w:id="32"/>
    <w:p>
      <w:pPr>
        <w:spacing w:after="0"/>
        <w:rPr>
          <w:sz w:val="20"/>
          <w:szCs w:val="20"/>
          <w:color w:val="auto"/>
        </w:rPr>
      </w:pPr>
      <w:r>
        <w:rPr>
          <w:rFonts w:ascii="Arial" w:cs="Arial" w:eastAsia="Arial" w:hAnsi="Arial"/>
          <w:sz w:val="14"/>
          <w:szCs w:val="14"/>
          <w:b w:val="1"/>
          <w:bCs w:val="1"/>
          <w:color w:val="455986"/>
        </w:rPr>
        <w:t>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27940</wp:posOffset>
            </wp:positionV>
            <wp:extent cx="7139940"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39940" cy="8255"/>
                    </a:xfrm>
                    <a:prstGeom prst="rect">
                      <a:avLst/>
                    </a:prstGeom>
                    <a:noFill/>
                  </pic:spPr>
                </pic:pic>
              </a:graphicData>
            </a:graphic>
          </wp:anchor>
        </w:drawing>
      </w:r>
    </w:p>
    <w:p>
      <w:pPr>
        <w:spacing w:after="0" w:line="76" w:lineRule="exact"/>
        <w:rPr>
          <w:sz w:val="20"/>
          <w:szCs w:val="20"/>
          <w:color w:val="auto"/>
        </w:rPr>
      </w:pPr>
    </w:p>
    <w:p>
      <w:pPr>
        <w:spacing w:after="0"/>
        <w:rPr>
          <w:sz w:val="20"/>
          <w:szCs w:val="20"/>
          <w:color w:val="auto"/>
        </w:rPr>
      </w:pPr>
      <w:r>
        <w:rPr>
          <w:rFonts w:ascii="Arial" w:cs="Arial" w:eastAsia="Arial" w:hAnsi="Arial"/>
          <w:sz w:val="14"/>
          <w:szCs w:val="14"/>
          <w:color w:val="231F20"/>
        </w:rPr>
        <w:t>Environmental Stewardship and Corporate Responsibility</w:t>
      </w:r>
    </w:p>
    <w:p>
      <w:pPr>
        <w:spacing w:after="0" w:line="174" w:lineRule="exact"/>
        <w:rPr>
          <w:sz w:val="20"/>
          <w:szCs w:val="20"/>
          <w:color w:val="auto"/>
        </w:rPr>
      </w:pPr>
    </w:p>
    <w:p>
      <w:pPr>
        <w:ind w:right="100"/>
        <w:spacing w:after="0" w:line="245" w:lineRule="auto"/>
        <w:rPr>
          <w:sz w:val="20"/>
          <w:szCs w:val="20"/>
          <w:color w:val="auto"/>
        </w:rPr>
      </w:pPr>
      <w:r>
        <w:rPr>
          <w:rFonts w:ascii="Arial" w:cs="Arial" w:eastAsia="Arial" w:hAnsi="Arial"/>
          <w:sz w:val="14"/>
          <w:szCs w:val="14"/>
          <w:color w:val="231F20"/>
        </w:rPr>
        <w:t>The health of our employees is just as important to us as is their safety. We provide access to a variety of innovative, flexible, and convenient employee health and wellness programs. We proactively conduct communications outreach to our employees and their family members on health topics that are relevant to them. With the focus on mental health becoming more of a central part of an employee’s well-being, we have added additional resources and counseling access for employees and their families to utilize and ensure employees and their dependents take care of themselves.</w:t>
      </w:r>
    </w:p>
    <w:p>
      <w:pPr>
        <w:spacing w:after="0" w:line="95" w:lineRule="exact"/>
        <w:rPr>
          <w:sz w:val="20"/>
          <w:szCs w:val="20"/>
          <w:color w:val="auto"/>
        </w:rPr>
      </w:pPr>
    </w:p>
    <w:p>
      <w:pPr>
        <w:spacing w:after="0"/>
        <w:rPr>
          <w:sz w:val="20"/>
          <w:szCs w:val="20"/>
          <w:color w:val="auto"/>
        </w:rPr>
      </w:pPr>
      <w:r>
        <w:rPr>
          <w:rFonts w:ascii="Arial" w:cs="Arial" w:eastAsia="Arial" w:hAnsi="Arial"/>
          <w:sz w:val="20"/>
          <w:szCs w:val="20"/>
          <w:b w:val="1"/>
          <w:bCs w:val="1"/>
          <w:color w:val="231F20"/>
        </w:rPr>
        <w:t>Customer Satisfaction</w:t>
      </w:r>
    </w:p>
    <w:p>
      <w:pPr>
        <w:spacing w:after="0" w:line="166" w:lineRule="exact"/>
        <w:rPr>
          <w:sz w:val="20"/>
          <w:szCs w:val="20"/>
          <w:color w:val="auto"/>
        </w:rPr>
      </w:pPr>
    </w:p>
    <w:p>
      <w:pPr>
        <w:ind w:right="20"/>
        <w:spacing w:after="0" w:line="245" w:lineRule="auto"/>
        <w:rPr>
          <w:sz w:val="20"/>
          <w:szCs w:val="20"/>
          <w:color w:val="auto"/>
        </w:rPr>
      </w:pPr>
      <w:r>
        <w:rPr>
          <w:rFonts w:ascii="Arial" w:cs="Arial" w:eastAsia="Arial" w:hAnsi="Arial"/>
          <w:sz w:val="14"/>
          <w:szCs w:val="14"/>
          <w:color w:val="231F20"/>
        </w:rPr>
        <w:t>We are focused on improving the customer experience. Our capital investments are designed to enhance our customers’ experience and ensure smooth interaction with our utilities. Over the past year, the Company has been hard at work developing and implementing a formal customer experience (CX) program with the goal of improving customer service across all states and sectors. At the end of 2019, the Company formally launched the CX program and has taken several steps in identifying and implementing important operational changes to improve customer service across Essential.</w:t>
      </w:r>
    </w:p>
    <w:p>
      <w:pPr>
        <w:spacing w:after="0" w:line="108" w:lineRule="exact"/>
        <w:rPr>
          <w:sz w:val="20"/>
          <w:szCs w:val="20"/>
          <w:color w:val="auto"/>
        </w:rPr>
      </w:pPr>
    </w:p>
    <w:p>
      <w:pPr>
        <w:ind w:right="120"/>
        <w:spacing w:after="0"/>
        <w:rPr>
          <w:sz w:val="20"/>
          <w:szCs w:val="20"/>
          <w:color w:val="auto"/>
        </w:rPr>
      </w:pPr>
      <w:r>
        <w:rPr>
          <w:rFonts w:ascii="Arial" w:cs="Arial" w:eastAsia="Arial" w:hAnsi="Arial"/>
          <w:sz w:val="14"/>
          <w:szCs w:val="14"/>
          <w:color w:val="231F20"/>
        </w:rPr>
        <w:t>In an effort to better understand how the Company perceives customer experience through an internal lens and identify areas of success and improvement opportunities, we mapped every touchpoint residential water customers have with the Company from the time they start service, turn on their faucet, pay a bill and every other possible interaction they may have with us. In early 2020, we released a customer survey across all states to directly hear from customers about their experiences with the Company’s service. With this enlightening feedback, we are determined to improve water quality communication and education, to better communicate emergency and outage events and to provide better scheduling options for our customers.</w:t>
      </w:r>
    </w:p>
    <w:p>
      <w:pPr>
        <w:spacing w:after="0" w:line="114" w:lineRule="exact"/>
        <w:rPr>
          <w:sz w:val="20"/>
          <w:szCs w:val="20"/>
          <w:color w:val="auto"/>
        </w:rPr>
      </w:pPr>
    </w:p>
    <w:p>
      <w:pPr>
        <w:jc w:val="both"/>
        <w:ind w:right="640"/>
        <w:spacing w:after="0" w:line="253" w:lineRule="auto"/>
        <w:rPr>
          <w:sz w:val="20"/>
          <w:szCs w:val="20"/>
          <w:color w:val="auto"/>
        </w:rPr>
      </w:pPr>
      <w:r>
        <w:rPr>
          <w:rFonts w:ascii="Arial" w:cs="Arial" w:eastAsia="Arial" w:hAnsi="Arial"/>
          <w:sz w:val="14"/>
          <w:szCs w:val="14"/>
          <w:color w:val="231F20"/>
        </w:rPr>
        <w:t>As a result of our customer’s feedback, the Company launched a number of cross-functional working groups focused on improving communication with our customers regarding outage and boil water notices, implementing proactive customer appointment confirmations, providing education about water quality concerns and exploring technologies we can leverage to better communicate with our customers.</w:t>
      </w:r>
    </w:p>
    <w:p>
      <w:pPr>
        <w:spacing w:after="0" w:line="106" w:lineRule="exact"/>
        <w:rPr>
          <w:sz w:val="20"/>
          <w:szCs w:val="20"/>
          <w:color w:val="auto"/>
        </w:rPr>
      </w:pPr>
    </w:p>
    <w:p>
      <w:pPr>
        <w:spacing w:after="0"/>
        <w:rPr>
          <w:sz w:val="20"/>
          <w:szCs w:val="20"/>
          <w:color w:val="auto"/>
        </w:rPr>
      </w:pPr>
      <w:r>
        <w:rPr>
          <w:rFonts w:ascii="Arial" w:cs="Arial" w:eastAsia="Arial" w:hAnsi="Arial"/>
          <w:sz w:val="15"/>
          <w:szCs w:val="15"/>
          <w:b w:val="1"/>
          <w:bCs w:val="1"/>
          <w:color w:val="231F20"/>
        </w:rPr>
        <w:t>New 2020 Customer Satisfaction Initiatives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113030</wp:posOffset>
            </wp:positionV>
            <wp:extent cx="7139940"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39940" cy="8255"/>
                    </a:xfrm>
                    <a:prstGeom prst="rect">
                      <a:avLst/>
                    </a:prstGeom>
                    <a:noFill/>
                  </pic:spPr>
                </pic:pic>
              </a:graphicData>
            </a:graphic>
          </wp:anchor>
        </w:drawing>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220" w:type="dxa"/>
            <w:vAlign w:val="bottom"/>
          </w:tcPr>
          <w:p>
            <w:pPr>
              <w:spacing w:after="0"/>
              <w:rPr>
                <w:sz w:val="20"/>
                <w:szCs w:val="20"/>
                <w:color w:val="auto"/>
              </w:rPr>
            </w:pPr>
            <w:r>
              <w:rPr>
                <w:rFonts w:ascii="Arial" w:cs="Arial" w:eastAsia="Arial" w:hAnsi="Arial"/>
                <w:sz w:val="14"/>
                <w:szCs w:val="14"/>
                <w:b w:val="1"/>
                <w:bCs w:val="1"/>
                <w:color w:val="455986"/>
              </w:rPr>
              <w:t>Contact Center Survey</w:t>
            </w:r>
          </w:p>
        </w:tc>
        <w:tc>
          <w:tcPr>
            <w:tcW w:w="9020" w:type="dxa"/>
            <w:vAlign w:val="bottom"/>
          </w:tcPr>
          <w:p>
            <w:pPr>
              <w:ind w:left="480"/>
              <w:spacing w:after="0"/>
              <w:rPr>
                <w:sz w:val="20"/>
                <w:szCs w:val="20"/>
                <w:color w:val="auto"/>
              </w:rPr>
            </w:pPr>
            <w:r>
              <w:rPr>
                <w:rFonts w:ascii="Arial" w:cs="Arial" w:eastAsia="Arial" w:hAnsi="Arial"/>
                <w:sz w:val="14"/>
                <w:szCs w:val="14"/>
                <w:color w:val="231F20"/>
              </w:rPr>
              <w:t>The Survey measures customer experience based on a specific interaction with our contact center or field services. With this survey,</w:t>
            </w:r>
          </w:p>
        </w:tc>
      </w:tr>
      <w:tr>
        <w:trPr>
          <w:trHeight w:val="153"/>
        </w:trPr>
        <w:tc>
          <w:tcPr>
            <w:tcW w:w="2220" w:type="dxa"/>
            <w:vAlign w:val="bottom"/>
          </w:tcPr>
          <w:p>
            <w:pPr>
              <w:spacing w:after="0"/>
              <w:rPr>
                <w:sz w:val="13"/>
                <w:szCs w:val="13"/>
                <w:color w:val="auto"/>
              </w:rPr>
            </w:pPr>
          </w:p>
        </w:tc>
        <w:tc>
          <w:tcPr>
            <w:tcW w:w="9020" w:type="dxa"/>
            <w:vAlign w:val="bottom"/>
          </w:tcPr>
          <w:p>
            <w:pPr>
              <w:ind w:left="480"/>
              <w:spacing w:after="0" w:line="153" w:lineRule="exact"/>
              <w:rPr>
                <w:sz w:val="20"/>
                <w:szCs w:val="20"/>
                <w:color w:val="auto"/>
              </w:rPr>
            </w:pPr>
            <w:r>
              <w:rPr>
                <w:rFonts w:ascii="Arial" w:cs="Arial" w:eastAsia="Arial" w:hAnsi="Arial"/>
                <w:sz w:val="14"/>
                <w:szCs w:val="14"/>
                <w:color w:val="231F20"/>
              </w:rPr>
              <w:t>we can respond to customer concerns in an efficient and customer-centric manner, helping us communicate with customers during</w:t>
            </w:r>
          </w:p>
        </w:tc>
      </w:tr>
      <w:tr>
        <w:trPr>
          <w:trHeight w:val="197"/>
        </w:trPr>
        <w:tc>
          <w:tcPr>
            <w:tcW w:w="2220" w:type="dxa"/>
            <w:vAlign w:val="bottom"/>
            <w:tcBorders>
              <w:bottom w:val="single" w:sz="8" w:color="231F20"/>
            </w:tcBorders>
          </w:tcPr>
          <w:p>
            <w:pPr>
              <w:spacing w:after="0"/>
              <w:rPr>
                <w:sz w:val="17"/>
                <w:szCs w:val="17"/>
                <w:color w:val="auto"/>
              </w:rPr>
            </w:pPr>
          </w:p>
        </w:tc>
        <w:tc>
          <w:tcPr>
            <w:tcW w:w="9020" w:type="dxa"/>
            <w:vAlign w:val="bottom"/>
            <w:tcBorders>
              <w:bottom w:val="single" w:sz="8" w:color="231F20"/>
            </w:tcBorders>
          </w:tcPr>
          <w:p>
            <w:pPr>
              <w:ind w:left="480"/>
              <w:spacing w:after="0"/>
              <w:rPr>
                <w:sz w:val="20"/>
                <w:szCs w:val="20"/>
                <w:color w:val="auto"/>
              </w:rPr>
            </w:pPr>
            <w:r>
              <w:rPr>
                <w:rFonts w:ascii="Arial" w:cs="Arial" w:eastAsia="Arial" w:hAnsi="Arial"/>
                <w:sz w:val="14"/>
                <w:szCs w:val="14"/>
                <w:color w:val="231F20"/>
              </w:rPr>
              <w:t>the COVID-19 pandemic.</w:t>
            </w:r>
          </w:p>
        </w:tc>
      </w:tr>
      <w:tr>
        <w:trPr>
          <w:trHeight w:val="153"/>
        </w:trPr>
        <w:tc>
          <w:tcPr>
            <w:tcW w:w="2220" w:type="dxa"/>
            <w:vAlign w:val="bottom"/>
          </w:tcPr>
          <w:p>
            <w:pPr>
              <w:spacing w:after="0" w:line="153" w:lineRule="exact"/>
              <w:rPr>
                <w:sz w:val="20"/>
                <w:szCs w:val="20"/>
                <w:color w:val="auto"/>
              </w:rPr>
            </w:pPr>
            <w:r>
              <w:rPr>
                <w:rFonts w:ascii="Arial" w:cs="Arial" w:eastAsia="Arial" w:hAnsi="Arial"/>
                <w:sz w:val="14"/>
                <w:szCs w:val="14"/>
                <w:b w:val="1"/>
                <w:bCs w:val="1"/>
                <w:color w:val="455986"/>
              </w:rPr>
              <w:t>Customer Voice program</w:t>
            </w:r>
          </w:p>
        </w:tc>
        <w:tc>
          <w:tcPr>
            <w:tcW w:w="9020" w:type="dxa"/>
            <w:vAlign w:val="bottom"/>
          </w:tcPr>
          <w:p>
            <w:pPr>
              <w:ind w:left="480"/>
              <w:spacing w:after="0" w:line="153" w:lineRule="exact"/>
              <w:rPr>
                <w:sz w:val="20"/>
                <w:szCs w:val="20"/>
                <w:color w:val="auto"/>
              </w:rPr>
            </w:pPr>
            <w:r>
              <w:rPr>
                <w:rFonts w:ascii="Arial" w:cs="Arial" w:eastAsia="Arial" w:hAnsi="Arial"/>
                <w:sz w:val="14"/>
                <w:szCs w:val="14"/>
                <w:color w:val="231F20"/>
              </w:rPr>
              <w:t>This initiative builds on the already strong service we provide our customers and will ensure that we all keep customers’ perspectives</w:t>
            </w:r>
          </w:p>
        </w:tc>
      </w:tr>
      <w:tr>
        <w:trPr>
          <w:trHeight w:val="153"/>
        </w:trPr>
        <w:tc>
          <w:tcPr>
            <w:tcW w:w="2220" w:type="dxa"/>
            <w:vAlign w:val="bottom"/>
          </w:tcPr>
          <w:p>
            <w:pPr>
              <w:spacing w:after="0"/>
              <w:rPr>
                <w:sz w:val="13"/>
                <w:szCs w:val="13"/>
                <w:color w:val="auto"/>
              </w:rPr>
            </w:pPr>
          </w:p>
        </w:tc>
        <w:tc>
          <w:tcPr>
            <w:tcW w:w="9020" w:type="dxa"/>
            <w:vAlign w:val="bottom"/>
          </w:tcPr>
          <w:p>
            <w:pPr>
              <w:ind w:left="480"/>
              <w:spacing w:after="0" w:line="153" w:lineRule="exact"/>
              <w:rPr>
                <w:sz w:val="20"/>
                <w:szCs w:val="20"/>
                <w:color w:val="auto"/>
              </w:rPr>
            </w:pPr>
            <w:r>
              <w:rPr>
                <w:rFonts w:ascii="Arial" w:cs="Arial" w:eastAsia="Arial" w:hAnsi="Arial"/>
                <w:sz w:val="14"/>
                <w:szCs w:val="14"/>
                <w:color w:val="231F20"/>
              </w:rPr>
              <w:t>in mind during decision making. Under the initiative, employees are asked to designate one co-worker in each meeting to represent</w:t>
            </w:r>
          </w:p>
        </w:tc>
      </w:tr>
      <w:tr>
        <w:trPr>
          <w:trHeight w:val="197"/>
        </w:trPr>
        <w:tc>
          <w:tcPr>
            <w:tcW w:w="2220" w:type="dxa"/>
            <w:vAlign w:val="bottom"/>
            <w:tcBorders>
              <w:bottom w:val="single" w:sz="8" w:color="231F20"/>
            </w:tcBorders>
          </w:tcPr>
          <w:p>
            <w:pPr>
              <w:spacing w:after="0"/>
              <w:rPr>
                <w:sz w:val="17"/>
                <w:szCs w:val="17"/>
                <w:color w:val="auto"/>
              </w:rPr>
            </w:pPr>
          </w:p>
        </w:tc>
        <w:tc>
          <w:tcPr>
            <w:tcW w:w="9020" w:type="dxa"/>
            <w:vAlign w:val="bottom"/>
            <w:tcBorders>
              <w:bottom w:val="single" w:sz="8" w:color="231F20"/>
            </w:tcBorders>
          </w:tcPr>
          <w:p>
            <w:pPr>
              <w:ind w:left="480"/>
              <w:spacing w:after="0"/>
              <w:rPr>
                <w:sz w:val="20"/>
                <w:szCs w:val="20"/>
                <w:color w:val="auto"/>
              </w:rPr>
            </w:pPr>
            <w:r>
              <w:rPr>
                <w:rFonts w:ascii="Arial" w:cs="Arial" w:eastAsia="Arial" w:hAnsi="Arial"/>
                <w:sz w:val="14"/>
                <w:szCs w:val="14"/>
                <w:color w:val="231F20"/>
              </w:rPr>
              <w:t>the customer’s voice.</w:t>
            </w:r>
          </w:p>
        </w:tc>
      </w:tr>
      <w:tr>
        <w:trPr>
          <w:trHeight w:val="153"/>
        </w:trPr>
        <w:tc>
          <w:tcPr>
            <w:tcW w:w="2220" w:type="dxa"/>
            <w:vAlign w:val="bottom"/>
          </w:tcPr>
          <w:p>
            <w:pPr>
              <w:spacing w:after="0" w:line="153" w:lineRule="exact"/>
              <w:rPr>
                <w:sz w:val="20"/>
                <w:szCs w:val="20"/>
                <w:color w:val="auto"/>
              </w:rPr>
            </w:pPr>
            <w:r>
              <w:rPr>
                <w:rFonts w:ascii="Arial" w:cs="Arial" w:eastAsia="Arial" w:hAnsi="Arial"/>
                <w:sz w:val="14"/>
                <w:szCs w:val="14"/>
                <w:b w:val="1"/>
                <w:bCs w:val="1"/>
                <w:color w:val="455986"/>
              </w:rPr>
              <w:t>Launched ChatBot</w:t>
            </w:r>
          </w:p>
        </w:tc>
        <w:tc>
          <w:tcPr>
            <w:tcW w:w="9020" w:type="dxa"/>
            <w:vAlign w:val="bottom"/>
          </w:tcPr>
          <w:p>
            <w:pPr>
              <w:ind w:left="480"/>
              <w:spacing w:after="0" w:line="153" w:lineRule="exact"/>
              <w:rPr>
                <w:sz w:val="20"/>
                <w:szCs w:val="20"/>
                <w:color w:val="auto"/>
              </w:rPr>
            </w:pPr>
            <w:r>
              <w:rPr>
                <w:rFonts w:ascii="Arial" w:cs="Arial" w:eastAsia="Arial" w:hAnsi="Arial"/>
                <w:sz w:val="14"/>
                <w:szCs w:val="14"/>
                <w:color w:val="231F20"/>
              </w:rPr>
              <w:t>ChatBot gives customers the opportunity to text instead of using voice. Customers can check their account balance, make a</w:t>
            </w:r>
          </w:p>
        </w:tc>
      </w:tr>
      <w:tr>
        <w:trPr>
          <w:trHeight w:val="153"/>
        </w:trPr>
        <w:tc>
          <w:tcPr>
            <w:tcW w:w="2220" w:type="dxa"/>
            <w:vAlign w:val="bottom"/>
          </w:tcPr>
          <w:p>
            <w:pPr>
              <w:spacing w:after="0"/>
              <w:rPr>
                <w:sz w:val="13"/>
                <w:szCs w:val="13"/>
                <w:color w:val="auto"/>
              </w:rPr>
            </w:pPr>
          </w:p>
        </w:tc>
        <w:tc>
          <w:tcPr>
            <w:tcW w:w="9020" w:type="dxa"/>
            <w:vAlign w:val="bottom"/>
          </w:tcPr>
          <w:p>
            <w:pPr>
              <w:ind w:left="480"/>
              <w:spacing w:after="0" w:line="153" w:lineRule="exact"/>
              <w:rPr>
                <w:sz w:val="20"/>
                <w:szCs w:val="20"/>
                <w:color w:val="auto"/>
              </w:rPr>
            </w:pPr>
            <w:r>
              <w:rPr>
                <w:rFonts w:ascii="Arial" w:cs="Arial" w:eastAsia="Arial" w:hAnsi="Arial"/>
                <w:sz w:val="14"/>
                <w:szCs w:val="14"/>
                <w:color w:val="231F20"/>
              </w:rPr>
              <w:t>payment, enroll in Budget Billing, request a duplicate bill, request a statement of account or report a meter reading. To ensure a</w:t>
            </w:r>
          </w:p>
        </w:tc>
      </w:tr>
      <w:tr>
        <w:trPr>
          <w:trHeight w:val="197"/>
        </w:trPr>
        <w:tc>
          <w:tcPr>
            <w:tcW w:w="2220" w:type="dxa"/>
            <w:vAlign w:val="bottom"/>
            <w:tcBorders>
              <w:bottom w:val="single" w:sz="8" w:color="231F20"/>
            </w:tcBorders>
          </w:tcPr>
          <w:p>
            <w:pPr>
              <w:spacing w:after="0"/>
              <w:rPr>
                <w:sz w:val="17"/>
                <w:szCs w:val="17"/>
                <w:color w:val="auto"/>
              </w:rPr>
            </w:pPr>
          </w:p>
        </w:tc>
        <w:tc>
          <w:tcPr>
            <w:tcW w:w="9020" w:type="dxa"/>
            <w:vAlign w:val="bottom"/>
            <w:tcBorders>
              <w:bottom w:val="single" w:sz="8" w:color="231F20"/>
            </w:tcBorders>
          </w:tcPr>
          <w:p>
            <w:pPr>
              <w:ind w:left="480"/>
              <w:spacing w:after="0"/>
              <w:rPr>
                <w:sz w:val="20"/>
                <w:szCs w:val="20"/>
                <w:color w:val="auto"/>
              </w:rPr>
            </w:pPr>
            <w:r>
              <w:rPr>
                <w:rFonts w:ascii="Arial" w:cs="Arial" w:eastAsia="Arial" w:hAnsi="Arial"/>
                <w:sz w:val="14"/>
                <w:szCs w:val="14"/>
                <w:color w:val="231F20"/>
              </w:rPr>
              <w:t>seamless experience, these options are the same regardless of the channel they choose</w:t>
            </w:r>
          </w:p>
        </w:tc>
      </w:tr>
    </w:tbl>
    <w:p>
      <w:pPr>
        <w:spacing w:after="0" w:line="132" w:lineRule="exact"/>
        <w:rPr>
          <w:sz w:val="20"/>
          <w:szCs w:val="20"/>
          <w:color w:val="auto"/>
        </w:rPr>
      </w:pPr>
    </w:p>
    <w:p>
      <w:pPr>
        <w:ind w:right="560"/>
        <w:spacing w:after="0" w:line="278" w:lineRule="auto"/>
        <w:rPr>
          <w:sz w:val="20"/>
          <w:szCs w:val="20"/>
          <w:color w:val="auto"/>
        </w:rPr>
      </w:pPr>
      <w:r>
        <w:rPr>
          <w:rFonts w:ascii="Arial" w:cs="Arial" w:eastAsia="Arial" w:hAnsi="Arial"/>
          <w:sz w:val="14"/>
          <w:szCs w:val="14"/>
          <w:color w:val="231F20"/>
        </w:rPr>
        <w:t>In conjunction with our customer engagement project, we participated in several J.D. Power customer satisfaction reports which provide industry standards in customer satisfaction. During 2020, the Company was ranked #2 in the Northeast and #3 in the South and Midwest achieving higher performance as compared to 2019.</w:t>
      </w:r>
    </w:p>
    <w:p>
      <w:pPr>
        <w:spacing w:after="0" w:line="86" w:lineRule="exact"/>
        <w:rPr>
          <w:sz w:val="20"/>
          <w:szCs w:val="20"/>
          <w:color w:val="auto"/>
        </w:rPr>
      </w:pPr>
    </w:p>
    <w:p>
      <w:pPr>
        <w:spacing w:after="0" w:line="253" w:lineRule="auto"/>
        <w:rPr>
          <w:sz w:val="20"/>
          <w:szCs w:val="20"/>
          <w:color w:val="auto"/>
        </w:rPr>
      </w:pPr>
      <w:r>
        <w:rPr>
          <w:rFonts w:ascii="Arial" w:cs="Arial" w:eastAsia="Arial" w:hAnsi="Arial"/>
          <w:sz w:val="14"/>
          <w:szCs w:val="14"/>
          <w:color w:val="auto"/>
        </w:rPr>
        <w:t>An important piece to providing excellent service is having the right tools and performance to meet and/or exceed customer expectations. In 2020 we began rolling out a system enhancement to our front-end users. These enhancements were designed to reduce clicks and make maneuvering easier for our Customer Service Representatives, which in turn increases customer satisfaction.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95250</wp:posOffset>
            </wp:positionV>
            <wp:extent cx="7139940"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39940" cy="8255"/>
                    </a:xfrm>
                    <a:prstGeom prst="rect">
                      <a:avLst/>
                    </a:prstGeom>
                    <a:noFill/>
                  </pic:spPr>
                </pic:pic>
              </a:graphicData>
            </a:graphic>
          </wp:anchor>
        </w:drawing>
      </w:r>
    </w:p>
    <w:p>
      <w:pPr>
        <w:spacing w:after="0" w:line="200" w:lineRule="exact"/>
        <w:rPr>
          <w:sz w:val="20"/>
          <w:szCs w:val="20"/>
          <w:color w:val="auto"/>
        </w:rPr>
      </w:pPr>
    </w:p>
    <w:p>
      <w:pPr>
        <w:ind w:left="300" w:hanging="298"/>
        <w:spacing w:after="0"/>
        <w:tabs>
          <w:tab w:leader="none" w:pos="300" w:val="left"/>
        </w:tabs>
        <w:numPr>
          <w:ilvl w:val="0"/>
          <w:numId w:val="66"/>
        </w:numPr>
        <w:rPr>
          <w:rFonts w:ascii="Arial" w:cs="Arial" w:eastAsia="Arial" w:hAnsi="Arial"/>
          <w:sz w:val="15"/>
          <w:szCs w:val="15"/>
          <w:color w:val="455986"/>
        </w:rPr>
      </w:pPr>
      <w:r>
        <w:rPr>
          <w:rFonts w:ascii="Arial" w:cs="Arial" w:eastAsia="Arial" w:hAnsi="Arial"/>
          <w:sz w:val="12"/>
          <w:szCs w:val="12"/>
          <w:color w:val="4395D4"/>
        </w:rPr>
        <w:t xml:space="preserve">ESSENTIAL UTILITIES, INC. </w:t>
      </w:r>
      <w:r>
        <w:rPr>
          <w:rFonts w:ascii="Arial" w:cs="Arial" w:eastAsia="Arial" w:hAnsi="Arial"/>
          <w:sz w:val="12"/>
          <w:szCs w:val="12"/>
          <w:color w:val="455986"/>
        </w:rPr>
        <w:t>2021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316230</wp:posOffset>
            </wp:positionV>
            <wp:extent cx="7139940" cy="2413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39940" cy="24130"/>
                    </a:xfrm>
                    <a:prstGeom prst="rect">
                      <a:avLst/>
                    </a:prstGeom>
                    <a:noFill/>
                  </pic:spPr>
                </pic:pic>
              </a:graphicData>
            </a:graphic>
          </wp:anchor>
        </w:drawing>
      </w:r>
    </w:p>
    <w:p>
      <w:pPr>
        <w:sectPr>
          <w:pgSz w:w="11900" w:h="16838" w:orient="portrait"/>
          <w:cols w:equalWidth="0" w:num="1">
            <w:col w:w="11240"/>
          </w:cols>
          <w:pgMar w:left="320" w:top="636" w:right="339" w:bottom="1440" w:gutter="0" w:footer="0" w:header="0"/>
        </w:sectPr>
      </w:pPr>
    </w:p>
    <w:bookmarkStart w:id="33" w:name="page34"/>
    <w:bookmarkEnd w:id="33"/>
    <w:p>
      <w:pPr>
        <w:spacing w:after="0"/>
        <w:rPr>
          <w:sz w:val="20"/>
          <w:szCs w:val="20"/>
          <w:color w:val="auto"/>
        </w:rPr>
      </w:pPr>
      <w:r>
        <w:rPr>
          <w:rFonts w:ascii="Arial" w:cs="Arial" w:eastAsia="Arial" w:hAnsi="Arial"/>
          <w:sz w:val="14"/>
          <w:szCs w:val="14"/>
          <w:b w:val="1"/>
          <w:bCs w:val="1"/>
          <w:color w:val="455986"/>
        </w:rPr>
        <w:t>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27940</wp:posOffset>
            </wp:positionV>
            <wp:extent cx="7139940"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39940" cy="8255"/>
                    </a:xfrm>
                    <a:prstGeom prst="rect">
                      <a:avLst/>
                    </a:prstGeom>
                    <a:noFill/>
                  </pic:spPr>
                </pic:pic>
              </a:graphicData>
            </a:graphic>
          </wp:anchor>
        </w:drawing>
      </w:r>
    </w:p>
    <w:p>
      <w:pPr>
        <w:spacing w:after="0" w:line="76" w:lineRule="exact"/>
        <w:rPr>
          <w:sz w:val="20"/>
          <w:szCs w:val="20"/>
          <w:color w:val="auto"/>
        </w:rPr>
      </w:pPr>
    </w:p>
    <w:p>
      <w:pPr>
        <w:spacing w:after="0"/>
        <w:rPr>
          <w:sz w:val="20"/>
          <w:szCs w:val="20"/>
          <w:color w:val="auto"/>
        </w:rPr>
      </w:pPr>
      <w:r>
        <w:rPr>
          <w:rFonts w:ascii="Arial" w:cs="Arial" w:eastAsia="Arial" w:hAnsi="Arial"/>
          <w:sz w:val="14"/>
          <w:szCs w:val="14"/>
          <w:color w:val="231F20"/>
        </w:rPr>
        <w:t>Governance Policies and Practices</w:t>
      </w:r>
    </w:p>
    <w:p>
      <w:pPr>
        <w:spacing w:after="0" w:line="163" w:lineRule="exact"/>
        <w:rPr>
          <w:sz w:val="20"/>
          <w:szCs w:val="20"/>
          <w:color w:val="auto"/>
        </w:rPr>
      </w:pPr>
    </w:p>
    <w:p>
      <w:pPr>
        <w:spacing w:after="0"/>
        <w:rPr>
          <w:sz w:val="20"/>
          <w:szCs w:val="20"/>
          <w:color w:val="auto"/>
        </w:rPr>
      </w:pPr>
      <w:r>
        <w:rPr>
          <w:rFonts w:ascii="Arial" w:cs="Arial" w:eastAsia="Arial" w:hAnsi="Arial"/>
          <w:sz w:val="24"/>
          <w:szCs w:val="24"/>
          <w:b w:val="1"/>
          <w:bCs w:val="1"/>
          <w:color w:val="455986"/>
        </w:rPr>
        <w:t>Governance Policies and Practices</w:t>
      </w:r>
    </w:p>
    <w:p>
      <w:pPr>
        <w:spacing w:after="0" w:line="156" w:lineRule="exact"/>
        <w:rPr>
          <w:sz w:val="20"/>
          <w:szCs w:val="20"/>
          <w:color w:val="auto"/>
        </w:rPr>
      </w:pPr>
    </w:p>
    <w:p>
      <w:pPr>
        <w:spacing w:after="0"/>
        <w:rPr>
          <w:sz w:val="20"/>
          <w:szCs w:val="20"/>
          <w:color w:val="auto"/>
        </w:rPr>
      </w:pPr>
      <w:r>
        <w:rPr>
          <w:rFonts w:ascii="Arial" w:cs="Arial" w:eastAsia="Arial" w:hAnsi="Arial"/>
          <w:sz w:val="20"/>
          <w:szCs w:val="20"/>
          <w:b w:val="1"/>
          <w:bCs w:val="1"/>
          <w:color w:val="231F20"/>
        </w:rPr>
        <w:t>Anti-Hedging and Anti-Pledging Policy</w:t>
      </w:r>
    </w:p>
    <w:p>
      <w:pPr>
        <w:spacing w:after="0" w:line="166" w:lineRule="exact"/>
        <w:rPr>
          <w:sz w:val="20"/>
          <w:szCs w:val="20"/>
          <w:color w:val="auto"/>
        </w:rPr>
      </w:pPr>
    </w:p>
    <w:p>
      <w:pPr>
        <w:ind w:right="80"/>
        <w:spacing w:after="0"/>
        <w:rPr>
          <w:sz w:val="20"/>
          <w:szCs w:val="20"/>
          <w:color w:val="auto"/>
        </w:rPr>
      </w:pPr>
      <w:r>
        <w:rPr>
          <w:rFonts w:ascii="Arial" w:cs="Arial" w:eastAsia="Arial" w:hAnsi="Arial"/>
          <w:sz w:val="14"/>
          <w:szCs w:val="14"/>
          <w:color w:val="231F20"/>
        </w:rPr>
        <w:t xml:space="preserve">We believe that issuance of incentive and compensatory equity awards to our directors and named executive officers along with our stock ownership guidelines help to align their interests with our shareholders. As part of our insider trading policy, we prohibit all directors and employees from engaging in hedging or pledging activities with respect to any owned shares or outstanding equity awards. The policy specifically prohibits all insiders from engaging in any short sales of the Company’s securities, buying or selling puts, calls or other derivative securities relating to the Company’s securities, or pledging the Company’s securities as collateral for a loan. </w:t>
      </w:r>
      <w:r>
        <w:rPr>
          <w:rFonts w:ascii="Arial" w:cs="Arial" w:eastAsia="Arial" w:hAnsi="Arial"/>
          <w:sz w:val="14"/>
          <w:szCs w:val="14"/>
          <w:i w:val="1"/>
          <w:iCs w:val="1"/>
          <w:color w:val="231F20"/>
        </w:rPr>
        <w:t>None of our directors nor any of our</w:t>
      </w:r>
      <w:r>
        <w:rPr>
          <w:rFonts w:ascii="Arial" w:cs="Arial" w:eastAsia="Arial" w:hAnsi="Arial"/>
          <w:sz w:val="14"/>
          <w:szCs w:val="14"/>
          <w:color w:val="231F20"/>
        </w:rPr>
        <w:t xml:space="preserve"> </w:t>
      </w:r>
      <w:r>
        <w:rPr>
          <w:rFonts w:ascii="Arial" w:cs="Arial" w:eastAsia="Arial" w:hAnsi="Arial"/>
          <w:sz w:val="14"/>
          <w:szCs w:val="14"/>
          <w:i w:val="1"/>
          <w:iCs w:val="1"/>
          <w:color w:val="231F20"/>
        </w:rPr>
        <w:t>named executive officers engaged in any hedging or pledging activities with respect to the Company stock during 2020.</w:t>
      </w:r>
    </w:p>
    <w:p>
      <w:pPr>
        <w:spacing w:after="0" w:line="101" w:lineRule="exact"/>
        <w:rPr>
          <w:sz w:val="20"/>
          <w:szCs w:val="20"/>
          <w:color w:val="auto"/>
        </w:rPr>
      </w:pPr>
    </w:p>
    <w:p>
      <w:pPr>
        <w:spacing w:after="0"/>
        <w:rPr>
          <w:sz w:val="20"/>
          <w:szCs w:val="20"/>
          <w:color w:val="auto"/>
        </w:rPr>
      </w:pPr>
      <w:r>
        <w:rPr>
          <w:rFonts w:ascii="Arial" w:cs="Arial" w:eastAsia="Arial" w:hAnsi="Arial"/>
          <w:sz w:val="20"/>
          <w:szCs w:val="20"/>
          <w:b w:val="1"/>
          <w:bCs w:val="1"/>
          <w:color w:val="231F20"/>
        </w:rPr>
        <w:t>Director Independence Standards</w:t>
      </w:r>
    </w:p>
    <w:p>
      <w:pPr>
        <w:spacing w:after="0" w:line="166" w:lineRule="exact"/>
        <w:rPr>
          <w:sz w:val="20"/>
          <w:szCs w:val="20"/>
          <w:color w:val="auto"/>
        </w:rPr>
      </w:pPr>
    </w:p>
    <w:p>
      <w:pPr>
        <w:ind w:right="160"/>
        <w:spacing w:after="0" w:line="253" w:lineRule="auto"/>
        <w:rPr>
          <w:sz w:val="20"/>
          <w:szCs w:val="20"/>
          <w:color w:val="auto"/>
        </w:rPr>
      </w:pPr>
      <w:r>
        <w:rPr>
          <w:rFonts w:ascii="Arial" w:cs="Arial" w:eastAsia="Arial" w:hAnsi="Arial"/>
          <w:sz w:val="14"/>
          <w:szCs w:val="14"/>
          <w:color w:val="231F20"/>
        </w:rPr>
        <w:t>The Board of Directors is responsible for determining whether each of the directors is independent. The Board has adopted Corporate Governance Guidelines that contain categorical standards of director independence that are consistent with the listing standards of the NYSE. Under the Company’s Corporate Governance Guidelines, a director will not be deemed independent if:</w:t>
      </w:r>
    </w:p>
    <w:p>
      <w:pPr>
        <w:spacing w:after="0" w:line="103" w:lineRule="exact"/>
        <w:rPr>
          <w:sz w:val="20"/>
          <w:szCs w:val="20"/>
          <w:color w:val="auto"/>
        </w:rPr>
      </w:pPr>
    </w:p>
    <w:p>
      <w:pPr>
        <w:ind w:left="200" w:right="20" w:hanging="198"/>
        <w:spacing w:after="0" w:line="278" w:lineRule="auto"/>
        <w:tabs>
          <w:tab w:leader="none" w:pos="200" w:val="left"/>
        </w:tabs>
        <w:numPr>
          <w:ilvl w:val="0"/>
          <w:numId w:val="67"/>
        </w:numPr>
        <w:rPr>
          <w:rFonts w:ascii="Arial" w:cs="Arial" w:eastAsia="Arial" w:hAnsi="Arial"/>
          <w:sz w:val="14"/>
          <w:szCs w:val="14"/>
          <w:color w:val="4395D4"/>
        </w:rPr>
      </w:pPr>
      <w:r>
        <w:rPr>
          <w:rFonts w:ascii="Arial" w:cs="Arial" w:eastAsia="Arial" w:hAnsi="Arial"/>
          <w:sz w:val="14"/>
          <w:szCs w:val="14"/>
          <w:color w:val="231F20"/>
        </w:rPr>
        <w:t>the director is, or has been within the last three years, an employee of the Company, or an immediate family member is, or has been within the last three years, an executive officer of the Company;</w:t>
      </w:r>
    </w:p>
    <w:p>
      <w:pPr>
        <w:spacing w:after="0" w:line="9" w:lineRule="exact"/>
        <w:rPr>
          <w:rFonts w:ascii="Arial" w:cs="Arial" w:eastAsia="Arial" w:hAnsi="Arial"/>
          <w:sz w:val="14"/>
          <w:szCs w:val="14"/>
          <w:color w:val="4395D4"/>
        </w:rPr>
      </w:pPr>
    </w:p>
    <w:p>
      <w:pPr>
        <w:ind w:left="200" w:right="100" w:hanging="198"/>
        <w:spacing w:after="0" w:line="253" w:lineRule="auto"/>
        <w:tabs>
          <w:tab w:leader="none" w:pos="200" w:val="left"/>
        </w:tabs>
        <w:numPr>
          <w:ilvl w:val="0"/>
          <w:numId w:val="67"/>
        </w:numPr>
        <w:rPr>
          <w:rFonts w:ascii="Arial" w:cs="Arial" w:eastAsia="Arial" w:hAnsi="Arial"/>
          <w:sz w:val="14"/>
          <w:szCs w:val="14"/>
          <w:color w:val="4395D4"/>
        </w:rPr>
      </w:pPr>
      <w:r>
        <w:rPr>
          <w:rFonts w:ascii="Arial" w:cs="Arial" w:eastAsia="Arial" w:hAnsi="Arial"/>
          <w:sz w:val="14"/>
          <w:szCs w:val="14"/>
          <w:color w:val="231F20"/>
        </w:rPr>
        <w:t xml:space="preserve">the director (A) or an immediate family member is a current partner of a firm that is the Company’s internal or external auditor, </w:t>
      </w:r>
      <w:r>
        <w:rPr>
          <w:rFonts w:ascii="Arial" w:cs="Arial" w:eastAsia="Arial" w:hAnsi="Arial"/>
          <w:sz w:val="14"/>
          <w:szCs w:val="14"/>
          <w:color w:val="000000"/>
        </w:rPr>
        <w:t>(B) is a current employee of such a firm, (C)</w:t>
      </w:r>
      <w:r>
        <w:rPr>
          <w:rFonts w:ascii="Arial" w:cs="Arial" w:eastAsia="Arial" w:hAnsi="Arial"/>
          <w:sz w:val="14"/>
          <w:szCs w:val="14"/>
          <w:color w:val="231F20"/>
        </w:rPr>
        <w:t xml:space="preserve"> </w:t>
      </w:r>
      <w:r>
        <w:rPr>
          <w:rFonts w:ascii="Arial" w:cs="Arial" w:eastAsia="Arial" w:hAnsi="Arial"/>
          <w:sz w:val="14"/>
          <w:szCs w:val="14"/>
          <w:color w:val="000000"/>
        </w:rPr>
        <w:t>has an immediate family member who is a current employee of such a firm and personally works on the Company’s audit, or (D) or an immediate family member was within the last three years (but is no longer) a partner or employee of such firm and personally worked on the Company’s audit within that time;</w:t>
      </w:r>
    </w:p>
    <w:p>
      <w:pPr>
        <w:spacing w:after="0" w:line="39" w:lineRule="exact"/>
        <w:rPr>
          <w:rFonts w:ascii="Arial" w:cs="Arial" w:eastAsia="Arial" w:hAnsi="Arial"/>
          <w:sz w:val="14"/>
          <w:szCs w:val="14"/>
          <w:color w:val="4395D4"/>
        </w:rPr>
      </w:pPr>
    </w:p>
    <w:p>
      <w:pPr>
        <w:ind w:left="200" w:right="180" w:hanging="198"/>
        <w:spacing w:after="0" w:line="278" w:lineRule="auto"/>
        <w:tabs>
          <w:tab w:leader="none" w:pos="200" w:val="left"/>
        </w:tabs>
        <w:numPr>
          <w:ilvl w:val="0"/>
          <w:numId w:val="67"/>
        </w:numPr>
        <w:rPr>
          <w:rFonts w:ascii="Arial" w:cs="Arial" w:eastAsia="Arial" w:hAnsi="Arial"/>
          <w:sz w:val="14"/>
          <w:szCs w:val="14"/>
          <w:color w:val="4395D4"/>
        </w:rPr>
      </w:pPr>
      <w:r>
        <w:rPr>
          <w:rFonts w:ascii="Arial" w:cs="Arial" w:eastAsia="Arial" w:hAnsi="Arial"/>
          <w:sz w:val="14"/>
          <w:szCs w:val="14"/>
          <w:color w:val="231F20"/>
        </w:rPr>
        <w:t>the director or an immediate family member is, or has been within the last three years, employed as an executive officer of another Company where any of the Company’s present executive officers at the same time serves or served on that Company’s compensation committee;</w:t>
      </w:r>
    </w:p>
    <w:p>
      <w:pPr>
        <w:spacing w:after="0" w:line="22" w:lineRule="exact"/>
        <w:rPr>
          <w:rFonts w:ascii="Arial" w:cs="Arial" w:eastAsia="Arial" w:hAnsi="Arial"/>
          <w:sz w:val="14"/>
          <w:szCs w:val="14"/>
          <w:color w:val="4395D4"/>
        </w:rPr>
      </w:pPr>
    </w:p>
    <w:p>
      <w:pPr>
        <w:ind w:left="200" w:right="140" w:hanging="198"/>
        <w:spacing w:after="0" w:line="245" w:lineRule="auto"/>
        <w:tabs>
          <w:tab w:leader="none" w:pos="200" w:val="left"/>
        </w:tabs>
        <w:numPr>
          <w:ilvl w:val="0"/>
          <w:numId w:val="67"/>
        </w:numPr>
        <w:rPr>
          <w:rFonts w:ascii="Arial" w:cs="Arial" w:eastAsia="Arial" w:hAnsi="Arial"/>
          <w:sz w:val="14"/>
          <w:szCs w:val="14"/>
          <w:color w:val="4395D4"/>
        </w:rPr>
      </w:pPr>
      <w:r>
        <w:rPr>
          <w:rFonts w:ascii="Arial" w:cs="Arial" w:eastAsia="Arial" w:hAnsi="Arial"/>
          <w:sz w:val="14"/>
          <w:szCs w:val="14"/>
          <w:color w:val="231F20"/>
        </w:rPr>
        <w:t>the director has received, or has an immediate family member who has received, during any twelve month period within the last three years, more than $120,000 in direct compensation from the Company, other than director and committee fees and pension or other forms of deferred compensation for prior service (provided such compensation is not contingent in any way on continued service) and, in the case of an immediate family member who is not an executive officer, other than compensation for service as an employee of the Company;</w:t>
      </w:r>
    </w:p>
    <w:p>
      <w:pPr>
        <w:spacing w:after="0" w:line="31" w:lineRule="exact"/>
        <w:rPr>
          <w:rFonts w:ascii="Arial" w:cs="Arial" w:eastAsia="Arial" w:hAnsi="Arial"/>
          <w:sz w:val="14"/>
          <w:szCs w:val="14"/>
          <w:color w:val="4395D4"/>
        </w:rPr>
      </w:pPr>
    </w:p>
    <w:p>
      <w:pPr>
        <w:ind w:left="200" w:right="80" w:hanging="198"/>
        <w:spacing w:after="0" w:line="253" w:lineRule="auto"/>
        <w:tabs>
          <w:tab w:leader="none" w:pos="200" w:val="left"/>
        </w:tabs>
        <w:numPr>
          <w:ilvl w:val="0"/>
          <w:numId w:val="67"/>
        </w:numPr>
        <w:rPr>
          <w:rFonts w:ascii="Arial" w:cs="Arial" w:eastAsia="Arial" w:hAnsi="Arial"/>
          <w:sz w:val="14"/>
          <w:szCs w:val="14"/>
          <w:color w:val="4395D4"/>
        </w:rPr>
      </w:pPr>
      <w:r>
        <w:rPr>
          <w:rFonts w:ascii="Arial" w:cs="Arial" w:eastAsia="Arial" w:hAnsi="Arial"/>
          <w:sz w:val="14"/>
          <w:szCs w:val="14"/>
          <w:color w:val="231F20"/>
        </w:rPr>
        <w:t>the director is an executive officer or employee, or someone in her/his immediate family is an executive officer, of another Company that, during any of the other Company’s past three fiscal years made payments to, or received payments from, the Company for property or services in an amount which, in any single fiscal year of the other Company, exceeded the greater of $1 million or 2% of the other Company’s consolidated gross revenues; or</w:t>
      </w:r>
    </w:p>
    <w:p>
      <w:pPr>
        <w:spacing w:after="0" w:line="39" w:lineRule="exact"/>
        <w:rPr>
          <w:rFonts w:ascii="Arial" w:cs="Arial" w:eastAsia="Arial" w:hAnsi="Arial"/>
          <w:sz w:val="14"/>
          <w:szCs w:val="14"/>
          <w:color w:val="4395D4"/>
        </w:rPr>
      </w:pPr>
    </w:p>
    <w:p>
      <w:pPr>
        <w:ind w:left="200" w:right="100" w:hanging="198"/>
        <w:spacing w:after="0" w:line="253" w:lineRule="auto"/>
        <w:tabs>
          <w:tab w:leader="none" w:pos="200" w:val="left"/>
        </w:tabs>
        <w:numPr>
          <w:ilvl w:val="0"/>
          <w:numId w:val="67"/>
        </w:numPr>
        <w:rPr>
          <w:rFonts w:ascii="Arial" w:cs="Arial" w:eastAsia="Arial" w:hAnsi="Arial"/>
          <w:sz w:val="14"/>
          <w:szCs w:val="14"/>
          <w:color w:val="4395D4"/>
        </w:rPr>
      </w:pPr>
      <w:r>
        <w:rPr>
          <w:rFonts w:ascii="Arial" w:cs="Arial" w:eastAsia="Arial" w:hAnsi="Arial"/>
          <w:sz w:val="14"/>
          <w:szCs w:val="14"/>
          <w:color w:val="231F20"/>
        </w:rPr>
        <w:t>the director serves as an executive officer of a charitable organization and, during any of the charitable organization’s past three fiscal years, the Company made charitable contributions to the charitable organization in any single fiscal year of the charitable organization that exceeded the greater of $1 million or two percent of the charitable organization’s consolidated gross revenues.</w:t>
      </w:r>
    </w:p>
    <w:p>
      <w:pPr>
        <w:spacing w:after="0" w:line="40" w:lineRule="exact"/>
        <w:rPr>
          <w:sz w:val="20"/>
          <w:szCs w:val="20"/>
          <w:color w:val="auto"/>
        </w:rPr>
      </w:pPr>
    </w:p>
    <w:p>
      <w:pPr>
        <w:spacing w:after="0"/>
        <w:rPr>
          <w:sz w:val="20"/>
          <w:szCs w:val="20"/>
          <w:color w:val="auto"/>
        </w:rPr>
      </w:pPr>
      <w:r>
        <w:rPr>
          <w:rFonts w:ascii="Arial" w:cs="Arial" w:eastAsia="Arial" w:hAnsi="Arial"/>
          <w:sz w:val="14"/>
          <w:szCs w:val="14"/>
          <w:color w:val="231F20"/>
        </w:rPr>
        <w:t>For purposes of the categorical standards above:</w:t>
      </w:r>
    </w:p>
    <w:p>
      <w:pPr>
        <w:spacing w:after="0" w:line="145" w:lineRule="exact"/>
        <w:rPr>
          <w:sz w:val="20"/>
          <w:szCs w:val="20"/>
          <w:color w:val="auto"/>
        </w:rPr>
      </w:pPr>
    </w:p>
    <w:p>
      <w:pPr>
        <w:ind w:left="260" w:right="160" w:hanging="258"/>
        <w:spacing w:after="0" w:line="278" w:lineRule="auto"/>
        <w:tabs>
          <w:tab w:leader="none" w:pos="260" w:val="left"/>
        </w:tabs>
        <w:numPr>
          <w:ilvl w:val="0"/>
          <w:numId w:val="68"/>
        </w:numPr>
        <w:rPr>
          <w:rFonts w:ascii="Arial" w:cs="Arial" w:eastAsia="Arial" w:hAnsi="Arial"/>
          <w:sz w:val="14"/>
          <w:szCs w:val="14"/>
          <w:color w:val="231F20"/>
        </w:rPr>
      </w:pPr>
      <w:r>
        <w:rPr>
          <w:rFonts w:ascii="Arial" w:cs="Arial" w:eastAsia="Arial" w:hAnsi="Arial"/>
          <w:sz w:val="14"/>
          <w:szCs w:val="14"/>
          <w:color w:val="231F20"/>
        </w:rPr>
        <w:t>a person’s immediate family includes a person’s spouse, parents, children, siblings, mothers- and fathers-in-law, sons- and daughters-in-law, and brothers- and sisters-in-law and anyone (other than domestic employees) who shares such person’s home,</w:t>
      </w:r>
    </w:p>
    <w:p>
      <w:pPr>
        <w:spacing w:after="0" w:line="99" w:lineRule="exact"/>
        <w:rPr>
          <w:rFonts w:ascii="Arial" w:cs="Arial" w:eastAsia="Arial" w:hAnsi="Arial"/>
          <w:sz w:val="14"/>
          <w:szCs w:val="14"/>
          <w:color w:val="231F20"/>
        </w:rPr>
      </w:pPr>
    </w:p>
    <w:p>
      <w:pPr>
        <w:ind w:left="260" w:hanging="258"/>
        <w:spacing w:after="0"/>
        <w:tabs>
          <w:tab w:leader="none" w:pos="260" w:val="left"/>
        </w:tabs>
        <w:numPr>
          <w:ilvl w:val="0"/>
          <w:numId w:val="68"/>
        </w:numPr>
        <w:rPr>
          <w:rFonts w:ascii="Arial" w:cs="Arial" w:eastAsia="Arial" w:hAnsi="Arial"/>
          <w:sz w:val="14"/>
          <w:szCs w:val="14"/>
          <w:color w:val="231F20"/>
        </w:rPr>
      </w:pPr>
      <w:r>
        <w:rPr>
          <w:rFonts w:ascii="Arial" w:cs="Arial" w:eastAsia="Arial" w:hAnsi="Arial"/>
          <w:sz w:val="14"/>
          <w:szCs w:val="14"/>
          <w:color w:val="231F20"/>
        </w:rPr>
        <w:t>the term executive officer has the same meaning specified for the term officer in Rule 16a-1(f) under the Exchange Act, and</w:t>
      </w:r>
    </w:p>
    <w:p>
      <w:pPr>
        <w:spacing w:after="0" w:line="158" w:lineRule="exact"/>
        <w:rPr>
          <w:rFonts w:ascii="Arial" w:cs="Arial" w:eastAsia="Arial" w:hAnsi="Arial"/>
          <w:sz w:val="14"/>
          <w:szCs w:val="14"/>
          <w:color w:val="231F20"/>
        </w:rPr>
      </w:pPr>
    </w:p>
    <w:p>
      <w:pPr>
        <w:ind w:left="260" w:hanging="258"/>
        <w:spacing w:after="0"/>
        <w:tabs>
          <w:tab w:leader="none" w:pos="260" w:val="left"/>
        </w:tabs>
        <w:numPr>
          <w:ilvl w:val="0"/>
          <w:numId w:val="68"/>
        </w:numPr>
        <w:rPr>
          <w:rFonts w:ascii="Arial" w:cs="Arial" w:eastAsia="Arial" w:hAnsi="Arial"/>
          <w:sz w:val="14"/>
          <w:szCs w:val="14"/>
          <w:color w:val="231F20"/>
        </w:rPr>
      </w:pPr>
      <w:r>
        <w:rPr>
          <w:rFonts w:ascii="Arial" w:cs="Arial" w:eastAsia="Arial" w:hAnsi="Arial"/>
          <w:sz w:val="14"/>
          <w:szCs w:val="14"/>
          <w:color w:val="231F20"/>
        </w:rPr>
        <w:t>the Company includes Essential and its consolidated subsidiaries.</w:t>
      </w:r>
    </w:p>
    <w:p>
      <w:pPr>
        <w:spacing w:after="0" w:line="171" w:lineRule="exact"/>
        <w:rPr>
          <w:sz w:val="20"/>
          <w:szCs w:val="20"/>
          <w:color w:val="auto"/>
        </w:rPr>
      </w:pPr>
    </w:p>
    <w:p>
      <w:pPr>
        <w:ind w:right="220"/>
        <w:spacing w:after="0"/>
        <w:rPr>
          <w:sz w:val="20"/>
          <w:szCs w:val="20"/>
          <w:color w:val="auto"/>
        </w:rPr>
      </w:pPr>
      <w:r>
        <w:rPr>
          <w:rFonts w:ascii="Arial" w:cs="Arial" w:eastAsia="Arial" w:hAnsi="Arial"/>
          <w:sz w:val="14"/>
          <w:szCs w:val="14"/>
          <w:color w:val="231F20"/>
        </w:rPr>
        <w:t>In addition to these categorical standards, no director will be considered independent unless the Board of Directors affirmatively determines that the director has no material relationship with the Company (either directly, or as a partner, shareholder, director or officer, of an organization that has a relationship with the Company). When making independence determinations, the Board of Directors broadly considers all relevant facts and circumstances surrounding any relationship between a director or nominee and the Company. Transactions, relationships and arrangements between directors or members of their immediate family and the Company that are not addressed by the categorical standards may be material depending on the relevant facts and circumstances of such transactions, relationships and arrangements.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109855</wp:posOffset>
            </wp:positionV>
            <wp:extent cx="7139940"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39940" cy="8255"/>
                    </a:xfrm>
                    <a:prstGeom prst="rect">
                      <a:avLst/>
                    </a:prstGeom>
                    <a:noFill/>
                  </pic:spPr>
                </pic:pic>
              </a:graphicData>
            </a:graphic>
          </wp:anchor>
        </w:drawing>
      </w:r>
    </w:p>
    <w:p>
      <w:pPr>
        <w:spacing w:after="0" w:line="199" w:lineRule="exact"/>
        <w:rPr>
          <w:sz w:val="20"/>
          <w:szCs w:val="20"/>
          <w:color w:val="auto"/>
        </w:rPr>
      </w:pPr>
    </w:p>
    <w:p>
      <w:pPr>
        <w:jc w:val="right"/>
        <w:spacing w:after="0"/>
        <w:tabs>
          <w:tab w:leader="none" w:pos="140" w:val="left"/>
        </w:tabs>
        <w:rPr>
          <w:sz w:val="20"/>
          <w:szCs w:val="20"/>
          <w:color w:val="auto"/>
        </w:rPr>
      </w:pPr>
      <w:r>
        <w:rPr>
          <w:rFonts w:ascii="Arial" w:cs="Arial" w:eastAsia="Arial" w:hAnsi="Arial"/>
          <w:sz w:val="12"/>
          <w:szCs w:val="12"/>
          <w:color w:val="4395D4"/>
        </w:rPr>
        <w:t xml:space="preserve">ESSENTIAL UTILITIES, INC. </w:t>
      </w:r>
      <w:r>
        <w:rPr>
          <w:rFonts w:ascii="Arial" w:cs="Arial" w:eastAsia="Arial" w:hAnsi="Arial"/>
          <w:sz w:val="12"/>
          <w:szCs w:val="12"/>
          <w:color w:val="455986"/>
        </w:rPr>
        <w:t>2021 PROXY STATEMENT</w:t>
      </w:r>
      <w:r>
        <w:rPr>
          <w:sz w:val="20"/>
          <w:szCs w:val="20"/>
          <w:color w:val="auto"/>
        </w:rPr>
        <w:tab/>
      </w:r>
      <w:r>
        <w:rPr>
          <w:rFonts w:ascii="Arial" w:cs="Arial" w:eastAsia="Arial" w:hAnsi="Arial"/>
          <w:sz w:val="14"/>
          <w:szCs w:val="14"/>
          <w:color w:val="455986"/>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339090</wp:posOffset>
            </wp:positionV>
            <wp:extent cx="7139940" cy="2413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39940" cy="24130"/>
                    </a:xfrm>
                    <a:prstGeom prst="rect">
                      <a:avLst/>
                    </a:prstGeom>
                    <a:noFill/>
                  </pic:spPr>
                </pic:pic>
              </a:graphicData>
            </a:graphic>
          </wp:anchor>
        </w:drawing>
      </w:r>
    </w:p>
    <w:p>
      <w:pPr>
        <w:sectPr>
          <w:pgSz w:w="11900" w:h="16838" w:orient="portrait"/>
          <w:cols w:equalWidth="0" w:num="1">
            <w:col w:w="11240"/>
          </w:cols>
          <w:pgMar w:left="320" w:top="636" w:right="339" w:bottom="1440" w:gutter="0" w:footer="0" w:header="0"/>
        </w:sectPr>
      </w:pPr>
    </w:p>
    <w:bookmarkStart w:id="34" w:name="page35"/>
    <w:bookmarkEnd w:id="34"/>
    <w:p>
      <w:pPr>
        <w:spacing w:after="0"/>
        <w:rPr>
          <w:sz w:val="20"/>
          <w:szCs w:val="20"/>
          <w:color w:val="auto"/>
        </w:rPr>
      </w:pPr>
      <w:r>
        <w:rPr>
          <w:rFonts w:ascii="Arial" w:cs="Arial" w:eastAsia="Arial" w:hAnsi="Arial"/>
          <w:sz w:val="14"/>
          <w:szCs w:val="14"/>
          <w:b w:val="1"/>
          <w:bCs w:val="1"/>
          <w:color w:val="455986"/>
        </w:rPr>
        <w:t>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27940</wp:posOffset>
            </wp:positionV>
            <wp:extent cx="7139940"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39940" cy="8255"/>
                    </a:xfrm>
                    <a:prstGeom prst="rect">
                      <a:avLst/>
                    </a:prstGeom>
                    <a:noFill/>
                  </pic:spPr>
                </pic:pic>
              </a:graphicData>
            </a:graphic>
          </wp:anchor>
        </w:drawing>
      </w:r>
    </w:p>
    <w:p>
      <w:pPr>
        <w:spacing w:after="0" w:line="76" w:lineRule="exact"/>
        <w:rPr>
          <w:sz w:val="20"/>
          <w:szCs w:val="20"/>
          <w:color w:val="auto"/>
        </w:rPr>
      </w:pPr>
    </w:p>
    <w:p>
      <w:pPr>
        <w:spacing w:after="0"/>
        <w:rPr>
          <w:sz w:val="20"/>
          <w:szCs w:val="20"/>
          <w:color w:val="auto"/>
        </w:rPr>
      </w:pPr>
      <w:r>
        <w:rPr>
          <w:rFonts w:ascii="Arial" w:cs="Arial" w:eastAsia="Arial" w:hAnsi="Arial"/>
          <w:sz w:val="14"/>
          <w:szCs w:val="14"/>
          <w:color w:val="231F20"/>
        </w:rPr>
        <w:t>Governance Policies and Practices</w:t>
      </w:r>
    </w:p>
    <w:p>
      <w:pPr>
        <w:spacing w:after="0" w:line="161" w:lineRule="exact"/>
        <w:rPr>
          <w:sz w:val="20"/>
          <w:szCs w:val="20"/>
          <w:color w:val="auto"/>
        </w:rPr>
      </w:pPr>
    </w:p>
    <w:p>
      <w:pPr>
        <w:spacing w:after="0"/>
        <w:rPr>
          <w:sz w:val="20"/>
          <w:szCs w:val="20"/>
          <w:color w:val="auto"/>
        </w:rPr>
      </w:pPr>
      <w:r>
        <w:rPr>
          <w:rFonts w:ascii="Arial" w:cs="Arial" w:eastAsia="Arial" w:hAnsi="Arial"/>
          <w:sz w:val="20"/>
          <w:szCs w:val="20"/>
          <w:b w:val="1"/>
          <w:bCs w:val="1"/>
          <w:color w:val="231F20"/>
        </w:rPr>
        <w:t>Equal Employment Opportunity and Anti-Harassment Policy</w:t>
      </w:r>
    </w:p>
    <w:p>
      <w:pPr>
        <w:spacing w:after="0" w:line="166" w:lineRule="exact"/>
        <w:rPr>
          <w:sz w:val="20"/>
          <w:szCs w:val="20"/>
          <w:color w:val="auto"/>
        </w:rPr>
      </w:pPr>
    </w:p>
    <w:p>
      <w:pPr>
        <w:ind w:right="100"/>
        <w:spacing w:after="0" w:line="278" w:lineRule="auto"/>
        <w:rPr>
          <w:sz w:val="20"/>
          <w:szCs w:val="20"/>
          <w:color w:val="auto"/>
        </w:rPr>
      </w:pPr>
      <w:r>
        <w:rPr>
          <w:rFonts w:ascii="Arial" w:cs="Arial" w:eastAsia="Arial" w:hAnsi="Arial"/>
          <w:sz w:val="14"/>
          <w:szCs w:val="14"/>
          <w:color w:val="231F20"/>
        </w:rPr>
        <w:t>This policy provides that all employees are entitled to a work environment in which they are treated with dignity and respect and which is free of harassment and discrimination of any kind, including discriminatory, emotional, physical and sexual.</w:t>
      </w:r>
    </w:p>
    <w:p>
      <w:pPr>
        <w:spacing w:after="0" w:line="86" w:lineRule="exact"/>
        <w:rPr>
          <w:sz w:val="20"/>
          <w:szCs w:val="20"/>
          <w:color w:val="auto"/>
        </w:rPr>
      </w:pPr>
    </w:p>
    <w:p>
      <w:pPr>
        <w:ind w:right="220"/>
        <w:spacing w:after="0"/>
        <w:rPr>
          <w:sz w:val="20"/>
          <w:szCs w:val="20"/>
          <w:color w:val="auto"/>
        </w:rPr>
      </w:pPr>
      <w:r>
        <w:rPr>
          <w:rFonts w:ascii="Arial" w:cs="Arial" w:eastAsia="Arial" w:hAnsi="Arial"/>
          <w:sz w:val="14"/>
          <w:szCs w:val="14"/>
          <w:color w:val="231F20"/>
        </w:rPr>
        <w:t>The policy states that the Company will not tolerate any form of harassment on the job by managers, other employees, or by non-employees, such as customers, vendors or contractors and clearly defines harassment as including verbal comments that are offensive or unwelcome regarding a person’s national origin, race, color, religion, gender, sexual orientation, age, body, disability or appearance, including epithets, slurs and negative stereotyping and nonverbal harassment to include distribution, display or discussion of any written or graphic material that ridicules, denigrates, insults, belittles or shows hostility, aversion or disrespect toward an individual or group because of national origin, race, color, religion, age, gender, sexual orientation, pregnancy, appearance, disability, sexual identity, marital status or other protected status.</w:t>
      </w:r>
    </w:p>
    <w:p>
      <w:pPr>
        <w:spacing w:after="0" w:line="101" w:lineRule="exact"/>
        <w:rPr>
          <w:sz w:val="20"/>
          <w:szCs w:val="20"/>
          <w:color w:val="auto"/>
        </w:rPr>
      </w:pPr>
    </w:p>
    <w:p>
      <w:pPr>
        <w:spacing w:after="0"/>
        <w:rPr>
          <w:sz w:val="20"/>
          <w:szCs w:val="20"/>
          <w:color w:val="auto"/>
        </w:rPr>
      </w:pPr>
      <w:r>
        <w:rPr>
          <w:rFonts w:ascii="Arial" w:cs="Arial" w:eastAsia="Arial" w:hAnsi="Arial"/>
          <w:sz w:val="20"/>
          <w:szCs w:val="20"/>
          <w:b w:val="1"/>
          <w:bCs w:val="1"/>
          <w:color w:val="231F20"/>
        </w:rPr>
        <w:t>Human Rights Policy</w:t>
      </w:r>
    </w:p>
    <w:p>
      <w:pPr>
        <w:spacing w:after="0" w:line="166" w:lineRule="exact"/>
        <w:rPr>
          <w:sz w:val="20"/>
          <w:szCs w:val="20"/>
          <w:color w:val="auto"/>
        </w:rPr>
      </w:pPr>
    </w:p>
    <w:p>
      <w:pPr>
        <w:spacing w:after="0" w:line="253" w:lineRule="auto"/>
        <w:rPr>
          <w:sz w:val="20"/>
          <w:szCs w:val="20"/>
          <w:color w:val="auto"/>
        </w:rPr>
      </w:pPr>
      <w:r>
        <w:rPr>
          <w:rFonts w:ascii="Arial" w:cs="Arial" w:eastAsia="Arial" w:hAnsi="Arial"/>
          <w:sz w:val="14"/>
          <w:szCs w:val="14"/>
          <w:color w:val="231F20"/>
        </w:rPr>
        <w:t>The Board of Directors is responsible for overseeing human rights risk management. In 2019, it enacted a Human Rights Policy that underscores the Company’s commitment to conducting business in a way that minimizes the adverse effects our operations may have on people and the communities that we serve. At a minimum, the Company and its vendors will:</w:t>
      </w:r>
    </w:p>
    <w:p>
      <w:pPr>
        <w:spacing w:after="0" w:line="103" w:lineRule="exact"/>
        <w:rPr>
          <w:sz w:val="20"/>
          <w:szCs w:val="20"/>
          <w:color w:val="auto"/>
        </w:rPr>
      </w:pPr>
    </w:p>
    <w:p>
      <w:pPr>
        <w:ind w:left="200" w:hanging="198"/>
        <w:spacing w:after="0"/>
        <w:tabs>
          <w:tab w:leader="none" w:pos="200" w:val="left"/>
        </w:tabs>
        <w:numPr>
          <w:ilvl w:val="0"/>
          <w:numId w:val="69"/>
        </w:numPr>
        <w:rPr>
          <w:rFonts w:ascii="Arial" w:cs="Arial" w:eastAsia="Arial" w:hAnsi="Arial"/>
          <w:sz w:val="14"/>
          <w:szCs w:val="14"/>
          <w:color w:val="4395D4"/>
        </w:rPr>
      </w:pPr>
      <w:r>
        <w:rPr>
          <w:rFonts w:ascii="Arial" w:cs="Arial" w:eastAsia="Arial" w:hAnsi="Arial"/>
          <w:sz w:val="14"/>
          <w:szCs w:val="14"/>
          <w:color w:val="231F20"/>
        </w:rPr>
        <w:t>make efforts to avoid causing or contributing to human rights violations;</w:t>
      </w:r>
    </w:p>
    <w:p>
      <w:pPr>
        <w:spacing w:after="0" w:line="68" w:lineRule="exact"/>
        <w:rPr>
          <w:rFonts w:ascii="Arial" w:cs="Arial" w:eastAsia="Arial" w:hAnsi="Arial"/>
          <w:sz w:val="14"/>
          <w:szCs w:val="14"/>
          <w:color w:val="4395D4"/>
        </w:rPr>
      </w:pPr>
    </w:p>
    <w:p>
      <w:pPr>
        <w:ind w:left="200" w:hanging="198"/>
        <w:spacing w:after="0"/>
        <w:tabs>
          <w:tab w:leader="none" w:pos="200" w:val="left"/>
        </w:tabs>
        <w:numPr>
          <w:ilvl w:val="0"/>
          <w:numId w:val="69"/>
        </w:numPr>
        <w:rPr>
          <w:rFonts w:ascii="Arial" w:cs="Arial" w:eastAsia="Arial" w:hAnsi="Arial"/>
          <w:sz w:val="14"/>
          <w:szCs w:val="14"/>
          <w:color w:val="4395D4"/>
        </w:rPr>
      </w:pPr>
      <w:r>
        <w:rPr>
          <w:rFonts w:ascii="Arial" w:cs="Arial" w:eastAsia="Arial" w:hAnsi="Arial"/>
          <w:sz w:val="14"/>
          <w:szCs w:val="14"/>
          <w:color w:val="231F20"/>
        </w:rPr>
        <w:t>mitigate and/or remediate adverse human rights impacts of our operations where possible;</w:t>
      </w:r>
    </w:p>
    <w:p>
      <w:pPr>
        <w:spacing w:after="0" w:line="81" w:lineRule="exact"/>
        <w:rPr>
          <w:rFonts w:ascii="Arial" w:cs="Arial" w:eastAsia="Arial" w:hAnsi="Arial"/>
          <w:sz w:val="14"/>
          <w:szCs w:val="14"/>
          <w:color w:val="4395D4"/>
        </w:rPr>
      </w:pPr>
    </w:p>
    <w:p>
      <w:pPr>
        <w:ind w:left="200" w:hanging="198"/>
        <w:spacing w:after="0"/>
        <w:tabs>
          <w:tab w:leader="none" w:pos="200" w:val="left"/>
        </w:tabs>
        <w:numPr>
          <w:ilvl w:val="0"/>
          <w:numId w:val="69"/>
        </w:numPr>
        <w:rPr>
          <w:rFonts w:ascii="Arial" w:cs="Arial" w:eastAsia="Arial" w:hAnsi="Arial"/>
          <w:sz w:val="14"/>
          <w:szCs w:val="14"/>
          <w:color w:val="4395D4"/>
        </w:rPr>
      </w:pPr>
      <w:r>
        <w:rPr>
          <w:rFonts w:ascii="Arial" w:cs="Arial" w:eastAsia="Arial" w:hAnsi="Arial"/>
          <w:sz w:val="14"/>
          <w:szCs w:val="14"/>
          <w:color w:val="231F20"/>
        </w:rPr>
        <w:t>prohibit the use of child labor, forced labor, or human trafficking; and</w:t>
      </w:r>
    </w:p>
    <w:p>
      <w:pPr>
        <w:spacing w:after="0" w:line="81" w:lineRule="exact"/>
        <w:rPr>
          <w:rFonts w:ascii="Arial" w:cs="Arial" w:eastAsia="Arial" w:hAnsi="Arial"/>
          <w:sz w:val="14"/>
          <w:szCs w:val="14"/>
          <w:color w:val="4395D4"/>
        </w:rPr>
      </w:pPr>
    </w:p>
    <w:p>
      <w:pPr>
        <w:ind w:left="200" w:hanging="198"/>
        <w:spacing w:after="0"/>
        <w:tabs>
          <w:tab w:leader="none" w:pos="200" w:val="left"/>
        </w:tabs>
        <w:numPr>
          <w:ilvl w:val="0"/>
          <w:numId w:val="69"/>
        </w:numPr>
        <w:rPr>
          <w:rFonts w:ascii="Arial" w:cs="Arial" w:eastAsia="Arial" w:hAnsi="Arial"/>
          <w:sz w:val="14"/>
          <w:szCs w:val="14"/>
          <w:color w:val="4395D4"/>
        </w:rPr>
      </w:pPr>
      <w:r>
        <w:rPr>
          <w:rFonts w:ascii="Arial" w:cs="Arial" w:eastAsia="Arial" w:hAnsi="Arial"/>
          <w:sz w:val="14"/>
          <w:szCs w:val="14"/>
          <w:color w:val="231F20"/>
        </w:rPr>
        <w:t>be transparent in our efforts, successes and challenges.</w:t>
      </w:r>
    </w:p>
    <w:p>
      <w:pPr>
        <w:spacing w:after="0" w:line="69" w:lineRule="exact"/>
        <w:rPr>
          <w:sz w:val="20"/>
          <w:szCs w:val="20"/>
          <w:color w:val="auto"/>
        </w:rPr>
      </w:pPr>
    </w:p>
    <w:p>
      <w:pPr>
        <w:ind w:right="100"/>
        <w:spacing w:after="0" w:line="253" w:lineRule="auto"/>
        <w:rPr>
          <w:sz w:val="20"/>
          <w:szCs w:val="20"/>
          <w:color w:val="auto"/>
        </w:rPr>
      </w:pPr>
      <w:r>
        <w:rPr>
          <w:rFonts w:ascii="Arial" w:cs="Arial" w:eastAsia="Arial" w:hAnsi="Arial"/>
          <w:sz w:val="14"/>
          <w:szCs w:val="14"/>
          <w:color w:val="231F20"/>
        </w:rPr>
        <w:t xml:space="preserve">Together, these policies ensure that that the Company is committed to providing all of its employees with a work environment in which they are treated with dignity and respect and which is free of harassment of any kind, and affirmatively commits the Company to making efforts to avoid causing or contributing to human rights violations. </w:t>
      </w:r>
      <w:r>
        <w:rPr>
          <w:rFonts w:ascii="Arial" w:cs="Arial" w:eastAsia="Arial" w:hAnsi="Arial"/>
          <w:sz w:val="14"/>
          <w:szCs w:val="14"/>
          <w:i w:val="1"/>
          <w:iCs w:val="1"/>
          <w:color w:val="231F20"/>
        </w:rPr>
        <w:t>Copies of</w:t>
      </w:r>
      <w:r>
        <w:rPr>
          <w:rFonts w:ascii="Arial" w:cs="Arial" w:eastAsia="Arial" w:hAnsi="Arial"/>
          <w:sz w:val="14"/>
          <w:szCs w:val="14"/>
          <w:color w:val="231F20"/>
        </w:rPr>
        <w:t xml:space="preserve"> </w:t>
      </w:r>
      <w:r>
        <w:rPr>
          <w:rFonts w:ascii="Arial" w:cs="Arial" w:eastAsia="Arial" w:hAnsi="Arial"/>
          <w:sz w:val="14"/>
          <w:szCs w:val="14"/>
          <w:i w:val="1"/>
          <w:iCs w:val="1"/>
          <w:color w:val="231F20"/>
        </w:rPr>
        <w:t xml:space="preserve">these policies can be found at www.essential.co/investor-relations </w:t>
      </w:r>
      <w:r>
        <w:rPr>
          <w:rFonts w:ascii="Arial" w:cs="Arial" w:eastAsia="Arial" w:hAnsi="Arial"/>
          <w:sz w:val="14"/>
          <w:szCs w:val="14"/>
          <w:color w:val="231F20"/>
        </w:rPr>
        <w:t>or at</w:t>
      </w:r>
      <w:r>
        <w:rPr>
          <w:rFonts w:ascii="Arial" w:cs="Arial" w:eastAsia="Arial" w:hAnsi="Arial"/>
          <w:sz w:val="14"/>
          <w:szCs w:val="14"/>
          <w:i w:val="1"/>
          <w:iCs w:val="1"/>
          <w:color w:val="231F20"/>
        </w:rPr>
        <w:t xml:space="preserve"> ESG.Essential.co</w:t>
      </w:r>
      <w:r>
        <w:rPr>
          <w:rFonts w:ascii="Arial" w:cs="Arial" w:eastAsia="Arial" w:hAnsi="Arial"/>
          <w:sz w:val="14"/>
          <w:szCs w:val="14"/>
          <w:color w:val="231F20"/>
        </w:rPr>
        <w:t>.</w:t>
      </w:r>
    </w:p>
    <w:p>
      <w:pPr>
        <w:spacing w:after="0" w:line="91" w:lineRule="exact"/>
        <w:rPr>
          <w:sz w:val="20"/>
          <w:szCs w:val="20"/>
          <w:color w:val="auto"/>
        </w:rPr>
      </w:pPr>
    </w:p>
    <w:p>
      <w:pPr>
        <w:spacing w:after="0"/>
        <w:rPr>
          <w:sz w:val="20"/>
          <w:szCs w:val="20"/>
          <w:color w:val="auto"/>
        </w:rPr>
      </w:pPr>
      <w:r>
        <w:rPr>
          <w:rFonts w:ascii="Arial" w:cs="Arial" w:eastAsia="Arial" w:hAnsi="Arial"/>
          <w:sz w:val="20"/>
          <w:szCs w:val="20"/>
          <w:b w:val="1"/>
          <w:bCs w:val="1"/>
          <w:color w:val="231F20"/>
        </w:rPr>
        <w:t>Related Person Transactions and Determination of Director Independence</w:t>
      </w:r>
    </w:p>
    <w:p>
      <w:pPr>
        <w:spacing w:after="0" w:line="162" w:lineRule="exact"/>
        <w:rPr>
          <w:sz w:val="20"/>
          <w:szCs w:val="20"/>
          <w:color w:val="auto"/>
        </w:rPr>
      </w:pPr>
    </w:p>
    <w:p>
      <w:pPr>
        <w:spacing w:after="0"/>
        <w:rPr>
          <w:sz w:val="20"/>
          <w:szCs w:val="20"/>
          <w:color w:val="auto"/>
        </w:rPr>
      </w:pPr>
      <w:r>
        <w:rPr>
          <w:rFonts w:ascii="Arial" w:cs="Arial" w:eastAsia="Arial" w:hAnsi="Arial"/>
          <w:sz w:val="17"/>
          <w:szCs w:val="17"/>
          <w:b w:val="1"/>
          <w:bCs w:val="1"/>
          <w:color w:val="4395D4"/>
        </w:rPr>
        <w:t>Review of Transactions for Director Independence Determination</w:t>
      </w:r>
    </w:p>
    <w:p>
      <w:pPr>
        <w:spacing w:after="0" w:line="153" w:lineRule="exact"/>
        <w:rPr>
          <w:sz w:val="20"/>
          <w:szCs w:val="20"/>
          <w:color w:val="auto"/>
        </w:rPr>
      </w:pPr>
    </w:p>
    <w:p>
      <w:pPr>
        <w:ind w:right="2380"/>
        <w:spacing w:after="0" w:line="278" w:lineRule="auto"/>
        <w:rPr>
          <w:sz w:val="20"/>
          <w:szCs w:val="20"/>
          <w:color w:val="auto"/>
        </w:rPr>
      </w:pPr>
      <w:r>
        <w:rPr>
          <w:rFonts w:ascii="Arial" w:cs="Arial" w:eastAsia="Arial" w:hAnsi="Arial"/>
          <w:sz w:val="14"/>
          <w:szCs w:val="14"/>
          <w:color w:val="231F20"/>
        </w:rPr>
        <w:t>The Board of Directors considered the following transactions, relationships and arrangements in connection with making the independence determinations for the current Board of Directors:</w:t>
      </w:r>
    </w:p>
    <w:p>
      <w:pPr>
        <w:spacing w:after="0" w:line="86" w:lineRule="exact"/>
        <w:rPr>
          <w:sz w:val="20"/>
          <w:szCs w:val="20"/>
          <w:color w:val="auto"/>
        </w:rPr>
      </w:pPr>
    </w:p>
    <w:p>
      <w:pPr>
        <w:ind w:left="200" w:right="380" w:hanging="198"/>
        <w:spacing w:after="0" w:line="278" w:lineRule="auto"/>
        <w:tabs>
          <w:tab w:leader="none" w:pos="200" w:val="left"/>
        </w:tabs>
        <w:numPr>
          <w:ilvl w:val="0"/>
          <w:numId w:val="70"/>
        </w:numPr>
        <w:rPr>
          <w:rFonts w:ascii="Arial" w:cs="Arial" w:eastAsia="Arial" w:hAnsi="Arial"/>
          <w:sz w:val="14"/>
          <w:szCs w:val="14"/>
          <w:color w:val="231F20"/>
        </w:rPr>
      </w:pPr>
      <w:r>
        <w:rPr>
          <w:rFonts w:ascii="Arial" w:cs="Arial" w:eastAsia="Arial" w:hAnsi="Arial"/>
          <w:sz w:val="14"/>
          <w:szCs w:val="14"/>
          <w:color w:val="231F20"/>
        </w:rPr>
        <w:t>During 2020, the Company made contributions to charitable or civic organizations for which the following directors serve as directors, trustees or executive officers: Mr. Franklin, and Mr. Hilferty. None of the Company’s contributions exceeded the greater of $1 million or 2% of the recipient organization’s consolidated gross revenues.</w:t>
      </w:r>
    </w:p>
    <w:p>
      <w:pPr>
        <w:spacing w:after="0" w:line="22" w:lineRule="exact"/>
        <w:rPr>
          <w:rFonts w:ascii="Arial" w:cs="Arial" w:eastAsia="Arial" w:hAnsi="Arial"/>
          <w:sz w:val="14"/>
          <w:szCs w:val="14"/>
          <w:color w:val="231F20"/>
        </w:rPr>
      </w:pPr>
    </w:p>
    <w:p>
      <w:pPr>
        <w:ind w:left="200" w:right="260" w:hanging="198"/>
        <w:spacing w:after="0"/>
        <w:tabs>
          <w:tab w:leader="none" w:pos="200" w:val="left"/>
        </w:tabs>
        <w:numPr>
          <w:ilvl w:val="0"/>
          <w:numId w:val="70"/>
        </w:numPr>
        <w:rPr>
          <w:rFonts w:ascii="Arial" w:cs="Arial" w:eastAsia="Arial" w:hAnsi="Arial"/>
          <w:sz w:val="14"/>
          <w:szCs w:val="14"/>
          <w:color w:val="231F20"/>
        </w:rPr>
      </w:pPr>
      <w:r>
        <w:rPr>
          <w:rFonts w:ascii="Arial" w:cs="Arial" w:eastAsia="Arial" w:hAnsi="Arial"/>
          <w:sz w:val="14"/>
          <w:szCs w:val="14"/>
          <w:color w:val="231F20"/>
        </w:rPr>
        <w:t>During 2020, the Company provided water service at normal tariff rates to IHG or its affiliates. During the majority of 2020, Mr. Hilferty served as President and Chief Executive Officer of IHG. Southern Company or its affiliates provides electric service at tariff rates to the Company. Mr. Womack serves as President of Georgia Power, a subsidiary of Southern Company. United Technologies Corp. or its affiliates sold elevators and related services to the Company under contractually negotiated terms and conditions. During part of 2020, Ms. Amato served as the Executive Vice President, Chief Human Resources Officer of United Technologies. The amounts paid to the Company by these other entities and paid by the Company to Southern Company are pursuant to tariff rates, and are not material to these entities or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102235</wp:posOffset>
            </wp:positionV>
            <wp:extent cx="7139940"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39940" cy="8255"/>
                    </a:xfrm>
                    <a:prstGeom prst="rect">
                      <a:avLst/>
                    </a:prstGeom>
                    <a:noFill/>
                  </pic:spPr>
                </pic:pic>
              </a:graphicData>
            </a:graphic>
          </wp:anchor>
        </w:drawing>
      </w:r>
    </w:p>
    <w:p>
      <w:pPr>
        <w:spacing w:after="0" w:line="210" w:lineRule="exact"/>
        <w:rPr>
          <w:sz w:val="20"/>
          <w:szCs w:val="20"/>
          <w:color w:val="auto"/>
        </w:rPr>
      </w:pPr>
    </w:p>
    <w:p>
      <w:pPr>
        <w:ind w:left="300" w:hanging="298"/>
        <w:spacing w:after="0"/>
        <w:tabs>
          <w:tab w:leader="none" w:pos="300" w:val="left"/>
        </w:tabs>
        <w:numPr>
          <w:ilvl w:val="0"/>
          <w:numId w:val="71"/>
        </w:numPr>
        <w:rPr>
          <w:rFonts w:ascii="Arial" w:cs="Arial" w:eastAsia="Arial" w:hAnsi="Arial"/>
          <w:sz w:val="15"/>
          <w:szCs w:val="15"/>
          <w:color w:val="455986"/>
        </w:rPr>
      </w:pPr>
      <w:r>
        <w:rPr>
          <w:rFonts w:ascii="Arial" w:cs="Arial" w:eastAsia="Arial" w:hAnsi="Arial"/>
          <w:sz w:val="12"/>
          <w:szCs w:val="12"/>
          <w:color w:val="4395D4"/>
        </w:rPr>
        <w:t xml:space="preserve">ESSENTIAL UTILITIES, INC. </w:t>
      </w:r>
      <w:r>
        <w:rPr>
          <w:rFonts w:ascii="Arial" w:cs="Arial" w:eastAsia="Arial" w:hAnsi="Arial"/>
          <w:sz w:val="12"/>
          <w:szCs w:val="12"/>
          <w:color w:val="455986"/>
        </w:rPr>
        <w:t>2021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324485</wp:posOffset>
            </wp:positionV>
            <wp:extent cx="7139940" cy="2413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39940" cy="24130"/>
                    </a:xfrm>
                    <a:prstGeom prst="rect">
                      <a:avLst/>
                    </a:prstGeom>
                    <a:noFill/>
                  </pic:spPr>
                </pic:pic>
              </a:graphicData>
            </a:graphic>
          </wp:anchor>
        </w:drawing>
      </w:r>
    </w:p>
    <w:p>
      <w:pPr>
        <w:sectPr>
          <w:pgSz w:w="11900" w:h="16838" w:orient="portrait"/>
          <w:cols w:equalWidth="0" w:num="1">
            <w:col w:w="11240"/>
          </w:cols>
          <w:pgMar w:left="320" w:top="636" w:right="339" w:bottom="1440" w:gutter="0" w:footer="0" w:header="0"/>
        </w:sectPr>
      </w:pPr>
    </w:p>
    <w:bookmarkStart w:id="35" w:name="page36"/>
    <w:bookmarkEnd w:id="35"/>
    <w:p>
      <w:pPr>
        <w:spacing w:after="0"/>
        <w:rPr>
          <w:sz w:val="20"/>
          <w:szCs w:val="20"/>
          <w:color w:val="auto"/>
        </w:rPr>
      </w:pPr>
      <w:r>
        <w:rPr>
          <w:rFonts w:ascii="Arial" w:cs="Arial" w:eastAsia="Arial" w:hAnsi="Arial"/>
          <w:sz w:val="14"/>
          <w:szCs w:val="14"/>
          <w:b w:val="1"/>
          <w:bCs w:val="1"/>
          <w:color w:val="455986"/>
        </w:rPr>
        <w:t>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27940</wp:posOffset>
            </wp:positionV>
            <wp:extent cx="7139940"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39940" cy="8255"/>
                    </a:xfrm>
                    <a:prstGeom prst="rect">
                      <a:avLst/>
                    </a:prstGeom>
                    <a:noFill/>
                  </pic:spPr>
                </pic:pic>
              </a:graphicData>
            </a:graphic>
          </wp:anchor>
        </w:drawing>
      </w:r>
    </w:p>
    <w:p>
      <w:pPr>
        <w:spacing w:after="0" w:line="76" w:lineRule="exact"/>
        <w:rPr>
          <w:sz w:val="20"/>
          <w:szCs w:val="20"/>
          <w:color w:val="auto"/>
        </w:rPr>
      </w:pPr>
    </w:p>
    <w:p>
      <w:pPr>
        <w:spacing w:after="0"/>
        <w:rPr>
          <w:sz w:val="20"/>
          <w:szCs w:val="20"/>
          <w:color w:val="auto"/>
        </w:rPr>
      </w:pPr>
      <w:r>
        <w:rPr>
          <w:rFonts w:ascii="Arial" w:cs="Arial" w:eastAsia="Arial" w:hAnsi="Arial"/>
          <w:sz w:val="14"/>
          <w:szCs w:val="14"/>
          <w:color w:val="231F20"/>
        </w:rPr>
        <w:t>Governance Policies and Practices</w:t>
      </w:r>
    </w:p>
    <w:p>
      <w:pPr>
        <w:spacing w:after="0" w:line="174" w:lineRule="exact"/>
        <w:rPr>
          <w:sz w:val="20"/>
          <w:szCs w:val="20"/>
          <w:color w:val="auto"/>
        </w:rPr>
      </w:pPr>
    </w:p>
    <w:p>
      <w:pPr>
        <w:ind w:left="200" w:right="140" w:hanging="198"/>
        <w:spacing w:after="0"/>
        <w:tabs>
          <w:tab w:leader="none" w:pos="200" w:val="left"/>
        </w:tabs>
        <w:numPr>
          <w:ilvl w:val="0"/>
          <w:numId w:val="72"/>
        </w:numPr>
        <w:rPr>
          <w:rFonts w:ascii="Arial" w:cs="Arial" w:eastAsia="Arial" w:hAnsi="Arial"/>
          <w:sz w:val="14"/>
          <w:szCs w:val="14"/>
          <w:color w:val="231F20"/>
        </w:rPr>
      </w:pPr>
      <w:r>
        <w:rPr>
          <w:rFonts w:ascii="Arial" w:cs="Arial" w:eastAsia="Arial" w:hAnsi="Arial"/>
          <w:sz w:val="14"/>
          <w:szCs w:val="14"/>
          <w:color w:val="231F20"/>
        </w:rPr>
        <w:t>The Company has insurance arrangements with IHG or its affiliates. The Company contracts with IHG to serve as the administrator of the Company’s self-insured medical plans for the Company’s employees. As a benefit of employment, the Company offers its employees medical insurance benefits through plans established by IHG. The Company is self-insured for all of these plans, and has contracted with IHG to serve as the administrator of the Company’s medical plans. As compensation for these administrative services, the Company paid fees to IHG. For each of the last three fiscal years, the fees paid to IHG, IHG’s gross revenues, and the fees as a percentage of IHG’s gross revenues were as follows:</w:t>
      </w:r>
    </w:p>
    <w:p>
      <w:pPr>
        <w:spacing w:after="0" w:line="183"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3120" w:type="dxa"/>
            <w:vAlign w:val="bottom"/>
            <w:vMerge w:val="restart"/>
          </w:tcPr>
          <w:p>
            <w:pPr>
              <w:spacing w:after="0"/>
              <w:rPr>
                <w:sz w:val="20"/>
                <w:szCs w:val="20"/>
                <w:color w:val="auto"/>
              </w:rPr>
            </w:pPr>
            <w:r>
              <w:rPr>
                <w:rFonts w:ascii="Arial" w:cs="Arial" w:eastAsia="Arial" w:hAnsi="Arial"/>
                <w:sz w:val="14"/>
                <w:szCs w:val="14"/>
                <w:color w:val="455986"/>
              </w:rPr>
              <w:t>Fiscal Year</w:t>
            </w:r>
          </w:p>
        </w:tc>
        <w:tc>
          <w:tcPr>
            <w:tcW w:w="3920" w:type="dxa"/>
            <w:vAlign w:val="bottom"/>
            <w:vMerge w:val="restart"/>
          </w:tcPr>
          <w:p>
            <w:pPr>
              <w:jc w:val="right"/>
              <w:ind w:right="328"/>
              <w:spacing w:after="0"/>
              <w:rPr>
                <w:sz w:val="20"/>
                <w:szCs w:val="20"/>
                <w:color w:val="auto"/>
              </w:rPr>
            </w:pPr>
            <w:r>
              <w:rPr>
                <w:rFonts w:ascii="Arial" w:cs="Arial" w:eastAsia="Arial" w:hAnsi="Arial"/>
                <w:sz w:val="14"/>
                <w:szCs w:val="14"/>
                <w:color w:val="455986"/>
              </w:rPr>
              <w:t>Fees Paid to IHG</w:t>
            </w:r>
          </w:p>
        </w:tc>
        <w:tc>
          <w:tcPr>
            <w:tcW w:w="1940" w:type="dxa"/>
            <w:vAlign w:val="bottom"/>
            <w:vMerge w:val="restart"/>
          </w:tcPr>
          <w:p>
            <w:pPr>
              <w:ind w:left="420"/>
              <w:spacing w:after="0"/>
              <w:rPr>
                <w:sz w:val="20"/>
                <w:szCs w:val="20"/>
                <w:color w:val="auto"/>
              </w:rPr>
            </w:pPr>
            <w:r>
              <w:rPr>
                <w:rFonts w:ascii="Arial" w:cs="Arial" w:eastAsia="Arial" w:hAnsi="Arial"/>
                <w:sz w:val="14"/>
                <w:szCs w:val="14"/>
                <w:color w:val="455986"/>
              </w:rPr>
              <w:t>IHG Gross Revenues</w:t>
            </w:r>
          </w:p>
        </w:tc>
        <w:tc>
          <w:tcPr>
            <w:tcW w:w="2040" w:type="dxa"/>
            <w:vAlign w:val="bottom"/>
          </w:tcPr>
          <w:p>
            <w:pPr>
              <w:jc w:val="right"/>
              <w:ind w:right="48"/>
              <w:spacing w:after="0"/>
              <w:rPr>
                <w:sz w:val="20"/>
                <w:szCs w:val="20"/>
                <w:color w:val="auto"/>
              </w:rPr>
            </w:pPr>
            <w:r>
              <w:rPr>
                <w:rFonts w:ascii="Arial" w:cs="Arial" w:eastAsia="Arial" w:hAnsi="Arial"/>
                <w:sz w:val="14"/>
                <w:szCs w:val="14"/>
                <w:color w:val="455986"/>
              </w:rPr>
              <w:t>Fees Paid as a Percentage</w:t>
            </w:r>
          </w:p>
        </w:tc>
        <w:tc>
          <w:tcPr>
            <w:tcW w:w="0" w:type="dxa"/>
            <w:vAlign w:val="bottom"/>
          </w:tcPr>
          <w:p>
            <w:pPr>
              <w:spacing w:after="0"/>
              <w:rPr>
                <w:sz w:val="1"/>
                <w:szCs w:val="1"/>
                <w:color w:val="auto"/>
              </w:rPr>
            </w:pPr>
          </w:p>
        </w:tc>
      </w:tr>
      <w:tr>
        <w:trPr>
          <w:trHeight w:val="174"/>
        </w:trPr>
        <w:tc>
          <w:tcPr>
            <w:tcW w:w="3120" w:type="dxa"/>
            <w:vAlign w:val="bottom"/>
            <w:tcBorders>
              <w:bottom w:val="single" w:sz="8" w:color="4395D4"/>
            </w:tcBorders>
            <w:vMerge w:val="continue"/>
          </w:tcPr>
          <w:p>
            <w:pPr>
              <w:spacing w:after="0"/>
              <w:rPr>
                <w:sz w:val="15"/>
                <w:szCs w:val="15"/>
                <w:color w:val="auto"/>
              </w:rPr>
            </w:pPr>
          </w:p>
        </w:tc>
        <w:tc>
          <w:tcPr>
            <w:tcW w:w="3920" w:type="dxa"/>
            <w:vAlign w:val="bottom"/>
            <w:tcBorders>
              <w:bottom w:val="single" w:sz="8" w:color="4395D4"/>
            </w:tcBorders>
            <w:vMerge w:val="continue"/>
          </w:tcPr>
          <w:p>
            <w:pPr>
              <w:spacing w:after="0"/>
              <w:rPr>
                <w:sz w:val="15"/>
                <w:szCs w:val="15"/>
                <w:color w:val="auto"/>
              </w:rPr>
            </w:pPr>
          </w:p>
        </w:tc>
        <w:tc>
          <w:tcPr>
            <w:tcW w:w="1940" w:type="dxa"/>
            <w:vAlign w:val="bottom"/>
            <w:tcBorders>
              <w:bottom w:val="single" w:sz="8" w:color="4395D4"/>
            </w:tcBorders>
            <w:vMerge w:val="continue"/>
          </w:tcPr>
          <w:p>
            <w:pPr>
              <w:spacing w:after="0"/>
              <w:rPr>
                <w:sz w:val="15"/>
                <w:szCs w:val="15"/>
                <w:color w:val="auto"/>
              </w:rPr>
            </w:pPr>
          </w:p>
        </w:tc>
        <w:tc>
          <w:tcPr>
            <w:tcW w:w="2040" w:type="dxa"/>
            <w:vAlign w:val="bottom"/>
            <w:tcBorders>
              <w:bottom w:val="single" w:sz="8" w:color="4395D4"/>
            </w:tcBorders>
          </w:tcPr>
          <w:p>
            <w:pPr>
              <w:jc w:val="right"/>
              <w:ind w:right="8"/>
              <w:spacing w:after="0"/>
              <w:rPr>
                <w:sz w:val="20"/>
                <w:szCs w:val="20"/>
                <w:color w:val="auto"/>
              </w:rPr>
            </w:pPr>
            <w:r>
              <w:rPr>
                <w:rFonts w:ascii="Arial" w:cs="Arial" w:eastAsia="Arial" w:hAnsi="Arial"/>
                <w:sz w:val="14"/>
                <w:szCs w:val="14"/>
                <w:color w:val="455986"/>
              </w:rPr>
              <w:t>of IHG Gross Revenues</w:t>
            </w:r>
          </w:p>
        </w:tc>
        <w:tc>
          <w:tcPr>
            <w:tcW w:w="0" w:type="dxa"/>
            <w:vAlign w:val="bottom"/>
          </w:tcPr>
          <w:p>
            <w:pPr>
              <w:spacing w:after="0"/>
              <w:rPr>
                <w:sz w:val="1"/>
                <w:szCs w:val="1"/>
                <w:color w:val="auto"/>
              </w:rPr>
            </w:pPr>
          </w:p>
        </w:tc>
      </w:tr>
      <w:tr>
        <w:trPr>
          <w:trHeight w:val="146"/>
        </w:trPr>
        <w:tc>
          <w:tcPr>
            <w:tcW w:w="3120" w:type="dxa"/>
            <w:vAlign w:val="bottom"/>
            <w:tcBorders>
              <w:bottom w:val="single" w:sz="8" w:color="231F20"/>
            </w:tcBorders>
          </w:tcPr>
          <w:p>
            <w:pPr>
              <w:spacing w:after="0" w:line="146" w:lineRule="exact"/>
              <w:rPr>
                <w:sz w:val="20"/>
                <w:szCs w:val="20"/>
                <w:color w:val="auto"/>
              </w:rPr>
            </w:pPr>
            <w:r>
              <w:rPr>
                <w:rFonts w:ascii="Arial" w:cs="Arial" w:eastAsia="Arial" w:hAnsi="Arial"/>
                <w:sz w:val="14"/>
                <w:szCs w:val="14"/>
                <w:b w:val="1"/>
                <w:bCs w:val="1"/>
                <w:color w:val="455986"/>
              </w:rPr>
              <w:t>2018</w:t>
            </w:r>
          </w:p>
        </w:tc>
        <w:tc>
          <w:tcPr>
            <w:tcW w:w="3920" w:type="dxa"/>
            <w:vAlign w:val="bottom"/>
            <w:tcBorders>
              <w:bottom w:val="single" w:sz="8" w:color="231F20"/>
            </w:tcBorders>
          </w:tcPr>
          <w:p>
            <w:pPr>
              <w:jc w:val="right"/>
              <w:ind w:right="328"/>
              <w:spacing w:after="0" w:line="146" w:lineRule="exact"/>
              <w:rPr>
                <w:sz w:val="20"/>
                <w:szCs w:val="20"/>
                <w:color w:val="auto"/>
              </w:rPr>
            </w:pPr>
            <w:r>
              <w:rPr>
                <w:rFonts w:ascii="Arial" w:cs="Arial" w:eastAsia="Arial" w:hAnsi="Arial"/>
                <w:sz w:val="14"/>
                <w:szCs w:val="14"/>
                <w:color w:val="231F20"/>
              </w:rPr>
              <w:t>$2,125,045</w:t>
            </w:r>
          </w:p>
        </w:tc>
        <w:tc>
          <w:tcPr>
            <w:tcW w:w="1940" w:type="dxa"/>
            <w:vAlign w:val="bottom"/>
            <w:tcBorders>
              <w:bottom w:val="single" w:sz="8" w:color="231F20"/>
            </w:tcBorders>
          </w:tcPr>
          <w:p>
            <w:pPr>
              <w:ind w:left="660"/>
              <w:spacing w:after="0" w:line="146" w:lineRule="exact"/>
              <w:rPr>
                <w:sz w:val="20"/>
                <w:szCs w:val="20"/>
                <w:color w:val="auto"/>
              </w:rPr>
            </w:pPr>
            <w:r>
              <w:rPr>
                <w:rFonts w:ascii="Arial" w:cs="Arial" w:eastAsia="Arial" w:hAnsi="Arial"/>
                <w:sz w:val="14"/>
                <w:szCs w:val="14"/>
                <w:color w:val="231F20"/>
              </w:rPr>
              <w:t>$17,000,000,000</w:t>
            </w:r>
          </w:p>
        </w:tc>
        <w:tc>
          <w:tcPr>
            <w:tcW w:w="2040" w:type="dxa"/>
            <w:vAlign w:val="bottom"/>
            <w:tcBorders>
              <w:bottom w:val="single" w:sz="8" w:color="231F20"/>
            </w:tcBorders>
          </w:tcPr>
          <w:p>
            <w:pPr>
              <w:jc w:val="right"/>
              <w:ind w:right="8"/>
              <w:spacing w:after="0" w:line="146" w:lineRule="exact"/>
              <w:rPr>
                <w:sz w:val="20"/>
                <w:szCs w:val="20"/>
                <w:color w:val="auto"/>
              </w:rPr>
            </w:pPr>
            <w:r>
              <w:rPr>
                <w:rFonts w:ascii="Arial" w:cs="Arial" w:eastAsia="Arial" w:hAnsi="Arial"/>
                <w:sz w:val="14"/>
                <w:szCs w:val="14"/>
                <w:color w:val="231F20"/>
              </w:rPr>
              <w:t>0.013%</w:t>
            </w:r>
          </w:p>
        </w:tc>
        <w:tc>
          <w:tcPr>
            <w:tcW w:w="0" w:type="dxa"/>
            <w:vAlign w:val="bottom"/>
          </w:tcPr>
          <w:p>
            <w:pPr>
              <w:spacing w:after="0"/>
              <w:rPr>
                <w:sz w:val="1"/>
                <w:szCs w:val="1"/>
                <w:color w:val="auto"/>
              </w:rPr>
            </w:pPr>
          </w:p>
        </w:tc>
      </w:tr>
      <w:tr>
        <w:trPr>
          <w:trHeight w:val="146"/>
        </w:trPr>
        <w:tc>
          <w:tcPr>
            <w:tcW w:w="3120" w:type="dxa"/>
            <w:vAlign w:val="bottom"/>
            <w:tcBorders>
              <w:bottom w:val="single" w:sz="8" w:color="231F20"/>
            </w:tcBorders>
          </w:tcPr>
          <w:p>
            <w:pPr>
              <w:spacing w:after="0" w:line="146" w:lineRule="exact"/>
              <w:rPr>
                <w:sz w:val="20"/>
                <w:szCs w:val="20"/>
                <w:color w:val="auto"/>
              </w:rPr>
            </w:pPr>
            <w:r>
              <w:rPr>
                <w:rFonts w:ascii="Arial" w:cs="Arial" w:eastAsia="Arial" w:hAnsi="Arial"/>
                <w:sz w:val="14"/>
                <w:szCs w:val="14"/>
                <w:b w:val="1"/>
                <w:bCs w:val="1"/>
                <w:color w:val="455986"/>
              </w:rPr>
              <w:t>2019</w:t>
            </w:r>
          </w:p>
        </w:tc>
        <w:tc>
          <w:tcPr>
            <w:tcW w:w="3920" w:type="dxa"/>
            <w:vAlign w:val="bottom"/>
            <w:tcBorders>
              <w:bottom w:val="single" w:sz="8" w:color="231F20"/>
            </w:tcBorders>
          </w:tcPr>
          <w:p>
            <w:pPr>
              <w:jc w:val="right"/>
              <w:ind w:right="328"/>
              <w:spacing w:after="0" w:line="146" w:lineRule="exact"/>
              <w:rPr>
                <w:sz w:val="20"/>
                <w:szCs w:val="20"/>
                <w:color w:val="auto"/>
              </w:rPr>
            </w:pPr>
            <w:r>
              <w:rPr>
                <w:rFonts w:ascii="Arial" w:cs="Arial" w:eastAsia="Arial" w:hAnsi="Arial"/>
                <w:sz w:val="14"/>
                <w:szCs w:val="14"/>
                <w:color w:val="231F20"/>
              </w:rPr>
              <w:t>$2,205,381</w:t>
            </w:r>
          </w:p>
        </w:tc>
        <w:tc>
          <w:tcPr>
            <w:tcW w:w="1940" w:type="dxa"/>
            <w:vAlign w:val="bottom"/>
            <w:tcBorders>
              <w:bottom w:val="single" w:sz="8" w:color="231F20"/>
            </w:tcBorders>
          </w:tcPr>
          <w:p>
            <w:pPr>
              <w:ind w:left="660"/>
              <w:spacing w:after="0" w:line="146" w:lineRule="exact"/>
              <w:rPr>
                <w:sz w:val="20"/>
                <w:szCs w:val="20"/>
                <w:color w:val="auto"/>
              </w:rPr>
            </w:pPr>
            <w:r>
              <w:rPr>
                <w:rFonts w:ascii="Arial" w:cs="Arial" w:eastAsia="Arial" w:hAnsi="Arial"/>
                <w:sz w:val="14"/>
                <w:szCs w:val="14"/>
                <w:color w:val="231F20"/>
              </w:rPr>
              <w:t>$19,200,000,000</w:t>
            </w:r>
          </w:p>
        </w:tc>
        <w:tc>
          <w:tcPr>
            <w:tcW w:w="2040" w:type="dxa"/>
            <w:vAlign w:val="bottom"/>
            <w:tcBorders>
              <w:bottom w:val="single" w:sz="8" w:color="231F20"/>
            </w:tcBorders>
          </w:tcPr>
          <w:p>
            <w:pPr>
              <w:jc w:val="right"/>
              <w:ind w:right="8"/>
              <w:spacing w:after="0" w:line="146" w:lineRule="exact"/>
              <w:rPr>
                <w:sz w:val="20"/>
                <w:szCs w:val="20"/>
                <w:color w:val="auto"/>
              </w:rPr>
            </w:pPr>
            <w:r>
              <w:rPr>
                <w:rFonts w:ascii="Arial" w:cs="Arial" w:eastAsia="Arial" w:hAnsi="Arial"/>
                <w:sz w:val="14"/>
                <w:szCs w:val="14"/>
                <w:color w:val="231F20"/>
              </w:rPr>
              <w:t>0.011%</w:t>
            </w:r>
          </w:p>
        </w:tc>
        <w:tc>
          <w:tcPr>
            <w:tcW w:w="0" w:type="dxa"/>
            <w:vAlign w:val="bottom"/>
          </w:tcPr>
          <w:p>
            <w:pPr>
              <w:spacing w:after="0"/>
              <w:rPr>
                <w:sz w:val="1"/>
                <w:szCs w:val="1"/>
                <w:color w:val="auto"/>
              </w:rPr>
            </w:pPr>
          </w:p>
        </w:tc>
      </w:tr>
      <w:tr>
        <w:trPr>
          <w:trHeight w:val="146"/>
        </w:trPr>
        <w:tc>
          <w:tcPr>
            <w:tcW w:w="3120" w:type="dxa"/>
            <w:vAlign w:val="bottom"/>
            <w:tcBorders>
              <w:bottom w:val="single" w:sz="8" w:color="455986"/>
            </w:tcBorders>
          </w:tcPr>
          <w:p>
            <w:pPr>
              <w:spacing w:after="0" w:line="146" w:lineRule="exact"/>
              <w:rPr>
                <w:sz w:val="20"/>
                <w:szCs w:val="20"/>
                <w:color w:val="auto"/>
              </w:rPr>
            </w:pPr>
            <w:r>
              <w:rPr>
                <w:rFonts w:ascii="Arial" w:cs="Arial" w:eastAsia="Arial" w:hAnsi="Arial"/>
                <w:sz w:val="14"/>
                <w:szCs w:val="14"/>
                <w:b w:val="1"/>
                <w:bCs w:val="1"/>
                <w:color w:val="455986"/>
              </w:rPr>
              <w:t>2020</w:t>
            </w:r>
          </w:p>
        </w:tc>
        <w:tc>
          <w:tcPr>
            <w:tcW w:w="3920" w:type="dxa"/>
            <w:vAlign w:val="bottom"/>
            <w:tcBorders>
              <w:bottom w:val="single" w:sz="8" w:color="455986"/>
            </w:tcBorders>
          </w:tcPr>
          <w:p>
            <w:pPr>
              <w:jc w:val="right"/>
              <w:ind w:right="328"/>
              <w:spacing w:after="0" w:line="146" w:lineRule="exact"/>
              <w:rPr>
                <w:sz w:val="20"/>
                <w:szCs w:val="20"/>
                <w:color w:val="auto"/>
              </w:rPr>
            </w:pPr>
            <w:r>
              <w:rPr>
                <w:rFonts w:ascii="Arial" w:cs="Arial" w:eastAsia="Arial" w:hAnsi="Arial"/>
                <w:sz w:val="14"/>
                <w:szCs w:val="14"/>
                <w:color w:val="231F20"/>
              </w:rPr>
              <w:t>$2,499,580</w:t>
            </w:r>
          </w:p>
        </w:tc>
        <w:tc>
          <w:tcPr>
            <w:tcW w:w="1940" w:type="dxa"/>
            <w:vAlign w:val="bottom"/>
            <w:tcBorders>
              <w:bottom w:val="single" w:sz="8" w:color="455986"/>
            </w:tcBorders>
          </w:tcPr>
          <w:p>
            <w:pPr>
              <w:ind w:left="640"/>
              <w:spacing w:after="0" w:line="146" w:lineRule="exact"/>
              <w:rPr>
                <w:sz w:val="20"/>
                <w:szCs w:val="20"/>
                <w:color w:val="auto"/>
              </w:rPr>
            </w:pPr>
            <w:r>
              <w:rPr>
                <w:rFonts w:ascii="Arial" w:cs="Arial" w:eastAsia="Arial" w:hAnsi="Arial"/>
                <w:sz w:val="14"/>
                <w:szCs w:val="14"/>
                <w:color w:val="231F20"/>
              </w:rPr>
              <w:t>$21,000,000,000*</w:t>
            </w:r>
          </w:p>
        </w:tc>
        <w:tc>
          <w:tcPr>
            <w:tcW w:w="2040" w:type="dxa"/>
            <w:vAlign w:val="bottom"/>
            <w:tcBorders>
              <w:bottom w:val="single" w:sz="8" w:color="455986"/>
            </w:tcBorders>
          </w:tcPr>
          <w:p>
            <w:pPr>
              <w:jc w:val="right"/>
              <w:ind w:right="8"/>
              <w:spacing w:after="0" w:line="146" w:lineRule="exact"/>
              <w:rPr>
                <w:sz w:val="20"/>
                <w:szCs w:val="20"/>
                <w:color w:val="auto"/>
              </w:rPr>
            </w:pPr>
            <w:r>
              <w:rPr>
                <w:rFonts w:ascii="Arial" w:cs="Arial" w:eastAsia="Arial" w:hAnsi="Arial"/>
                <w:sz w:val="14"/>
                <w:szCs w:val="14"/>
                <w:color w:val="231F20"/>
              </w:rPr>
              <w:t>0.012%</w:t>
            </w:r>
          </w:p>
        </w:tc>
        <w:tc>
          <w:tcPr>
            <w:tcW w:w="0" w:type="dxa"/>
            <w:vAlign w:val="bottom"/>
          </w:tcPr>
          <w:p>
            <w:pPr>
              <w:spacing w:after="0"/>
              <w:rPr>
                <w:sz w:val="1"/>
                <w:szCs w:val="1"/>
                <w:color w:val="auto"/>
              </w:rPr>
            </w:pPr>
          </w:p>
        </w:tc>
      </w:tr>
    </w:tbl>
    <w:p>
      <w:pPr>
        <w:spacing w:after="0" w:line="73" w:lineRule="exact"/>
        <w:rPr>
          <w:sz w:val="20"/>
          <w:szCs w:val="20"/>
          <w:color w:val="auto"/>
        </w:rPr>
      </w:pPr>
    </w:p>
    <w:p>
      <w:pPr>
        <w:ind w:left="200"/>
        <w:spacing w:after="0"/>
        <w:rPr>
          <w:sz w:val="20"/>
          <w:szCs w:val="20"/>
          <w:color w:val="auto"/>
        </w:rPr>
      </w:pPr>
      <w:r>
        <w:rPr>
          <w:rFonts w:ascii="Arial" w:cs="Arial" w:eastAsia="Arial" w:hAnsi="Arial"/>
          <w:sz w:val="13"/>
          <w:szCs w:val="13"/>
          <w:color w:val="231F20"/>
        </w:rPr>
        <w:t>* Revenues are estimated.</w:t>
      </w:r>
    </w:p>
    <w:p>
      <w:pPr>
        <w:spacing w:after="0" w:line="139" w:lineRule="exact"/>
        <w:rPr>
          <w:sz w:val="20"/>
          <w:szCs w:val="20"/>
          <w:color w:val="auto"/>
        </w:rPr>
      </w:pPr>
    </w:p>
    <w:p>
      <w:pPr>
        <w:ind w:left="200" w:right="60"/>
        <w:spacing w:after="0" w:line="253" w:lineRule="auto"/>
        <w:rPr>
          <w:sz w:val="20"/>
          <w:szCs w:val="20"/>
          <w:color w:val="auto"/>
        </w:rPr>
      </w:pPr>
      <w:r>
        <w:rPr>
          <w:rFonts w:ascii="Arial" w:cs="Arial" w:eastAsia="Arial" w:hAnsi="Arial"/>
          <w:sz w:val="14"/>
          <w:szCs w:val="14"/>
          <w:color w:val="231F20"/>
        </w:rPr>
        <w:t>Under the self-insured nature of the medical plans, the Company also submitted payments to IHG to maintain the necessary insurance reserves and to pay medical claims made for such years. As administrator, these payments were pass through payments and do not represent compensation to, or revenue of, IHG. The following pass through payments were made to IHG in the last three fiscal years:</w:t>
      </w:r>
    </w:p>
    <w:p>
      <w:pPr>
        <w:spacing w:after="0" w:line="103" w:lineRule="exact"/>
        <w:rPr>
          <w:sz w:val="20"/>
          <w:szCs w:val="20"/>
          <w:color w:val="auto"/>
        </w:rPr>
      </w:pPr>
    </w:p>
    <w:tbl>
      <w:tblPr>
        <w:tblLayout w:type="fixed"/>
        <w:tblInd w:w="200" w:type="dxa"/>
        <w:tblCellMar>
          <w:top w:w="0" w:type="dxa"/>
          <w:left w:w="0" w:type="dxa"/>
          <w:bottom w:w="0" w:type="dxa"/>
          <w:right w:w="0" w:type="dxa"/>
        </w:tblCellMar>
      </w:tblPr>
      <w:tr>
        <w:trPr>
          <w:trHeight w:val="174"/>
        </w:trPr>
        <w:tc>
          <w:tcPr>
            <w:tcW w:w="5040" w:type="dxa"/>
            <w:vAlign w:val="bottom"/>
            <w:tcBorders>
              <w:bottom w:val="single" w:sz="8" w:color="4395D4"/>
            </w:tcBorders>
          </w:tcPr>
          <w:p>
            <w:pPr>
              <w:spacing w:after="0"/>
              <w:rPr>
                <w:sz w:val="20"/>
                <w:szCs w:val="20"/>
                <w:color w:val="auto"/>
              </w:rPr>
            </w:pPr>
            <w:r>
              <w:rPr>
                <w:rFonts w:ascii="Arial" w:cs="Arial" w:eastAsia="Arial" w:hAnsi="Arial"/>
                <w:sz w:val="14"/>
                <w:szCs w:val="14"/>
                <w:color w:val="455986"/>
              </w:rPr>
              <w:t>Fiscal Year</w:t>
            </w:r>
          </w:p>
        </w:tc>
        <w:tc>
          <w:tcPr>
            <w:tcW w:w="5980" w:type="dxa"/>
            <w:vAlign w:val="bottom"/>
            <w:tcBorders>
              <w:bottom w:val="single" w:sz="8" w:color="4395D4"/>
            </w:tcBorders>
          </w:tcPr>
          <w:p>
            <w:pPr>
              <w:jc w:val="right"/>
              <w:ind w:right="8"/>
              <w:spacing w:after="0"/>
              <w:rPr>
                <w:sz w:val="20"/>
                <w:szCs w:val="20"/>
                <w:color w:val="auto"/>
              </w:rPr>
            </w:pPr>
            <w:r>
              <w:rPr>
                <w:rFonts w:ascii="Arial" w:cs="Arial" w:eastAsia="Arial" w:hAnsi="Arial"/>
                <w:sz w:val="14"/>
                <w:szCs w:val="14"/>
                <w:color w:val="455986"/>
              </w:rPr>
              <w:t>Pass Through Payments</w:t>
            </w:r>
          </w:p>
        </w:tc>
      </w:tr>
      <w:tr>
        <w:trPr>
          <w:trHeight w:val="146"/>
        </w:trPr>
        <w:tc>
          <w:tcPr>
            <w:tcW w:w="5040" w:type="dxa"/>
            <w:vAlign w:val="bottom"/>
            <w:tcBorders>
              <w:bottom w:val="single" w:sz="8" w:color="231F20"/>
            </w:tcBorders>
          </w:tcPr>
          <w:p>
            <w:pPr>
              <w:spacing w:after="0" w:line="146" w:lineRule="exact"/>
              <w:rPr>
                <w:sz w:val="20"/>
                <w:szCs w:val="20"/>
                <w:color w:val="auto"/>
              </w:rPr>
            </w:pPr>
            <w:r>
              <w:rPr>
                <w:rFonts w:ascii="Arial" w:cs="Arial" w:eastAsia="Arial" w:hAnsi="Arial"/>
                <w:sz w:val="14"/>
                <w:szCs w:val="14"/>
                <w:b w:val="1"/>
                <w:bCs w:val="1"/>
                <w:color w:val="455986"/>
              </w:rPr>
              <w:t>2018</w:t>
            </w:r>
          </w:p>
        </w:tc>
        <w:tc>
          <w:tcPr>
            <w:tcW w:w="5980" w:type="dxa"/>
            <w:vAlign w:val="bottom"/>
            <w:tcBorders>
              <w:bottom w:val="single" w:sz="8" w:color="231F20"/>
            </w:tcBorders>
          </w:tcPr>
          <w:p>
            <w:pPr>
              <w:jc w:val="right"/>
              <w:ind w:right="8"/>
              <w:spacing w:after="0" w:line="146" w:lineRule="exact"/>
              <w:rPr>
                <w:sz w:val="20"/>
                <w:szCs w:val="20"/>
                <w:color w:val="auto"/>
              </w:rPr>
            </w:pPr>
            <w:r>
              <w:rPr>
                <w:rFonts w:ascii="Arial" w:cs="Arial" w:eastAsia="Arial" w:hAnsi="Arial"/>
                <w:sz w:val="14"/>
                <w:szCs w:val="14"/>
                <w:color w:val="231F20"/>
              </w:rPr>
              <w:t>$14,303,630</w:t>
            </w:r>
          </w:p>
        </w:tc>
      </w:tr>
      <w:tr>
        <w:trPr>
          <w:trHeight w:val="146"/>
        </w:trPr>
        <w:tc>
          <w:tcPr>
            <w:tcW w:w="5040" w:type="dxa"/>
            <w:vAlign w:val="bottom"/>
            <w:tcBorders>
              <w:bottom w:val="single" w:sz="8" w:color="231F20"/>
            </w:tcBorders>
          </w:tcPr>
          <w:p>
            <w:pPr>
              <w:spacing w:after="0" w:line="146" w:lineRule="exact"/>
              <w:rPr>
                <w:sz w:val="20"/>
                <w:szCs w:val="20"/>
                <w:color w:val="auto"/>
              </w:rPr>
            </w:pPr>
            <w:r>
              <w:rPr>
                <w:rFonts w:ascii="Arial" w:cs="Arial" w:eastAsia="Arial" w:hAnsi="Arial"/>
                <w:sz w:val="14"/>
                <w:szCs w:val="14"/>
                <w:b w:val="1"/>
                <w:bCs w:val="1"/>
                <w:color w:val="455986"/>
              </w:rPr>
              <w:t>2019</w:t>
            </w:r>
          </w:p>
        </w:tc>
        <w:tc>
          <w:tcPr>
            <w:tcW w:w="5980" w:type="dxa"/>
            <w:vAlign w:val="bottom"/>
            <w:tcBorders>
              <w:bottom w:val="single" w:sz="8" w:color="231F20"/>
            </w:tcBorders>
          </w:tcPr>
          <w:p>
            <w:pPr>
              <w:jc w:val="right"/>
              <w:ind w:right="8"/>
              <w:spacing w:after="0" w:line="146" w:lineRule="exact"/>
              <w:rPr>
                <w:sz w:val="20"/>
                <w:szCs w:val="20"/>
                <w:color w:val="auto"/>
              </w:rPr>
            </w:pPr>
            <w:r>
              <w:rPr>
                <w:rFonts w:ascii="Arial" w:cs="Arial" w:eastAsia="Arial" w:hAnsi="Arial"/>
                <w:sz w:val="14"/>
                <w:szCs w:val="14"/>
                <w:color w:val="231F20"/>
              </w:rPr>
              <w:t>$13,711,289</w:t>
            </w:r>
          </w:p>
        </w:tc>
      </w:tr>
      <w:tr>
        <w:trPr>
          <w:trHeight w:val="146"/>
        </w:trPr>
        <w:tc>
          <w:tcPr>
            <w:tcW w:w="5040" w:type="dxa"/>
            <w:vAlign w:val="bottom"/>
            <w:tcBorders>
              <w:bottom w:val="single" w:sz="8" w:color="455986"/>
            </w:tcBorders>
          </w:tcPr>
          <w:p>
            <w:pPr>
              <w:spacing w:after="0" w:line="146" w:lineRule="exact"/>
              <w:rPr>
                <w:sz w:val="20"/>
                <w:szCs w:val="20"/>
                <w:color w:val="auto"/>
              </w:rPr>
            </w:pPr>
            <w:r>
              <w:rPr>
                <w:rFonts w:ascii="Arial" w:cs="Arial" w:eastAsia="Arial" w:hAnsi="Arial"/>
                <w:sz w:val="14"/>
                <w:szCs w:val="14"/>
                <w:b w:val="1"/>
                <w:bCs w:val="1"/>
                <w:color w:val="455986"/>
              </w:rPr>
              <w:t>2020</w:t>
            </w:r>
          </w:p>
        </w:tc>
        <w:tc>
          <w:tcPr>
            <w:tcW w:w="5980" w:type="dxa"/>
            <w:vAlign w:val="bottom"/>
            <w:tcBorders>
              <w:bottom w:val="single" w:sz="8" w:color="455986"/>
            </w:tcBorders>
          </w:tcPr>
          <w:p>
            <w:pPr>
              <w:jc w:val="right"/>
              <w:ind w:right="8"/>
              <w:spacing w:after="0" w:line="146" w:lineRule="exact"/>
              <w:rPr>
                <w:sz w:val="20"/>
                <w:szCs w:val="20"/>
                <w:color w:val="auto"/>
              </w:rPr>
            </w:pPr>
            <w:r>
              <w:rPr>
                <w:rFonts w:ascii="Arial" w:cs="Arial" w:eastAsia="Arial" w:hAnsi="Arial"/>
                <w:sz w:val="14"/>
                <w:szCs w:val="14"/>
                <w:color w:val="231F20"/>
              </w:rPr>
              <w:t>$14,557,659</w:t>
            </w:r>
          </w:p>
        </w:tc>
      </w:tr>
    </w:tbl>
    <w:p>
      <w:pPr>
        <w:spacing w:after="0" w:line="132" w:lineRule="exact"/>
        <w:rPr>
          <w:sz w:val="20"/>
          <w:szCs w:val="20"/>
          <w:color w:val="auto"/>
        </w:rPr>
      </w:pPr>
    </w:p>
    <w:p>
      <w:pPr>
        <w:ind w:left="200"/>
        <w:spacing w:after="0"/>
        <w:rPr>
          <w:sz w:val="20"/>
          <w:szCs w:val="20"/>
          <w:color w:val="auto"/>
        </w:rPr>
      </w:pPr>
      <w:r>
        <w:rPr>
          <w:rFonts w:ascii="Arial" w:cs="Arial" w:eastAsia="Arial" w:hAnsi="Arial"/>
          <w:sz w:val="14"/>
          <w:szCs w:val="14"/>
          <w:color w:val="231F20"/>
        </w:rPr>
        <w:t>The amounts paid by the Company to IHG are not material to IHG or to the Company.</w:t>
      </w:r>
    </w:p>
    <w:p>
      <w:pPr>
        <w:spacing w:after="0" w:line="145" w:lineRule="exact"/>
        <w:rPr>
          <w:sz w:val="20"/>
          <w:szCs w:val="20"/>
          <w:color w:val="auto"/>
        </w:rPr>
      </w:pPr>
    </w:p>
    <w:p>
      <w:pPr>
        <w:spacing w:after="0"/>
        <w:rPr>
          <w:sz w:val="20"/>
          <w:szCs w:val="20"/>
          <w:color w:val="auto"/>
        </w:rPr>
      </w:pPr>
      <w:r>
        <w:rPr>
          <w:rFonts w:ascii="Arial" w:cs="Arial" w:eastAsia="Arial" w:hAnsi="Arial"/>
          <w:sz w:val="14"/>
          <w:szCs w:val="14"/>
          <w:color w:val="231F20"/>
        </w:rPr>
        <w:t>4. Ms. Kelly’s role as Senior Principal of CPPIB.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130175</wp:posOffset>
            </wp:positionV>
            <wp:extent cx="7139940"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39940" cy="8255"/>
                    </a:xfrm>
                    <a:prstGeom prst="rect">
                      <a:avLst/>
                    </a:prstGeom>
                    <a:noFill/>
                  </pic:spPr>
                </pic:pic>
              </a:graphicData>
            </a:graphic>
          </wp:anchor>
        </w:drawing>
      </w:r>
    </w:p>
    <w:p>
      <w:pPr>
        <w:spacing w:after="0" w:line="230" w:lineRule="exact"/>
        <w:rPr>
          <w:sz w:val="20"/>
          <w:szCs w:val="20"/>
          <w:color w:val="auto"/>
        </w:rPr>
      </w:pPr>
    </w:p>
    <w:p>
      <w:pPr>
        <w:jc w:val="right"/>
        <w:spacing w:after="0"/>
        <w:tabs>
          <w:tab w:leader="none" w:pos="140" w:val="left"/>
        </w:tabs>
        <w:rPr>
          <w:sz w:val="20"/>
          <w:szCs w:val="20"/>
          <w:color w:val="auto"/>
        </w:rPr>
      </w:pPr>
      <w:r>
        <w:rPr>
          <w:rFonts w:ascii="Arial" w:cs="Arial" w:eastAsia="Arial" w:hAnsi="Arial"/>
          <w:sz w:val="12"/>
          <w:szCs w:val="12"/>
          <w:color w:val="4395D4"/>
        </w:rPr>
        <w:t xml:space="preserve">ESSENTIAL UTILITIES, INC. </w:t>
      </w:r>
      <w:r>
        <w:rPr>
          <w:rFonts w:ascii="Arial" w:cs="Arial" w:eastAsia="Arial" w:hAnsi="Arial"/>
          <w:sz w:val="12"/>
          <w:szCs w:val="12"/>
          <w:color w:val="455986"/>
        </w:rPr>
        <w:t>2021 PROXY STATEMENT</w:t>
      </w:r>
      <w:r>
        <w:rPr>
          <w:sz w:val="20"/>
          <w:szCs w:val="20"/>
          <w:color w:val="auto"/>
        </w:rPr>
        <w:tab/>
      </w:r>
      <w:r>
        <w:rPr>
          <w:rFonts w:ascii="Arial" w:cs="Arial" w:eastAsia="Arial" w:hAnsi="Arial"/>
          <w:sz w:val="14"/>
          <w:szCs w:val="14"/>
          <w:color w:val="455986"/>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346710</wp:posOffset>
            </wp:positionV>
            <wp:extent cx="7139940" cy="2413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39940" cy="24130"/>
                    </a:xfrm>
                    <a:prstGeom prst="rect">
                      <a:avLst/>
                    </a:prstGeom>
                    <a:noFill/>
                  </pic:spPr>
                </pic:pic>
              </a:graphicData>
            </a:graphic>
          </wp:anchor>
        </w:drawing>
      </w:r>
    </w:p>
    <w:p>
      <w:pPr>
        <w:sectPr>
          <w:pgSz w:w="11900" w:h="16838" w:orient="portrait"/>
          <w:cols w:equalWidth="0" w:num="1">
            <w:col w:w="11240"/>
          </w:cols>
          <w:pgMar w:left="320" w:top="637" w:right="339" w:bottom="1440" w:gutter="0" w:footer="0" w:header="0"/>
        </w:sectPr>
      </w:pPr>
    </w:p>
    <w:bookmarkStart w:id="36" w:name="page37"/>
    <w:bookmarkEnd w:id="36"/>
    <w:p>
      <w:pPr>
        <w:spacing w:after="0"/>
        <w:rPr>
          <w:sz w:val="20"/>
          <w:szCs w:val="20"/>
          <w:color w:val="auto"/>
        </w:rPr>
      </w:pPr>
      <w:r>
        <w:rPr>
          <w:rFonts w:ascii="Arial" w:cs="Arial" w:eastAsia="Arial" w:hAnsi="Arial"/>
          <w:sz w:val="14"/>
          <w:szCs w:val="14"/>
          <w:b w:val="1"/>
          <w:bCs w:val="1"/>
          <w:color w:val="455986"/>
        </w:rPr>
        <w:t>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27940</wp:posOffset>
            </wp:positionV>
            <wp:extent cx="7139940"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39940" cy="8255"/>
                    </a:xfrm>
                    <a:prstGeom prst="rect">
                      <a:avLst/>
                    </a:prstGeom>
                    <a:noFill/>
                  </pic:spPr>
                </pic:pic>
              </a:graphicData>
            </a:graphic>
          </wp:anchor>
        </w:drawing>
      </w:r>
    </w:p>
    <w:p>
      <w:pPr>
        <w:spacing w:after="0" w:line="76" w:lineRule="exact"/>
        <w:rPr>
          <w:sz w:val="20"/>
          <w:szCs w:val="20"/>
          <w:color w:val="auto"/>
        </w:rPr>
      </w:pPr>
    </w:p>
    <w:p>
      <w:pPr>
        <w:spacing w:after="0"/>
        <w:rPr>
          <w:sz w:val="20"/>
          <w:szCs w:val="20"/>
          <w:color w:val="auto"/>
        </w:rPr>
      </w:pPr>
      <w:r>
        <w:rPr>
          <w:rFonts w:ascii="Arial" w:cs="Arial" w:eastAsia="Arial" w:hAnsi="Arial"/>
          <w:sz w:val="14"/>
          <w:szCs w:val="14"/>
          <w:color w:val="231F20"/>
        </w:rPr>
        <w:t>Governance Policies and Practices</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b w:val="1"/>
          <w:bCs w:val="1"/>
          <w:color w:val="4395D4"/>
        </w:rPr>
        <w:t>Related Person Transactions</w:t>
      </w:r>
    </w:p>
    <w:p>
      <w:pPr>
        <w:spacing w:after="0" w:line="153" w:lineRule="exact"/>
        <w:rPr>
          <w:sz w:val="20"/>
          <w:szCs w:val="20"/>
          <w:color w:val="auto"/>
        </w:rPr>
      </w:pPr>
    </w:p>
    <w:p>
      <w:pPr>
        <w:ind w:right="20"/>
        <w:spacing w:after="0" w:line="253" w:lineRule="auto"/>
        <w:rPr>
          <w:sz w:val="20"/>
          <w:szCs w:val="20"/>
          <w:color w:val="auto"/>
        </w:rPr>
      </w:pPr>
      <w:r>
        <w:rPr>
          <w:rFonts w:ascii="Arial" w:cs="Arial" w:eastAsia="Arial" w:hAnsi="Arial"/>
          <w:sz w:val="14"/>
          <w:szCs w:val="14"/>
          <w:color w:val="231F20"/>
        </w:rPr>
        <w:t>Additionally, the Board has a written policy for related person transactions to document procedures for reviewing, approving or ratifying these transactions. The policy applies to any transaction in which: (1) the Company is a participant, (2) any related person has a direct or indirect material interest, and the annual amount involved exceeds $120,000, but excludes certain types of transactions in which the related person is deemed not to have a material interest.</w:t>
      </w:r>
    </w:p>
    <w:p>
      <w:pPr>
        <w:spacing w:after="0" w:line="103" w:lineRule="exact"/>
        <w:rPr>
          <w:sz w:val="20"/>
          <w:szCs w:val="20"/>
          <w:color w:val="auto"/>
        </w:rPr>
      </w:pPr>
    </w:p>
    <w:p>
      <w:pPr>
        <w:spacing w:after="0"/>
        <w:rPr>
          <w:sz w:val="20"/>
          <w:szCs w:val="20"/>
          <w:color w:val="auto"/>
        </w:rPr>
      </w:pPr>
      <w:r>
        <w:rPr>
          <w:rFonts w:ascii="Arial" w:cs="Arial" w:eastAsia="Arial" w:hAnsi="Arial"/>
          <w:sz w:val="14"/>
          <w:szCs w:val="14"/>
          <w:color w:val="231F20"/>
        </w:rPr>
        <w:t>Under this policy, a related person means:</w:t>
      </w:r>
    </w:p>
    <w:p>
      <w:pPr>
        <w:spacing w:after="0" w:line="145" w:lineRule="exact"/>
        <w:rPr>
          <w:sz w:val="20"/>
          <w:szCs w:val="20"/>
          <w:color w:val="auto"/>
        </w:rPr>
      </w:pPr>
    </w:p>
    <w:p>
      <w:pPr>
        <w:ind w:left="240" w:hanging="238"/>
        <w:spacing w:after="0"/>
        <w:tabs>
          <w:tab w:leader="none" w:pos="240" w:val="left"/>
        </w:tabs>
        <w:numPr>
          <w:ilvl w:val="0"/>
          <w:numId w:val="73"/>
        </w:numPr>
        <w:rPr>
          <w:rFonts w:ascii="Arial" w:cs="Arial" w:eastAsia="Arial" w:hAnsi="Arial"/>
          <w:sz w:val="14"/>
          <w:szCs w:val="14"/>
          <w:color w:val="231F20"/>
        </w:rPr>
      </w:pPr>
      <w:r>
        <w:rPr>
          <w:rFonts w:ascii="Arial" w:cs="Arial" w:eastAsia="Arial" w:hAnsi="Arial"/>
          <w:sz w:val="14"/>
          <w:szCs w:val="14"/>
          <w:color w:val="231F20"/>
        </w:rPr>
        <w:t>any person who is, or at any time since the beginning of the Company’s last fiscal year was, a director, an executive officer or a director nominee;</w:t>
      </w:r>
    </w:p>
    <w:p>
      <w:pPr>
        <w:spacing w:after="0" w:line="145" w:lineRule="exact"/>
        <w:rPr>
          <w:rFonts w:ascii="Arial" w:cs="Arial" w:eastAsia="Arial" w:hAnsi="Arial"/>
          <w:sz w:val="14"/>
          <w:szCs w:val="14"/>
          <w:color w:val="231F20"/>
        </w:rPr>
      </w:pPr>
    </w:p>
    <w:p>
      <w:pPr>
        <w:ind w:left="240" w:hanging="238"/>
        <w:spacing w:after="0"/>
        <w:tabs>
          <w:tab w:leader="none" w:pos="240" w:val="left"/>
        </w:tabs>
        <w:numPr>
          <w:ilvl w:val="0"/>
          <w:numId w:val="73"/>
        </w:numPr>
        <w:rPr>
          <w:rFonts w:ascii="Arial" w:cs="Arial" w:eastAsia="Arial" w:hAnsi="Arial"/>
          <w:sz w:val="14"/>
          <w:szCs w:val="14"/>
          <w:color w:val="231F20"/>
        </w:rPr>
      </w:pPr>
      <w:r>
        <w:rPr>
          <w:rFonts w:ascii="Arial" w:cs="Arial" w:eastAsia="Arial" w:hAnsi="Arial"/>
          <w:sz w:val="14"/>
          <w:szCs w:val="14"/>
          <w:color w:val="231F20"/>
        </w:rPr>
        <w:t>any person known to be the beneficial owner of more than 5% of any class of the Company’s voting securities;</w:t>
      </w:r>
    </w:p>
    <w:p>
      <w:pPr>
        <w:spacing w:after="0" w:line="145" w:lineRule="exact"/>
        <w:rPr>
          <w:rFonts w:ascii="Arial" w:cs="Arial" w:eastAsia="Arial" w:hAnsi="Arial"/>
          <w:sz w:val="14"/>
          <w:szCs w:val="14"/>
          <w:color w:val="231F20"/>
        </w:rPr>
      </w:pPr>
    </w:p>
    <w:p>
      <w:pPr>
        <w:ind w:left="240" w:right="60" w:hanging="238"/>
        <w:spacing w:after="0" w:line="278" w:lineRule="auto"/>
        <w:tabs>
          <w:tab w:leader="none" w:pos="240" w:val="left"/>
        </w:tabs>
        <w:numPr>
          <w:ilvl w:val="0"/>
          <w:numId w:val="73"/>
        </w:numPr>
        <w:rPr>
          <w:rFonts w:ascii="Arial" w:cs="Arial" w:eastAsia="Arial" w:hAnsi="Arial"/>
          <w:sz w:val="14"/>
          <w:szCs w:val="14"/>
          <w:color w:val="231F20"/>
        </w:rPr>
      </w:pPr>
      <w:r>
        <w:rPr>
          <w:rFonts w:ascii="Arial" w:cs="Arial" w:eastAsia="Arial" w:hAnsi="Arial"/>
          <w:sz w:val="14"/>
          <w:szCs w:val="14"/>
          <w:color w:val="231F20"/>
        </w:rPr>
        <w:t>any immediate family member of a person identified in items (a) or (b) above, meaning such person’s spouse, parent, stepparent, child, stepchild, sibling, mother- or father-in-law, son- or daughter-in-law, brother- or sister-in-law or any other individual (other than a tenant or employee) who shares the person’s household; or</w:t>
      </w:r>
    </w:p>
    <w:p>
      <w:pPr>
        <w:spacing w:after="0" w:line="86" w:lineRule="exact"/>
        <w:rPr>
          <w:rFonts w:ascii="Arial" w:cs="Arial" w:eastAsia="Arial" w:hAnsi="Arial"/>
          <w:sz w:val="14"/>
          <w:szCs w:val="14"/>
          <w:color w:val="231F20"/>
        </w:rPr>
      </w:pPr>
    </w:p>
    <w:p>
      <w:pPr>
        <w:ind w:left="240" w:hanging="238"/>
        <w:spacing w:after="0"/>
        <w:tabs>
          <w:tab w:leader="none" w:pos="240" w:val="left"/>
        </w:tabs>
        <w:numPr>
          <w:ilvl w:val="0"/>
          <w:numId w:val="73"/>
        </w:numPr>
        <w:rPr>
          <w:rFonts w:ascii="Arial" w:cs="Arial" w:eastAsia="Arial" w:hAnsi="Arial"/>
          <w:sz w:val="14"/>
          <w:szCs w:val="14"/>
          <w:color w:val="231F20"/>
        </w:rPr>
      </w:pPr>
      <w:r>
        <w:rPr>
          <w:rFonts w:ascii="Arial" w:cs="Arial" w:eastAsia="Arial" w:hAnsi="Arial"/>
          <w:sz w:val="14"/>
          <w:szCs w:val="14"/>
          <w:color w:val="231F20"/>
        </w:rPr>
        <w:t>any entity that employs any person identified in (a), (b) or (c) or in which any person identified in (a), (b) or (c) directly or indirectly owns or otherwise has a material interest.</w:t>
      </w:r>
    </w:p>
    <w:p>
      <w:pPr>
        <w:spacing w:after="0" w:line="145" w:lineRule="exact"/>
        <w:rPr>
          <w:sz w:val="20"/>
          <w:szCs w:val="20"/>
          <w:color w:val="auto"/>
        </w:rPr>
      </w:pPr>
    </w:p>
    <w:p>
      <w:pPr>
        <w:ind w:right="60"/>
        <w:spacing w:after="0" w:line="253" w:lineRule="auto"/>
        <w:rPr>
          <w:sz w:val="20"/>
          <w:szCs w:val="20"/>
          <w:color w:val="auto"/>
        </w:rPr>
      </w:pPr>
      <w:r>
        <w:rPr>
          <w:rFonts w:ascii="Arial" w:cs="Arial" w:eastAsia="Arial" w:hAnsi="Arial"/>
          <w:sz w:val="14"/>
          <w:szCs w:val="14"/>
          <w:color w:val="231F20"/>
        </w:rPr>
        <w:t>The Corporate Governance Committee, with assistance from the Company’s General Counsel, is responsible for reviewing and approving any related person transaction. In its review and approval of related person transactions (including its determination as to whether the related person has a material interest in a transaction), the Corporate Governance Committee will consider, among other factors:</w:t>
      </w:r>
    </w:p>
    <w:p>
      <w:pPr>
        <w:spacing w:after="0" w:line="103" w:lineRule="exact"/>
        <w:rPr>
          <w:sz w:val="20"/>
          <w:szCs w:val="20"/>
          <w:color w:val="auto"/>
        </w:rPr>
      </w:pPr>
    </w:p>
    <w:p>
      <w:pPr>
        <w:ind w:left="200" w:hanging="198"/>
        <w:spacing w:after="0"/>
        <w:tabs>
          <w:tab w:leader="none" w:pos="200" w:val="left"/>
        </w:tabs>
        <w:numPr>
          <w:ilvl w:val="0"/>
          <w:numId w:val="74"/>
        </w:numPr>
        <w:rPr>
          <w:rFonts w:ascii="Arial" w:cs="Arial" w:eastAsia="Arial" w:hAnsi="Arial"/>
          <w:sz w:val="14"/>
          <w:szCs w:val="14"/>
          <w:color w:val="4395D4"/>
        </w:rPr>
      </w:pPr>
      <w:r>
        <w:rPr>
          <w:rFonts w:ascii="Arial" w:cs="Arial" w:eastAsia="Arial" w:hAnsi="Arial"/>
          <w:sz w:val="14"/>
          <w:szCs w:val="14"/>
          <w:color w:val="231F20"/>
        </w:rPr>
        <w:t>any person who is, or at any time since the beginning of the Company’s last fiscal year was, a director, an executive officer or a director nominee;</w:t>
      </w:r>
    </w:p>
    <w:p>
      <w:pPr>
        <w:spacing w:after="0" w:line="68" w:lineRule="exact"/>
        <w:rPr>
          <w:rFonts w:ascii="Arial" w:cs="Arial" w:eastAsia="Arial" w:hAnsi="Arial"/>
          <w:sz w:val="14"/>
          <w:szCs w:val="14"/>
          <w:color w:val="4395D4"/>
        </w:rPr>
      </w:pPr>
    </w:p>
    <w:p>
      <w:pPr>
        <w:ind w:left="200" w:hanging="198"/>
        <w:spacing w:after="0"/>
        <w:tabs>
          <w:tab w:leader="none" w:pos="200" w:val="left"/>
        </w:tabs>
        <w:numPr>
          <w:ilvl w:val="0"/>
          <w:numId w:val="74"/>
        </w:numPr>
        <w:rPr>
          <w:rFonts w:ascii="Arial" w:cs="Arial" w:eastAsia="Arial" w:hAnsi="Arial"/>
          <w:sz w:val="14"/>
          <w:szCs w:val="14"/>
          <w:color w:val="4395D4"/>
        </w:rPr>
      </w:pPr>
      <w:r>
        <w:rPr>
          <w:rFonts w:ascii="Arial" w:cs="Arial" w:eastAsia="Arial" w:hAnsi="Arial"/>
          <w:sz w:val="14"/>
          <w:szCs w:val="14"/>
          <w:color w:val="231F20"/>
        </w:rPr>
        <w:t>any person known to be the beneficial owner of more than 5% of any class of the Company’s voting securities;</w:t>
      </w:r>
    </w:p>
    <w:p>
      <w:pPr>
        <w:spacing w:after="0" w:line="81" w:lineRule="exact"/>
        <w:rPr>
          <w:rFonts w:ascii="Arial" w:cs="Arial" w:eastAsia="Arial" w:hAnsi="Arial"/>
          <w:sz w:val="14"/>
          <w:szCs w:val="14"/>
          <w:color w:val="4395D4"/>
        </w:rPr>
      </w:pPr>
    </w:p>
    <w:p>
      <w:pPr>
        <w:ind w:left="200" w:right="80" w:hanging="198"/>
        <w:spacing w:after="0" w:line="278" w:lineRule="auto"/>
        <w:tabs>
          <w:tab w:leader="none" w:pos="200" w:val="left"/>
        </w:tabs>
        <w:numPr>
          <w:ilvl w:val="0"/>
          <w:numId w:val="74"/>
        </w:numPr>
        <w:rPr>
          <w:rFonts w:ascii="Arial" w:cs="Arial" w:eastAsia="Arial" w:hAnsi="Arial"/>
          <w:sz w:val="14"/>
          <w:szCs w:val="14"/>
          <w:color w:val="4395D4"/>
        </w:rPr>
      </w:pPr>
      <w:r>
        <w:rPr>
          <w:rFonts w:ascii="Arial" w:cs="Arial" w:eastAsia="Arial" w:hAnsi="Arial"/>
          <w:sz w:val="14"/>
          <w:szCs w:val="14"/>
          <w:color w:val="231F20"/>
        </w:rPr>
        <w:t>any immediate family member of a person identified in items (a) or (b) above, meaning such person’s spouse, parent, stepparent, child, stepchild, sibling, mother- or father-in-law, son- or daughter-in-law, brother- or sister-in-law or any other individual (other than a tenant or employee) who shares the person’s household; or</w:t>
      </w:r>
    </w:p>
    <w:p>
      <w:pPr>
        <w:spacing w:after="0" w:line="22" w:lineRule="exact"/>
        <w:rPr>
          <w:rFonts w:ascii="Arial" w:cs="Arial" w:eastAsia="Arial" w:hAnsi="Arial"/>
          <w:sz w:val="14"/>
          <w:szCs w:val="14"/>
          <w:color w:val="4395D4"/>
        </w:rPr>
      </w:pPr>
    </w:p>
    <w:p>
      <w:pPr>
        <w:ind w:left="200" w:hanging="198"/>
        <w:spacing w:after="0"/>
        <w:tabs>
          <w:tab w:leader="none" w:pos="200" w:val="left"/>
        </w:tabs>
        <w:numPr>
          <w:ilvl w:val="0"/>
          <w:numId w:val="74"/>
        </w:numPr>
        <w:rPr>
          <w:rFonts w:ascii="Arial" w:cs="Arial" w:eastAsia="Arial" w:hAnsi="Arial"/>
          <w:sz w:val="14"/>
          <w:szCs w:val="14"/>
          <w:color w:val="4395D4"/>
        </w:rPr>
      </w:pPr>
      <w:r>
        <w:rPr>
          <w:rFonts w:ascii="Arial" w:cs="Arial" w:eastAsia="Arial" w:hAnsi="Arial"/>
          <w:sz w:val="14"/>
          <w:szCs w:val="14"/>
          <w:color w:val="231F20"/>
        </w:rPr>
        <w:t>any entity that employs any person identified in (a), (b) or (c) or in which any person identified in (a), (b) or (c) directly or indirectly owns or otherwise has a material interest.</w:t>
      </w:r>
    </w:p>
    <w:p>
      <w:pPr>
        <w:spacing w:after="0" w:line="69" w:lineRule="exact"/>
        <w:rPr>
          <w:sz w:val="20"/>
          <w:szCs w:val="20"/>
          <w:color w:val="auto"/>
        </w:rPr>
      </w:pPr>
    </w:p>
    <w:p>
      <w:pPr>
        <w:spacing w:after="0" w:line="278" w:lineRule="auto"/>
        <w:rPr>
          <w:sz w:val="20"/>
          <w:szCs w:val="20"/>
          <w:color w:val="auto"/>
        </w:rPr>
      </w:pPr>
      <w:r>
        <w:rPr>
          <w:rFonts w:ascii="Arial" w:cs="Arial" w:eastAsia="Arial" w:hAnsi="Arial"/>
          <w:sz w:val="14"/>
          <w:szCs w:val="14"/>
          <w:color w:val="231F20"/>
        </w:rPr>
        <w:t>The Corporate Governance Committee intends to approve only those related person transactions that are in, or are not inconsistent with, the best interests of the Company and its shareholders.</w:t>
      </w:r>
    </w:p>
    <w:p>
      <w:pPr>
        <w:spacing w:after="0" w:line="174" w:lineRule="exact"/>
        <w:rPr>
          <w:sz w:val="20"/>
          <w:szCs w:val="20"/>
          <w:color w:val="auto"/>
        </w:rPr>
      </w:pPr>
    </w:p>
    <w:p>
      <w:pPr>
        <w:spacing w:after="0"/>
        <w:rPr>
          <w:sz w:val="20"/>
          <w:szCs w:val="20"/>
          <w:color w:val="auto"/>
        </w:rPr>
      </w:pPr>
      <w:r>
        <w:rPr>
          <w:rFonts w:ascii="Arial" w:cs="Arial" w:eastAsia="Arial" w:hAnsi="Arial"/>
          <w:sz w:val="14"/>
          <w:szCs w:val="14"/>
          <w:b w:val="1"/>
          <w:bCs w:val="1"/>
          <w:color w:val="455986"/>
        </w:rPr>
        <w:t>There were no related person transactions in 2020.</w:t>
      </w:r>
    </w:p>
    <w:p>
      <w:pPr>
        <w:spacing w:after="0" w:line="147" w:lineRule="exact"/>
        <w:rPr>
          <w:sz w:val="20"/>
          <w:szCs w:val="20"/>
          <w:color w:val="auto"/>
        </w:rPr>
      </w:pPr>
    </w:p>
    <w:p>
      <w:pPr>
        <w:ind w:right="40"/>
        <w:spacing w:after="0" w:line="245" w:lineRule="auto"/>
        <w:rPr>
          <w:sz w:val="20"/>
          <w:szCs w:val="20"/>
          <w:color w:val="auto"/>
        </w:rPr>
      </w:pPr>
      <w:r>
        <w:rPr>
          <w:rFonts w:ascii="Arial" w:cs="Arial" w:eastAsia="Arial" w:hAnsi="Arial"/>
          <w:sz w:val="14"/>
          <w:szCs w:val="14"/>
          <w:color w:val="auto"/>
        </w:rPr>
        <w:t xml:space="preserve">Based on a review applying the standards in the Company’s Corporate Governance Guidelines, including a review of the applicable NYSE, SEC, and Company standards, and considering the relevant facts and circumstances of the transactions, relationships, and </w:t>
      </w:r>
      <w:r>
        <w:rPr>
          <w:rFonts w:ascii="Arial" w:cs="Arial" w:eastAsia="Arial" w:hAnsi="Arial"/>
          <w:sz w:val="14"/>
          <w:szCs w:val="14"/>
          <w:color w:val="231F20"/>
        </w:rPr>
        <w:t>arrangements between the directors and the Company described above, the Board of</w:t>
      </w:r>
      <w:r>
        <w:rPr>
          <w:rFonts w:ascii="Arial" w:cs="Arial" w:eastAsia="Arial" w:hAnsi="Arial"/>
          <w:sz w:val="14"/>
          <w:szCs w:val="14"/>
          <w:color w:val="auto"/>
        </w:rPr>
        <w:t xml:space="preserve"> </w:t>
      </w:r>
      <w:r>
        <w:rPr>
          <w:rFonts w:ascii="Arial" w:cs="Arial" w:eastAsia="Arial" w:hAnsi="Arial"/>
          <w:sz w:val="14"/>
          <w:szCs w:val="14"/>
          <w:color w:val="231F20"/>
        </w:rPr>
        <w:t>Directors has affirmatively determined that each director and nominee for director is independent, other than Mr. Franklin, the Company’s Chairman, President,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803275</wp:posOffset>
            </wp:positionV>
            <wp:extent cx="7139940"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39940" cy="825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82550</wp:posOffset>
            </wp:positionV>
            <wp:extent cx="5956300" cy="59944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5956300" cy="5994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left="300" w:hanging="298"/>
        <w:spacing w:after="0"/>
        <w:tabs>
          <w:tab w:leader="none" w:pos="300" w:val="left"/>
        </w:tabs>
        <w:numPr>
          <w:ilvl w:val="0"/>
          <w:numId w:val="75"/>
        </w:numPr>
        <w:rPr>
          <w:rFonts w:ascii="Arial" w:cs="Arial" w:eastAsia="Arial" w:hAnsi="Arial"/>
          <w:sz w:val="15"/>
          <w:szCs w:val="15"/>
          <w:color w:val="455986"/>
        </w:rPr>
      </w:pPr>
      <w:r>
        <w:rPr>
          <w:rFonts w:ascii="Arial" w:cs="Arial" w:eastAsia="Arial" w:hAnsi="Arial"/>
          <w:sz w:val="12"/>
          <w:szCs w:val="12"/>
          <w:color w:val="4395D4"/>
        </w:rPr>
        <w:t xml:space="preserve">ESSENTIAL UTILITIES, INC. </w:t>
      </w:r>
      <w:r>
        <w:rPr>
          <w:rFonts w:ascii="Arial" w:cs="Arial" w:eastAsia="Arial" w:hAnsi="Arial"/>
          <w:sz w:val="12"/>
          <w:szCs w:val="12"/>
          <w:color w:val="455986"/>
        </w:rPr>
        <w:t>2021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324485</wp:posOffset>
            </wp:positionV>
            <wp:extent cx="7139940" cy="2413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39940" cy="24130"/>
                    </a:xfrm>
                    <a:prstGeom prst="rect">
                      <a:avLst/>
                    </a:prstGeom>
                    <a:noFill/>
                  </pic:spPr>
                </pic:pic>
              </a:graphicData>
            </a:graphic>
          </wp:anchor>
        </w:drawing>
      </w:r>
    </w:p>
    <w:p>
      <w:pPr>
        <w:sectPr>
          <w:pgSz w:w="11900" w:h="16838" w:orient="portrait"/>
          <w:cols w:equalWidth="0" w:num="1">
            <w:col w:w="11220"/>
          </w:cols>
          <w:pgMar w:left="320" w:top="636" w:right="359" w:bottom="1440" w:gutter="0" w:footer="0" w:header="0"/>
        </w:sectPr>
      </w:pPr>
    </w:p>
    <w:bookmarkStart w:id="37" w:name="page38"/>
    <w:bookmarkEnd w:id="37"/>
    <w:p>
      <w:pPr>
        <w:spacing w:after="0"/>
        <w:rPr>
          <w:sz w:val="20"/>
          <w:szCs w:val="20"/>
          <w:color w:val="auto"/>
        </w:rPr>
      </w:pPr>
      <w:r>
        <w:rPr>
          <w:rFonts w:ascii="Arial" w:cs="Arial" w:eastAsia="Arial" w:hAnsi="Arial"/>
          <w:sz w:val="48"/>
          <w:szCs w:val="48"/>
          <w:color w:val="455986"/>
        </w:rPr>
        <w:t>Director Compensation</w:t>
      </w:r>
    </w:p>
    <w:p>
      <w:pPr>
        <w:spacing w:after="0" w:line="188" w:lineRule="exact"/>
        <w:rPr>
          <w:sz w:val="20"/>
          <w:szCs w:val="20"/>
          <w:color w:val="auto"/>
        </w:rPr>
      </w:pPr>
    </w:p>
    <w:p>
      <w:pPr>
        <w:jc w:val="both"/>
        <w:ind w:right="300"/>
        <w:spacing w:after="0" w:line="259" w:lineRule="auto"/>
        <w:rPr>
          <w:sz w:val="20"/>
          <w:szCs w:val="20"/>
          <w:color w:val="auto"/>
        </w:rPr>
      </w:pPr>
      <w:r>
        <w:rPr>
          <w:rFonts w:ascii="Arial" w:cs="Arial" w:eastAsia="Arial" w:hAnsi="Arial"/>
          <w:sz w:val="14"/>
          <w:szCs w:val="14"/>
          <w:color w:val="231F20"/>
        </w:rPr>
        <w:t xml:space="preserve">In late 2019, as part of its annual review, the Executive Compensation Committee retained Pay Governance, LLC (Pay Governance) to review and benchmark the Board of Directors’ compensation. </w:t>
      </w:r>
      <w:r>
        <w:rPr>
          <w:rFonts w:ascii="Arial" w:cs="Arial" w:eastAsia="Arial" w:hAnsi="Arial"/>
          <w:sz w:val="14"/>
          <w:szCs w:val="14"/>
          <w:b w:val="1"/>
          <w:bCs w:val="1"/>
          <w:color w:val="231F20"/>
        </w:rPr>
        <w:t>As a result of this review, the Board of Directors did not change its compensation for 2020 and voted that its compensation remain the</w:t>
      </w:r>
      <w:r>
        <w:rPr>
          <w:rFonts w:ascii="Arial" w:cs="Arial" w:eastAsia="Arial" w:hAnsi="Arial"/>
          <w:sz w:val="14"/>
          <w:szCs w:val="14"/>
          <w:color w:val="231F20"/>
        </w:rPr>
        <w:t xml:space="preserve"> </w:t>
      </w:r>
      <w:r>
        <w:rPr>
          <w:rFonts w:ascii="Arial" w:cs="Arial" w:eastAsia="Arial" w:hAnsi="Arial"/>
          <w:sz w:val="14"/>
          <w:szCs w:val="14"/>
          <w:b w:val="1"/>
          <w:bCs w:val="1"/>
          <w:color w:val="231F20"/>
        </w:rPr>
        <w:t>same:</w:t>
      </w:r>
    </w:p>
    <w:p>
      <w:pPr>
        <w:spacing w:after="0" w:line="80" w:lineRule="exact"/>
        <w:rPr>
          <w:sz w:val="20"/>
          <w:szCs w:val="20"/>
          <w:color w:val="auto"/>
        </w:rPr>
      </w:pPr>
    </w:p>
    <w:p>
      <w:pPr>
        <w:spacing w:after="0"/>
        <w:rPr>
          <w:sz w:val="20"/>
          <w:szCs w:val="20"/>
          <w:color w:val="auto"/>
        </w:rPr>
      </w:pPr>
      <w:r>
        <w:rPr>
          <w:rFonts w:ascii="Arial" w:cs="Arial" w:eastAsia="Arial" w:hAnsi="Arial"/>
          <w:sz w:val="24"/>
          <w:szCs w:val="24"/>
          <w:b w:val="1"/>
          <w:bCs w:val="1"/>
          <w:color w:val="455986"/>
        </w:rPr>
        <w:t>2020 Director Compensation Program</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4780" w:type="dxa"/>
            <w:vAlign w:val="bottom"/>
            <w:tcBorders>
              <w:bottom w:val="single" w:sz="8" w:color="4395D4"/>
            </w:tcBorders>
          </w:tcPr>
          <w:p>
            <w:pPr>
              <w:spacing w:after="0"/>
              <w:rPr>
                <w:sz w:val="20"/>
                <w:szCs w:val="20"/>
                <w:color w:val="auto"/>
              </w:rPr>
            </w:pPr>
            <w:r>
              <w:rPr>
                <w:rFonts w:ascii="Arial" w:cs="Arial" w:eastAsia="Arial" w:hAnsi="Arial"/>
                <w:sz w:val="14"/>
                <w:szCs w:val="14"/>
                <w:color w:val="455986"/>
              </w:rPr>
              <w:t>Role</w:t>
            </w:r>
          </w:p>
        </w:tc>
        <w:tc>
          <w:tcPr>
            <w:tcW w:w="3340" w:type="dxa"/>
            <w:vAlign w:val="bottom"/>
            <w:tcBorders>
              <w:bottom w:val="single" w:sz="8" w:color="4395D4"/>
            </w:tcBorders>
          </w:tcPr>
          <w:p>
            <w:pPr>
              <w:jc w:val="right"/>
              <w:ind w:right="508"/>
              <w:spacing w:after="0"/>
              <w:rPr>
                <w:sz w:val="20"/>
                <w:szCs w:val="20"/>
                <w:color w:val="auto"/>
              </w:rPr>
            </w:pPr>
            <w:r>
              <w:rPr>
                <w:rFonts w:ascii="Arial" w:cs="Arial" w:eastAsia="Arial" w:hAnsi="Arial"/>
                <w:sz w:val="14"/>
                <w:szCs w:val="14"/>
                <w:color w:val="455986"/>
              </w:rPr>
              <w:t>Annual Cash Compensation</w:t>
            </w:r>
          </w:p>
        </w:tc>
        <w:tc>
          <w:tcPr>
            <w:tcW w:w="3120" w:type="dxa"/>
            <w:vAlign w:val="bottom"/>
            <w:tcBorders>
              <w:bottom w:val="single" w:sz="8" w:color="4395D4"/>
            </w:tcBorders>
          </w:tcPr>
          <w:p>
            <w:pPr>
              <w:jc w:val="right"/>
              <w:ind w:right="8"/>
              <w:spacing w:after="0"/>
              <w:rPr>
                <w:sz w:val="20"/>
                <w:szCs w:val="20"/>
                <w:color w:val="auto"/>
              </w:rPr>
            </w:pPr>
            <w:r>
              <w:rPr>
                <w:rFonts w:ascii="Arial" w:cs="Arial" w:eastAsia="Arial" w:hAnsi="Arial"/>
                <w:sz w:val="14"/>
                <w:szCs w:val="14"/>
                <w:color w:val="455986"/>
              </w:rPr>
              <w:t>Annual Equity Compensation</w:t>
            </w:r>
          </w:p>
        </w:tc>
      </w:tr>
      <w:tr>
        <w:trPr>
          <w:trHeight w:val="199"/>
        </w:trPr>
        <w:tc>
          <w:tcPr>
            <w:tcW w:w="4780" w:type="dxa"/>
            <w:vAlign w:val="bottom"/>
            <w:tcBorders>
              <w:bottom w:val="single" w:sz="8" w:color="231F20"/>
            </w:tcBorders>
          </w:tcPr>
          <w:p>
            <w:pPr>
              <w:spacing w:after="0"/>
              <w:rPr>
                <w:sz w:val="20"/>
                <w:szCs w:val="20"/>
                <w:color w:val="auto"/>
              </w:rPr>
            </w:pPr>
            <w:r>
              <w:rPr>
                <w:rFonts w:ascii="Arial" w:cs="Arial" w:eastAsia="Arial" w:hAnsi="Arial"/>
                <w:sz w:val="14"/>
                <w:szCs w:val="14"/>
                <w:b w:val="1"/>
                <w:bCs w:val="1"/>
                <w:color w:val="455986"/>
              </w:rPr>
              <w:t>Each Non-Employee Director</w:t>
            </w:r>
          </w:p>
        </w:tc>
        <w:tc>
          <w:tcPr>
            <w:tcW w:w="3340" w:type="dxa"/>
            <w:vAlign w:val="bottom"/>
            <w:tcBorders>
              <w:bottom w:val="single" w:sz="8" w:color="231F20"/>
            </w:tcBorders>
          </w:tcPr>
          <w:p>
            <w:pPr>
              <w:jc w:val="right"/>
              <w:ind w:right="508"/>
              <w:spacing w:after="0"/>
              <w:rPr>
                <w:sz w:val="20"/>
                <w:szCs w:val="20"/>
                <w:color w:val="auto"/>
              </w:rPr>
            </w:pPr>
            <w:r>
              <w:rPr>
                <w:rFonts w:ascii="Arial" w:cs="Arial" w:eastAsia="Arial" w:hAnsi="Arial"/>
                <w:sz w:val="14"/>
                <w:szCs w:val="14"/>
                <w:color w:val="231F20"/>
              </w:rPr>
              <w:t>$100,000</w:t>
            </w:r>
          </w:p>
        </w:tc>
        <w:tc>
          <w:tcPr>
            <w:tcW w:w="3120" w:type="dxa"/>
            <w:vAlign w:val="bottom"/>
            <w:tcBorders>
              <w:bottom w:val="single" w:sz="8" w:color="231F20"/>
            </w:tcBorders>
          </w:tcPr>
          <w:p>
            <w:pPr>
              <w:jc w:val="right"/>
              <w:ind w:right="8"/>
              <w:spacing w:after="0"/>
              <w:rPr>
                <w:sz w:val="20"/>
                <w:szCs w:val="20"/>
                <w:color w:val="auto"/>
              </w:rPr>
            </w:pPr>
            <w:r>
              <w:rPr>
                <w:rFonts w:ascii="Arial" w:cs="Arial" w:eastAsia="Arial" w:hAnsi="Arial"/>
                <w:sz w:val="14"/>
                <w:szCs w:val="14"/>
                <w:color w:val="231F20"/>
              </w:rPr>
              <w:t>Stock grant equal to $100,000 in value</w:t>
            </w:r>
          </w:p>
        </w:tc>
      </w:tr>
      <w:tr>
        <w:trPr>
          <w:trHeight w:val="197"/>
        </w:trPr>
        <w:tc>
          <w:tcPr>
            <w:tcW w:w="4780" w:type="dxa"/>
            <w:vAlign w:val="bottom"/>
            <w:tcBorders>
              <w:bottom w:val="single" w:sz="8" w:color="231F20"/>
            </w:tcBorders>
          </w:tcPr>
          <w:p>
            <w:pPr>
              <w:spacing w:after="0"/>
              <w:rPr>
                <w:sz w:val="20"/>
                <w:szCs w:val="20"/>
                <w:color w:val="auto"/>
              </w:rPr>
            </w:pPr>
            <w:r>
              <w:rPr>
                <w:rFonts w:ascii="Arial" w:cs="Arial" w:eastAsia="Arial" w:hAnsi="Arial"/>
                <w:sz w:val="14"/>
                <w:szCs w:val="14"/>
                <w:b w:val="1"/>
                <w:bCs w:val="1"/>
                <w:color w:val="455986"/>
              </w:rPr>
              <w:t>Chair, Audit Committee</w:t>
            </w:r>
          </w:p>
        </w:tc>
        <w:tc>
          <w:tcPr>
            <w:tcW w:w="3340" w:type="dxa"/>
            <w:vAlign w:val="bottom"/>
            <w:tcBorders>
              <w:bottom w:val="single" w:sz="8" w:color="231F20"/>
            </w:tcBorders>
          </w:tcPr>
          <w:p>
            <w:pPr>
              <w:jc w:val="right"/>
              <w:ind w:right="508"/>
              <w:spacing w:after="0"/>
              <w:rPr>
                <w:sz w:val="20"/>
                <w:szCs w:val="20"/>
                <w:color w:val="auto"/>
              </w:rPr>
            </w:pPr>
            <w:r>
              <w:rPr>
                <w:rFonts w:ascii="Arial" w:cs="Arial" w:eastAsia="Arial" w:hAnsi="Arial"/>
                <w:sz w:val="14"/>
                <w:szCs w:val="14"/>
                <w:color w:val="231F20"/>
              </w:rPr>
              <w:t>+ $12,500</w:t>
            </w:r>
          </w:p>
        </w:tc>
        <w:tc>
          <w:tcPr>
            <w:tcW w:w="3120" w:type="dxa"/>
            <w:vAlign w:val="bottom"/>
            <w:tcBorders>
              <w:bottom w:val="single" w:sz="8" w:color="231F20"/>
            </w:tcBorders>
          </w:tcPr>
          <w:p>
            <w:pPr>
              <w:jc w:val="right"/>
              <w:ind w:right="8"/>
              <w:spacing w:after="0"/>
              <w:rPr>
                <w:sz w:val="20"/>
                <w:szCs w:val="20"/>
                <w:color w:val="auto"/>
              </w:rPr>
            </w:pPr>
            <w:r>
              <w:rPr>
                <w:rFonts w:ascii="Arial" w:cs="Arial" w:eastAsia="Arial" w:hAnsi="Arial"/>
                <w:sz w:val="14"/>
                <w:szCs w:val="14"/>
                <w:color w:val="231F20"/>
              </w:rPr>
              <w:t>—</w:t>
            </w:r>
          </w:p>
        </w:tc>
      </w:tr>
      <w:tr>
        <w:trPr>
          <w:trHeight w:val="197"/>
        </w:trPr>
        <w:tc>
          <w:tcPr>
            <w:tcW w:w="4780" w:type="dxa"/>
            <w:vAlign w:val="bottom"/>
            <w:tcBorders>
              <w:bottom w:val="single" w:sz="8" w:color="231F20"/>
            </w:tcBorders>
          </w:tcPr>
          <w:p>
            <w:pPr>
              <w:spacing w:after="0"/>
              <w:rPr>
                <w:sz w:val="20"/>
                <w:szCs w:val="20"/>
                <w:color w:val="auto"/>
              </w:rPr>
            </w:pPr>
            <w:r>
              <w:rPr>
                <w:rFonts w:ascii="Arial" w:cs="Arial" w:eastAsia="Arial" w:hAnsi="Arial"/>
                <w:sz w:val="14"/>
                <w:szCs w:val="14"/>
                <w:b w:val="1"/>
                <w:bCs w:val="1"/>
                <w:color w:val="455986"/>
              </w:rPr>
              <w:t>Chair, Executive Compensation Committee</w:t>
            </w:r>
          </w:p>
        </w:tc>
        <w:tc>
          <w:tcPr>
            <w:tcW w:w="3340" w:type="dxa"/>
            <w:vAlign w:val="bottom"/>
            <w:tcBorders>
              <w:bottom w:val="single" w:sz="8" w:color="231F20"/>
            </w:tcBorders>
          </w:tcPr>
          <w:p>
            <w:pPr>
              <w:jc w:val="right"/>
              <w:ind w:right="508"/>
              <w:spacing w:after="0"/>
              <w:rPr>
                <w:sz w:val="20"/>
                <w:szCs w:val="20"/>
                <w:color w:val="auto"/>
              </w:rPr>
            </w:pPr>
            <w:r>
              <w:rPr>
                <w:rFonts w:ascii="Arial" w:cs="Arial" w:eastAsia="Arial" w:hAnsi="Arial"/>
                <w:sz w:val="14"/>
                <w:szCs w:val="14"/>
                <w:color w:val="231F20"/>
              </w:rPr>
              <w:t>+ $12,500</w:t>
            </w:r>
          </w:p>
        </w:tc>
        <w:tc>
          <w:tcPr>
            <w:tcW w:w="3120" w:type="dxa"/>
            <w:vAlign w:val="bottom"/>
            <w:tcBorders>
              <w:bottom w:val="single" w:sz="8" w:color="231F20"/>
            </w:tcBorders>
          </w:tcPr>
          <w:p>
            <w:pPr>
              <w:jc w:val="right"/>
              <w:ind w:right="8"/>
              <w:spacing w:after="0"/>
              <w:rPr>
                <w:sz w:val="20"/>
                <w:szCs w:val="20"/>
                <w:color w:val="auto"/>
              </w:rPr>
            </w:pPr>
            <w:r>
              <w:rPr>
                <w:rFonts w:ascii="Arial" w:cs="Arial" w:eastAsia="Arial" w:hAnsi="Arial"/>
                <w:sz w:val="14"/>
                <w:szCs w:val="14"/>
                <w:color w:val="231F20"/>
              </w:rPr>
              <w:t>—</w:t>
            </w:r>
          </w:p>
        </w:tc>
      </w:tr>
      <w:tr>
        <w:trPr>
          <w:trHeight w:val="197"/>
        </w:trPr>
        <w:tc>
          <w:tcPr>
            <w:tcW w:w="4780" w:type="dxa"/>
            <w:vAlign w:val="bottom"/>
            <w:tcBorders>
              <w:bottom w:val="single" w:sz="8" w:color="231F20"/>
            </w:tcBorders>
          </w:tcPr>
          <w:p>
            <w:pPr>
              <w:spacing w:after="0"/>
              <w:rPr>
                <w:sz w:val="20"/>
                <w:szCs w:val="20"/>
                <w:color w:val="auto"/>
              </w:rPr>
            </w:pPr>
            <w:r>
              <w:rPr>
                <w:rFonts w:ascii="Arial" w:cs="Arial" w:eastAsia="Arial" w:hAnsi="Arial"/>
                <w:sz w:val="14"/>
                <w:szCs w:val="14"/>
                <w:b w:val="1"/>
                <w:bCs w:val="1"/>
                <w:color w:val="455986"/>
              </w:rPr>
              <w:t>Chair, Corporate Governance Committee</w:t>
            </w:r>
          </w:p>
        </w:tc>
        <w:tc>
          <w:tcPr>
            <w:tcW w:w="3340" w:type="dxa"/>
            <w:vAlign w:val="bottom"/>
            <w:tcBorders>
              <w:bottom w:val="single" w:sz="8" w:color="231F20"/>
            </w:tcBorders>
          </w:tcPr>
          <w:p>
            <w:pPr>
              <w:jc w:val="right"/>
              <w:ind w:right="508"/>
              <w:spacing w:after="0"/>
              <w:rPr>
                <w:sz w:val="20"/>
                <w:szCs w:val="20"/>
                <w:color w:val="auto"/>
              </w:rPr>
            </w:pPr>
            <w:r>
              <w:rPr>
                <w:rFonts w:ascii="Arial" w:cs="Arial" w:eastAsia="Arial" w:hAnsi="Arial"/>
                <w:sz w:val="14"/>
                <w:szCs w:val="14"/>
                <w:color w:val="231F20"/>
              </w:rPr>
              <w:t>+ $10,000</w:t>
            </w:r>
          </w:p>
        </w:tc>
        <w:tc>
          <w:tcPr>
            <w:tcW w:w="3120" w:type="dxa"/>
            <w:vAlign w:val="bottom"/>
            <w:tcBorders>
              <w:bottom w:val="single" w:sz="8" w:color="231F20"/>
            </w:tcBorders>
          </w:tcPr>
          <w:p>
            <w:pPr>
              <w:jc w:val="right"/>
              <w:ind w:right="8"/>
              <w:spacing w:after="0"/>
              <w:rPr>
                <w:sz w:val="20"/>
                <w:szCs w:val="20"/>
                <w:color w:val="auto"/>
              </w:rPr>
            </w:pPr>
            <w:r>
              <w:rPr>
                <w:rFonts w:ascii="Arial" w:cs="Arial" w:eastAsia="Arial" w:hAnsi="Arial"/>
                <w:sz w:val="14"/>
                <w:szCs w:val="14"/>
                <w:color w:val="231F20"/>
              </w:rPr>
              <w:t>—</w:t>
            </w:r>
          </w:p>
        </w:tc>
      </w:tr>
      <w:tr>
        <w:trPr>
          <w:trHeight w:val="197"/>
        </w:trPr>
        <w:tc>
          <w:tcPr>
            <w:tcW w:w="4780" w:type="dxa"/>
            <w:vAlign w:val="bottom"/>
            <w:tcBorders>
              <w:bottom w:val="single" w:sz="8" w:color="231F20"/>
            </w:tcBorders>
          </w:tcPr>
          <w:p>
            <w:pPr>
              <w:spacing w:after="0"/>
              <w:rPr>
                <w:sz w:val="20"/>
                <w:szCs w:val="20"/>
                <w:color w:val="auto"/>
              </w:rPr>
            </w:pPr>
            <w:r>
              <w:rPr>
                <w:rFonts w:ascii="Arial" w:cs="Arial" w:eastAsia="Arial" w:hAnsi="Arial"/>
                <w:sz w:val="14"/>
                <w:szCs w:val="14"/>
                <w:b w:val="1"/>
                <w:bCs w:val="1"/>
                <w:color w:val="455986"/>
              </w:rPr>
              <w:t>Chair, Risk Mitigation and Investment Policy Committee</w:t>
            </w:r>
          </w:p>
        </w:tc>
        <w:tc>
          <w:tcPr>
            <w:tcW w:w="3340" w:type="dxa"/>
            <w:vAlign w:val="bottom"/>
            <w:tcBorders>
              <w:bottom w:val="single" w:sz="8" w:color="231F20"/>
            </w:tcBorders>
          </w:tcPr>
          <w:p>
            <w:pPr>
              <w:jc w:val="right"/>
              <w:ind w:right="508"/>
              <w:spacing w:after="0"/>
              <w:rPr>
                <w:sz w:val="20"/>
                <w:szCs w:val="20"/>
                <w:color w:val="auto"/>
              </w:rPr>
            </w:pPr>
            <w:r>
              <w:rPr>
                <w:rFonts w:ascii="Arial" w:cs="Arial" w:eastAsia="Arial" w:hAnsi="Arial"/>
                <w:sz w:val="14"/>
                <w:szCs w:val="14"/>
                <w:color w:val="231F20"/>
              </w:rPr>
              <w:t>+ $10,000</w:t>
            </w:r>
          </w:p>
        </w:tc>
        <w:tc>
          <w:tcPr>
            <w:tcW w:w="3120" w:type="dxa"/>
            <w:vAlign w:val="bottom"/>
            <w:tcBorders>
              <w:bottom w:val="single" w:sz="8" w:color="231F20"/>
            </w:tcBorders>
          </w:tcPr>
          <w:p>
            <w:pPr>
              <w:jc w:val="right"/>
              <w:ind w:right="8"/>
              <w:spacing w:after="0"/>
              <w:rPr>
                <w:sz w:val="20"/>
                <w:szCs w:val="20"/>
                <w:color w:val="auto"/>
              </w:rPr>
            </w:pPr>
            <w:r>
              <w:rPr>
                <w:rFonts w:ascii="Arial" w:cs="Arial" w:eastAsia="Arial" w:hAnsi="Arial"/>
                <w:sz w:val="14"/>
                <w:szCs w:val="14"/>
                <w:color w:val="231F20"/>
              </w:rPr>
              <w:t>—</w:t>
            </w:r>
          </w:p>
        </w:tc>
      </w:tr>
      <w:tr>
        <w:trPr>
          <w:trHeight w:val="197"/>
        </w:trPr>
        <w:tc>
          <w:tcPr>
            <w:tcW w:w="4780" w:type="dxa"/>
            <w:vAlign w:val="bottom"/>
            <w:tcBorders>
              <w:bottom w:val="single" w:sz="8" w:color="455986"/>
            </w:tcBorders>
          </w:tcPr>
          <w:p>
            <w:pPr>
              <w:spacing w:after="0"/>
              <w:rPr>
                <w:sz w:val="20"/>
                <w:szCs w:val="20"/>
                <w:color w:val="auto"/>
              </w:rPr>
            </w:pPr>
            <w:r>
              <w:rPr>
                <w:rFonts w:ascii="Arial" w:cs="Arial" w:eastAsia="Arial" w:hAnsi="Arial"/>
                <w:sz w:val="14"/>
                <w:szCs w:val="14"/>
                <w:b w:val="1"/>
                <w:bCs w:val="1"/>
                <w:color w:val="455986"/>
              </w:rPr>
              <w:t>Lead Independent Director</w:t>
            </w:r>
          </w:p>
        </w:tc>
        <w:tc>
          <w:tcPr>
            <w:tcW w:w="3340" w:type="dxa"/>
            <w:vAlign w:val="bottom"/>
            <w:tcBorders>
              <w:bottom w:val="single" w:sz="8" w:color="455986"/>
            </w:tcBorders>
          </w:tcPr>
          <w:p>
            <w:pPr>
              <w:jc w:val="right"/>
              <w:ind w:right="508"/>
              <w:spacing w:after="0"/>
              <w:rPr>
                <w:sz w:val="20"/>
                <w:szCs w:val="20"/>
                <w:color w:val="auto"/>
              </w:rPr>
            </w:pPr>
            <w:r>
              <w:rPr>
                <w:rFonts w:ascii="Arial" w:cs="Arial" w:eastAsia="Arial" w:hAnsi="Arial"/>
                <w:sz w:val="14"/>
                <w:szCs w:val="14"/>
                <w:color w:val="231F20"/>
              </w:rPr>
              <w:t>+ $25,000</w:t>
            </w:r>
          </w:p>
        </w:tc>
        <w:tc>
          <w:tcPr>
            <w:tcW w:w="3120" w:type="dxa"/>
            <w:vAlign w:val="bottom"/>
            <w:tcBorders>
              <w:bottom w:val="single" w:sz="8" w:color="455986"/>
            </w:tcBorders>
          </w:tcPr>
          <w:p>
            <w:pPr>
              <w:jc w:val="right"/>
              <w:ind w:right="8"/>
              <w:spacing w:after="0"/>
              <w:rPr>
                <w:sz w:val="20"/>
                <w:szCs w:val="20"/>
                <w:color w:val="auto"/>
              </w:rPr>
            </w:pPr>
            <w:r>
              <w:rPr>
                <w:rFonts w:ascii="Arial" w:cs="Arial" w:eastAsia="Arial" w:hAnsi="Arial"/>
                <w:sz w:val="14"/>
                <w:szCs w:val="14"/>
                <w:color w:val="231F20"/>
              </w:rPr>
              <w:t>—</w:t>
            </w:r>
          </w:p>
        </w:tc>
      </w:tr>
    </w:tbl>
    <w:p>
      <w:pPr>
        <w:spacing w:after="0" w:line="132" w:lineRule="exact"/>
        <w:rPr>
          <w:sz w:val="20"/>
          <w:szCs w:val="20"/>
          <w:color w:val="auto"/>
        </w:rPr>
      </w:pPr>
    </w:p>
    <w:p>
      <w:pPr>
        <w:ind w:right="60"/>
        <w:spacing w:after="0" w:line="253" w:lineRule="auto"/>
        <w:rPr>
          <w:sz w:val="20"/>
          <w:szCs w:val="20"/>
          <w:color w:val="auto"/>
        </w:rPr>
      </w:pPr>
      <w:r>
        <w:rPr>
          <w:rFonts w:ascii="Arial" w:cs="Arial" w:eastAsia="Arial" w:hAnsi="Arial"/>
          <w:sz w:val="14"/>
          <w:szCs w:val="14"/>
          <w:color w:val="231F20"/>
        </w:rPr>
        <w:t>Similarly, in late 2020, the Executive Compensation Committee retained Pay Governance to review and benchmark the Board of Directors’ compensation. Pay Governance compared the directors’ compensation to the Company’s peers, including the impact of COVID-19 on the economy, and made certain suggestions and recommendations to the Executive Compensation Committee and to the Company’s Corporate Governance Committee.</w:t>
      </w:r>
    </w:p>
    <w:p>
      <w:pPr>
        <w:spacing w:after="0" w:line="101" w:lineRule="exact"/>
        <w:rPr>
          <w:sz w:val="20"/>
          <w:szCs w:val="20"/>
          <w:color w:val="auto"/>
        </w:rPr>
      </w:pPr>
    </w:p>
    <w:p>
      <w:pPr>
        <w:ind w:right="160"/>
        <w:spacing w:after="0" w:line="293" w:lineRule="auto"/>
        <w:rPr>
          <w:sz w:val="20"/>
          <w:szCs w:val="20"/>
          <w:color w:val="auto"/>
        </w:rPr>
      </w:pPr>
      <w:r>
        <w:rPr>
          <w:rFonts w:ascii="Arial" w:cs="Arial" w:eastAsia="Arial" w:hAnsi="Arial"/>
          <w:sz w:val="14"/>
          <w:szCs w:val="14"/>
          <w:b w:val="1"/>
          <w:bCs w:val="1"/>
          <w:color w:val="231F20"/>
        </w:rPr>
        <w:t>As a result, upon the recommendation of its Executive Compensation Committee and the Corporate Governance Committee, the Board of Directors agreed not to increase the Directors’ compensation program for 2021.</w:t>
      </w:r>
    </w:p>
    <w:p>
      <w:pPr>
        <w:spacing w:after="0" w:line="68" w:lineRule="exact"/>
        <w:rPr>
          <w:sz w:val="20"/>
          <w:szCs w:val="20"/>
          <w:color w:val="auto"/>
        </w:rPr>
      </w:pPr>
    </w:p>
    <w:p>
      <w:pPr>
        <w:ind w:right="360"/>
        <w:spacing w:after="0" w:line="278" w:lineRule="auto"/>
        <w:rPr>
          <w:sz w:val="20"/>
          <w:szCs w:val="20"/>
          <w:color w:val="auto"/>
        </w:rPr>
      </w:pPr>
      <w:r>
        <w:rPr>
          <w:rFonts w:ascii="Arial" w:cs="Arial" w:eastAsia="Arial" w:hAnsi="Arial"/>
          <w:sz w:val="14"/>
          <w:szCs w:val="14"/>
          <w:color w:val="231F20"/>
        </w:rPr>
        <w:t>Ms. Kelly, nominee for CPPIB, has elected to designate CPPIB as the recipient of the annual cash compensation and to waive the annual equity compensation awarded to directors should she be elected in 2021 to serve as a Director for the Company.</w:t>
      </w:r>
    </w:p>
    <w:p>
      <w:pPr>
        <w:spacing w:after="0" w:line="86" w:lineRule="exact"/>
        <w:rPr>
          <w:sz w:val="20"/>
          <w:szCs w:val="20"/>
          <w:color w:val="auto"/>
        </w:rPr>
      </w:pPr>
    </w:p>
    <w:p>
      <w:pPr>
        <w:spacing w:after="0"/>
        <w:rPr>
          <w:sz w:val="20"/>
          <w:szCs w:val="20"/>
          <w:color w:val="auto"/>
        </w:rPr>
      </w:pPr>
      <w:r>
        <w:rPr>
          <w:rFonts w:ascii="Arial" w:cs="Arial" w:eastAsia="Arial" w:hAnsi="Arial"/>
          <w:sz w:val="14"/>
          <w:szCs w:val="14"/>
          <w:color w:val="231F20"/>
        </w:rPr>
        <w:t>All directors are reimbursed for reasonable expenses incurred in connection with attendance at Board or Committee meetings.</w:t>
      </w:r>
    </w:p>
    <w:p>
      <w:pPr>
        <w:spacing w:after="0" w:line="134" w:lineRule="exact"/>
        <w:rPr>
          <w:sz w:val="20"/>
          <w:szCs w:val="20"/>
          <w:color w:val="auto"/>
        </w:rPr>
      </w:pPr>
    </w:p>
    <w:p>
      <w:pPr>
        <w:spacing w:after="0"/>
        <w:rPr>
          <w:sz w:val="20"/>
          <w:szCs w:val="20"/>
          <w:color w:val="auto"/>
        </w:rPr>
      </w:pPr>
      <w:r>
        <w:rPr>
          <w:rFonts w:ascii="Arial" w:cs="Arial" w:eastAsia="Arial" w:hAnsi="Arial"/>
          <w:sz w:val="24"/>
          <w:szCs w:val="24"/>
          <w:b w:val="1"/>
          <w:bCs w:val="1"/>
          <w:color w:val="455986"/>
        </w:rPr>
        <w:t>Director Stock Ownership Guidelines</w:t>
      </w:r>
    </w:p>
    <w:p>
      <w:pPr>
        <w:spacing w:after="0" w:line="169" w:lineRule="exact"/>
        <w:rPr>
          <w:sz w:val="20"/>
          <w:szCs w:val="20"/>
          <w:color w:val="auto"/>
        </w:rPr>
      </w:pPr>
    </w:p>
    <w:p>
      <w:pPr>
        <w:ind w:right="220"/>
        <w:spacing w:after="0" w:line="245" w:lineRule="auto"/>
        <w:rPr>
          <w:sz w:val="20"/>
          <w:szCs w:val="20"/>
          <w:color w:val="auto"/>
        </w:rPr>
      </w:pPr>
      <w:r>
        <w:rPr>
          <w:rFonts w:ascii="Arial" w:cs="Arial" w:eastAsia="Arial" w:hAnsi="Arial"/>
          <w:sz w:val="14"/>
          <w:szCs w:val="14"/>
          <w:color w:val="231F20"/>
        </w:rPr>
        <w:t>Each director is required to own shares of Company common stock having a value equal to five times the annual base cash retainer for directors. Directors have up to five years from appointment to attain the stock ownership requirement. The Board of Directors also prohibits a director from selling Company common stock until the director has attained the required stock ownership. Once the required stock ownership level is attained, the director must maintain the level of stock ownership for the duration of the director’s service.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210820</wp:posOffset>
            </wp:positionV>
            <wp:extent cx="7139940"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39940" cy="8255"/>
                    </a:xfrm>
                    <a:prstGeom prst="rect">
                      <a:avLst/>
                    </a:prstGeom>
                    <a:noFill/>
                  </pic:spPr>
                </pic:pic>
              </a:graphicData>
            </a:graphic>
          </wp:anchor>
        </w:drawing>
      </w:r>
    </w:p>
    <w:p>
      <w:pPr>
        <w:spacing w:after="0" w:line="358" w:lineRule="exact"/>
        <w:rPr>
          <w:sz w:val="20"/>
          <w:szCs w:val="20"/>
          <w:color w:val="auto"/>
        </w:rPr>
      </w:pPr>
    </w:p>
    <w:p>
      <w:pPr>
        <w:jc w:val="right"/>
        <w:spacing w:after="0"/>
        <w:tabs>
          <w:tab w:leader="none" w:pos="140" w:val="left"/>
        </w:tabs>
        <w:rPr>
          <w:sz w:val="20"/>
          <w:szCs w:val="20"/>
          <w:color w:val="auto"/>
        </w:rPr>
      </w:pPr>
      <w:r>
        <w:rPr>
          <w:rFonts w:ascii="Arial" w:cs="Arial" w:eastAsia="Arial" w:hAnsi="Arial"/>
          <w:sz w:val="12"/>
          <w:szCs w:val="12"/>
          <w:color w:val="4395D4"/>
        </w:rPr>
        <w:t xml:space="preserve">ESSENTIAL UTILITIES, INC. </w:t>
      </w:r>
      <w:r>
        <w:rPr>
          <w:rFonts w:ascii="Arial" w:cs="Arial" w:eastAsia="Arial" w:hAnsi="Arial"/>
          <w:sz w:val="12"/>
          <w:szCs w:val="12"/>
          <w:color w:val="455986"/>
        </w:rPr>
        <w:t>2021 PROXY STATEMENT</w:t>
      </w:r>
      <w:r>
        <w:rPr>
          <w:sz w:val="20"/>
          <w:szCs w:val="20"/>
          <w:color w:val="auto"/>
        </w:rPr>
        <w:tab/>
      </w:r>
      <w:r>
        <w:rPr>
          <w:rFonts w:ascii="Arial" w:cs="Arial" w:eastAsia="Arial" w:hAnsi="Arial"/>
          <w:sz w:val="14"/>
          <w:szCs w:val="14"/>
          <w:color w:val="455986"/>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346710</wp:posOffset>
            </wp:positionV>
            <wp:extent cx="7139940" cy="2413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39940" cy="24130"/>
                    </a:xfrm>
                    <a:prstGeom prst="rect">
                      <a:avLst/>
                    </a:prstGeom>
                    <a:noFill/>
                  </pic:spPr>
                </pic:pic>
              </a:graphicData>
            </a:graphic>
          </wp:anchor>
        </w:drawing>
      </w:r>
    </w:p>
    <w:p>
      <w:pPr>
        <w:sectPr>
          <w:pgSz w:w="11900" w:h="16838" w:orient="portrait"/>
          <w:cols w:equalWidth="0" w:num="1">
            <w:col w:w="11240"/>
          </w:cols>
          <w:pgMar w:left="320" w:top="591" w:right="339" w:bottom="1440" w:gutter="0" w:footer="0" w:header="0"/>
        </w:sectPr>
      </w:pPr>
    </w:p>
    <w:bookmarkStart w:id="38" w:name="page39"/>
    <w:bookmarkEnd w:id="38"/>
    <w:p>
      <w:pPr>
        <w:spacing w:after="0"/>
        <w:rPr>
          <w:sz w:val="20"/>
          <w:szCs w:val="20"/>
          <w:color w:val="auto"/>
        </w:rPr>
      </w:pPr>
      <w:r>
        <w:rPr>
          <w:rFonts w:ascii="Arial" w:cs="Arial" w:eastAsia="Arial" w:hAnsi="Arial"/>
          <w:sz w:val="14"/>
          <w:szCs w:val="14"/>
          <w:b w:val="1"/>
          <w:bCs w:val="1"/>
          <w:color w:val="455986"/>
        </w:rPr>
        <w:t>Director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27940</wp:posOffset>
            </wp:positionV>
            <wp:extent cx="7139940"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39940" cy="8255"/>
                    </a:xfrm>
                    <a:prstGeom prst="rect">
                      <a:avLst/>
                    </a:prstGeom>
                    <a:noFill/>
                  </pic:spPr>
                </pic:pic>
              </a:graphicData>
            </a:graphic>
          </wp:anchor>
        </w:drawing>
      </w:r>
    </w:p>
    <w:p>
      <w:pPr>
        <w:spacing w:after="0" w:line="76" w:lineRule="exact"/>
        <w:rPr>
          <w:sz w:val="20"/>
          <w:szCs w:val="20"/>
          <w:color w:val="auto"/>
        </w:rPr>
      </w:pPr>
    </w:p>
    <w:p>
      <w:pPr>
        <w:spacing w:after="0"/>
        <w:rPr>
          <w:sz w:val="20"/>
          <w:szCs w:val="20"/>
          <w:color w:val="auto"/>
        </w:rPr>
      </w:pPr>
      <w:r>
        <w:rPr>
          <w:rFonts w:ascii="Arial" w:cs="Arial" w:eastAsia="Arial" w:hAnsi="Arial"/>
          <w:sz w:val="14"/>
          <w:szCs w:val="14"/>
          <w:color w:val="231F20"/>
        </w:rPr>
        <w:t>2020 Director Stock Ownership</w:t>
      </w:r>
    </w:p>
    <w:p>
      <w:pPr>
        <w:spacing w:after="0" w:line="163" w:lineRule="exact"/>
        <w:rPr>
          <w:sz w:val="20"/>
          <w:szCs w:val="20"/>
          <w:color w:val="auto"/>
        </w:rPr>
      </w:pPr>
    </w:p>
    <w:p>
      <w:pPr>
        <w:spacing w:after="0"/>
        <w:rPr>
          <w:sz w:val="20"/>
          <w:szCs w:val="20"/>
          <w:color w:val="auto"/>
        </w:rPr>
      </w:pPr>
      <w:r>
        <w:rPr>
          <w:rFonts w:ascii="Arial" w:cs="Arial" w:eastAsia="Arial" w:hAnsi="Arial"/>
          <w:sz w:val="24"/>
          <w:szCs w:val="24"/>
          <w:b w:val="1"/>
          <w:bCs w:val="1"/>
          <w:color w:val="455986"/>
        </w:rPr>
        <w:t>2020 Director Stock Ownership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128905</wp:posOffset>
            </wp:positionV>
            <wp:extent cx="4959985" cy="276352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4959985" cy="27635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left="1040"/>
        <w:spacing w:after="0"/>
        <w:rPr>
          <w:sz w:val="20"/>
          <w:szCs w:val="20"/>
          <w:color w:val="auto"/>
        </w:rPr>
      </w:pPr>
      <w:r>
        <w:rPr>
          <w:rFonts w:ascii="Arial" w:cs="Arial" w:eastAsia="Arial" w:hAnsi="Arial"/>
          <w:sz w:val="13"/>
          <w:szCs w:val="13"/>
          <w:color w:val="FFFFFF"/>
        </w:rPr>
        <w:t>ty3 20,117 Idehen3 3,895 Ruff 31,637 Stewart3 15,642 Womack3 3,895</w:t>
      </w:r>
    </w:p>
    <w:p>
      <w:pPr>
        <w:spacing w:after="0" w:line="7" w:lineRule="exact"/>
        <w:rPr>
          <w:sz w:val="20"/>
          <w:szCs w:val="20"/>
          <w:color w:val="auto"/>
        </w:rPr>
      </w:pPr>
    </w:p>
    <w:p>
      <w:pPr>
        <w:ind w:left="200" w:hanging="198"/>
        <w:spacing w:after="0"/>
        <w:tabs>
          <w:tab w:leader="none" w:pos="200" w:val="left"/>
        </w:tabs>
        <w:numPr>
          <w:ilvl w:val="0"/>
          <w:numId w:val="76"/>
        </w:numPr>
        <w:rPr>
          <w:rFonts w:ascii="Arial" w:cs="Arial" w:eastAsia="Arial" w:hAnsi="Arial"/>
          <w:sz w:val="13"/>
          <w:szCs w:val="13"/>
          <w:color w:val="231F20"/>
        </w:rPr>
      </w:pPr>
      <w:r>
        <w:rPr>
          <w:rFonts w:ascii="Arial" w:cs="Arial" w:eastAsia="Arial" w:hAnsi="Arial"/>
          <w:sz w:val="13"/>
          <w:szCs w:val="13"/>
          <w:color w:val="231F20"/>
        </w:rPr>
        <w:t>Mr. Franklin is a management Director and his Stock ownership guidelines and current shareholdings are detailed on pages 68 and 69.</w:t>
      </w:r>
    </w:p>
    <w:p>
      <w:pPr>
        <w:spacing w:after="0" w:line="64" w:lineRule="exact"/>
        <w:rPr>
          <w:rFonts w:ascii="Arial" w:cs="Arial" w:eastAsia="Arial" w:hAnsi="Arial"/>
          <w:sz w:val="13"/>
          <w:szCs w:val="13"/>
          <w:color w:val="231F20"/>
        </w:rPr>
      </w:pPr>
    </w:p>
    <w:p>
      <w:pPr>
        <w:ind w:left="200" w:hanging="198"/>
        <w:spacing w:after="0"/>
        <w:tabs>
          <w:tab w:leader="none" w:pos="200" w:val="left"/>
        </w:tabs>
        <w:numPr>
          <w:ilvl w:val="0"/>
          <w:numId w:val="76"/>
        </w:numPr>
        <w:rPr>
          <w:rFonts w:ascii="Arial" w:cs="Arial" w:eastAsia="Arial" w:hAnsi="Arial"/>
          <w:sz w:val="13"/>
          <w:szCs w:val="13"/>
          <w:color w:val="231F20"/>
        </w:rPr>
      </w:pPr>
      <w:r>
        <w:rPr>
          <w:rFonts w:ascii="Arial" w:cs="Arial" w:eastAsia="Arial" w:hAnsi="Arial"/>
          <w:sz w:val="13"/>
          <w:szCs w:val="13"/>
          <w:color w:val="231F20"/>
        </w:rPr>
        <w:t>Because Ms. Franks elected to waive the annual equity compensation awarded to directors, the Board of Directors exempted Ms. Franks from the director stock ownership guidelines.</w:t>
      </w:r>
    </w:p>
    <w:p>
      <w:pPr>
        <w:spacing w:after="0" w:line="67" w:lineRule="exact"/>
        <w:rPr>
          <w:rFonts w:ascii="Arial" w:cs="Arial" w:eastAsia="Arial" w:hAnsi="Arial"/>
          <w:sz w:val="13"/>
          <w:szCs w:val="13"/>
          <w:color w:val="231F20"/>
        </w:rPr>
      </w:pPr>
    </w:p>
    <w:p>
      <w:pPr>
        <w:ind w:left="200" w:hanging="198"/>
        <w:spacing w:after="0"/>
        <w:tabs>
          <w:tab w:leader="none" w:pos="200" w:val="left"/>
        </w:tabs>
        <w:numPr>
          <w:ilvl w:val="0"/>
          <w:numId w:val="76"/>
        </w:numPr>
        <w:rPr>
          <w:rFonts w:ascii="Arial" w:cs="Arial" w:eastAsia="Arial" w:hAnsi="Arial"/>
          <w:sz w:val="13"/>
          <w:szCs w:val="13"/>
          <w:color w:val="231F20"/>
        </w:rPr>
      </w:pPr>
      <w:r>
        <w:rPr>
          <w:rFonts w:ascii="Arial" w:cs="Arial" w:eastAsia="Arial" w:hAnsi="Arial"/>
          <w:sz w:val="13"/>
          <w:szCs w:val="13"/>
          <w:color w:val="231F20"/>
        </w:rPr>
        <w:t>These directors have up to five years to attain the required stock ownership level.</w:t>
      </w:r>
    </w:p>
    <w:p>
      <w:pPr>
        <w:spacing w:after="0" w:line="128" w:lineRule="exact"/>
        <w:rPr>
          <w:sz w:val="20"/>
          <w:szCs w:val="20"/>
          <w:color w:val="auto"/>
        </w:rPr>
      </w:pPr>
    </w:p>
    <w:p>
      <w:pPr>
        <w:spacing w:after="0"/>
        <w:rPr>
          <w:sz w:val="20"/>
          <w:szCs w:val="20"/>
          <w:color w:val="auto"/>
        </w:rPr>
      </w:pPr>
      <w:r>
        <w:rPr>
          <w:rFonts w:ascii="Arial" w:cs="Arial" w:eastAsia="Arial" w:hAnsi="Arial"/>
          <w:sz w:val="24"/>
          <w:szCs w:val="24"/>
          <w:b w:val="1"/>
          <w:bCs w:val="1"/>
          <w:color w:val="455986"/>
        </w:rPr>
        <w:t>Total 2020 Director Compensation</w:t>
      </w: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179"/>
        </w:trPr>
        <w:tc>
          <w:tcPr>
            <w:tcW w:w="1920" w:type="dxa"/>
            <w:vAlign w:val="bottom"/>
          </w:tcPr>
          <w:p>
            <w:pPr>
              <w:spacing w:after="0"/>
              <w:rPr>
                <w:sz w:val="15"/>
                <w:szCs w:val="15"/>
                <w:color w:val="auto"/>
              </w:rPr>
            </w:pPr>
          </w:p>
        </w:tc>
        <w:tc>
          <w:tcPr>
            <w:tcW w:w="20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360" w:type="dxa"/>
            <w:vAlign w:val="bottom"/>
          </w:tcPr>
          <w:p>
            <w:pPr>
              <w:jc w:val="right"/>
              <w:ind w:right="86"/>
              <w:spacing w:after="0"/>
              <w:rPr>
                <w:sz w:val="20"/>
                <w:szCs w:val="20"/>
                <w:color w:val="auto"/>
              </w:rPr>
            </w:pPr>
            <w:r>
              <w:rPr>
                <w:rFonts w:ascii="Arial" w:cs="Arial" w:eastAsia="Arial" w:hAnsi="Arial"/>
                <w:sz w:val="15"/>
                <w:szCs w:val="15"/>
                <w:color w:val="455986"/>
              </w:rPr>
              <w:t>Change in</w:t>
            </w:r>
          </w:p>
        </w:tc>
        <w:tc>
          <w:tcPr>
            <w:tcW w:w="15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1920" w:type="dxa"/>
            <w:vAlign w:val="bottom"/>
          </w:tcPr>
          <w:p>
            <w:pPr>
              <w:spacing w:after="0"/>
              <w:rPr>
                <w:sz w:val="15"/>
                <w:szCs w:val="15"/>
                <w:color w:val="auto"/>
              </w:rPr>
            </w:pPr>
          </w:p>
        </w:tc>
        <w:tc>
          <w:tcPr>
            <w:tcW w:w="20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360" w:type="dxa"/>
            <w:vAlign w:val="bottom"/>
          </w:tcPr>
          <w:p>
            <w:pPr>
              <w:jc w:val="right"/>
              <w:ind w:right="86"/>
              <w:spacing w:after="0"/>
              <w:rPr>
                <w:sz w:val="20"/>
                <w:szCs w:val="20"/>
                <w:color w:val="auto"/>
              </w:rPr>
            </w:pPr>
            <w:r>
              <w:rPr>
                <w:rFonts w:ascii="Arial" w:cs="Arial" w:eastAsia="Arial" w:hAnsi="Arial"/>
                <w:sz w:val="15"/>
                <w:szCs w:val="15"/>
                <w:color w:val="455986"/>
              </w:rPr>
              <w:t>Pension Value</w:t>
            </w:r>
          </w:p>
        </w:tc>
        <w:tc>
          <w:tcPr>
            <w:tcW w:w="15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1920" w:type="dxa"/>
            <w:vAlign w:val="bottom"/>
          </w:tcPr>
          <w:p>
            <w:pPr>
              <w:spacing w:after="0"/>
              <w:rPr>
                <w:sz w:val="15"/>
                <w:szCs w:val="15"/>
                <w:color w:val="auto"/>
              </w:rPr>
            </w:pPr>
          </w:p>
        </w:tc>
        <w:tc>
          <w:tcPr>
            <w:tcW w:w="20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360" w:type="dxa"/>
            <w:vAlign w:val="bottom"/>
          </w:tcPr>
          <w:p>
            <w:pPr>
              <w:jc w:val="right"/>
              <w:ind w:right="46"/>
              <w:spacing w:after="0"/>
              <w:rPr>
                <w:sz w:val="20"/>
                <w:szCs w:val="20"/>
                <w:color w:val="auto"/>
              </w:rPr>
            </w:pPr>
            <w:r>
              <w:rPr>
                <w:rFonts w:ascii="Arial" w:cs="Arial" w:eastAsia="Arial" w:hAnsi="Arial"/>
                <w:sz w:val="15"/>
                <w:szCs w:val="15"/>
                <w:color w:val="455986"/>
              </w:rPr>
              <w:t>and Nonqualified</w:t>
            </w:r>
          </w:p>
        </w:tc>
        <w:tc>
          <w:tcPr>
            <w:tcW w:w="15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1920" w:type="dxa"/>
            <w:vAlign w:val="bottom"/>
          </w:tcPr>
          <w:p>
            <w:pPr>
              <w:spacing w:after="0"/>
              <w:rPr>
                <w:sz w:val="15"/>
                <w:szCs w:val="15"/>
                <w:color w:val="auto"/>
              </w:rPr>
            </w:pPr>
          </w:p>
        </w:tc>
        <w:tc>
          <w:tcPr>
            <w:tcW w:w="2000" w:type="dxa"/>
            <w:vAlign w:val="bottom"/>
          </w:tcPr>
          <w:p>
            <w:pPr>
              <w:spacing w:after="0"/>
              <w:rPr>
                <w:sz w:val="15"/>
                <w:szCs w:val="15"/>
                <w:color w:val="auto"/>
              </w:rPr>
            </w:pPr>
          </w:p>
        </w:tc>
        <w:tc>
          <w:tcPr>
            <w:tcW w:w="1180" w:type="dxa"/>
            <w:vAlign w:val="bottom"/>
            <w:vMerge w:val="restart"/>
          </w:tcPr>
          <w:p>
            <w:pPr>
              <w:jc w:val="right"/>
              <w:ind w:right="67"/>
              <w:spacing w:after="0"/>
              <w:rPr>
                <w:sz w:val="20"/>
                <w:szCs w:val="20"/>
                <w:color w:val="auto"/>
              </w:rPr>
            </w:pPr>
            <w:r>
              <w:rPr>
                <w:rFonts w:ascii="Arial" w:cs="Arial" w:eastAsia="Arial" w:hAnsi="Arial"/>
                <w:sz w:val="15"/>
                <w:szCs w:val="15"/>
                <w:color w:val="455986"/>
              </w:rPr>
              <w:t>Stock</w:t>
            </w:r>
          </w:p>
        </w:tc>
        <w:tc>
          <w:tcPr>
            <w:tcW w:w="960" w:type="dxa"/>
            <w:vAlign w:val="bottom"/>
          </w:tcPr>
          <w:p>
            <w:pPr>
              <w:spacing w:after="0"/>
              <w:rPr>
                <w:sz w:val="15"/>
                <w:szCs w:val="15"/>
                <w:color w:val="auto"/>
              </w:rPr>
            </w:pPr>
          </w:p>
        </w:tc>
        <w:tc>
          <w:tcPr>
            <w:tcW w:w="1400" w:type="dxa"/>
            <w:vAlign w:val="bottom"/>
          </w:tcPr>
          <w:p>
            <w:pPr>
              <w:jc w:val="right"/>
              <w:ind w:right="67"/>
              <w:spacing w:after="0"/>
              <w:rPr>
                <w:sz w:val="20"/>
                <w:szCs w:val="20"/>
                <w:color w:val="auto"/>
              </w:rPr>
            </w:pPr>
            <w:r>
              <w:rPr>
                <w:rFonts w:ascii="Arial" w:cs="Arial" w:eastAsia="Arial" w:hAnsi="Arial"/>
                <w:sz w:val="15"/>
                <w:szCs w:val="15"/>
                <w:color w:val="455986"/>
              </w:rPr>
              <w:t>Non-Equity</w:t>
            </w:r>
          </w:p>
        </w:tc>
        <w:tc>
          <w:tcPr>
            <w:tcW w:w="1360" w:type="dxa"/>
            <w:vAlign w:val="bottom"/>
          </w:tcPr>
          <w:p>
            <w:pPr>
              <w:jc w:val="right"/>
              <w:ind w:right="86"/>
              <w:spacing w:after="0"/>
              <w:rPr>
                <w:sz w:val="20"/>
                <w:szCs w:val="20"/>
                <w:color w:val="auto"/>
              </w:rPr>
            </w:pPr>
            <w:r>
              <w:rPr>
                <w:rFonts w:ascii="Arial" w:cs="Arial" w:eastAsia="Arial" w:hAnsi="Arial"/>
                <w:sz w:val="15"/>
                <w:szCs w:val="15"/>
                <w:color w:val="455986"/>
              </w:rPr>
              <w:t>Deferred</w:t>
            </w:r>
          </w:p>
        </w:tc>
        <w:tc>
          <w:tcPr>
            <w:tcW w:w="15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9"/>
        </w:trPr>
        <w:tc>
          <w:tcPr>
            <w:tcW w:w="1920" w:type="dxa"/>
            <w:vAlign w:val="bottom"/>
          </w:tcPr>
          <w:p>
            <w:pPr>
              <w:spacing w:after="0"/>
              <w:rPr>
                <w:sz w:val="13"/>
                <w:szCs w:val="13"/>
                <w:color w:val="auto"/>
              </w:rPr>
            </w:pPr>
          </w:p>
        </w:tc>
        <w:tc>
          <w:tcPr>
            <w:tcW w:w="2000" w:type="dxa"/>
            <w:vAlign w:val="bottom"/>
          </w:tcPr>
          <w:p>
            <w:pPr>
              <w:jc w:val="right"/>
              <w:ind w:right="87"/>
              <w:spacing w:after="0" w:line="159" w:lineRule="exact"/>
              <w:rPr>
                <w:sz w:val="20"/>
                <w:szCs w:val="20"/>
                <w:color w:val="auto"/>
              </w:rPr>
            </w:pPr>
            <w:r>
              <w:rPr>
                <w:rFonts w:ascii="Arial" w:cs="Arial" w:eastAsia="Arial" w:hAnsi="Arial"/>
                <w:sz w:val="15"/>
                <w:szCs w:val="15"/>
                <w:color w:val="455986"/>
              </w:rPr>
              <w:t>Fees Paid in</w:t>
            </w:r>
          </w:p>
        </w:tc>
        <w:tc>
          <w:tcPr>
            <w:tcW w:w="1180" w:type="dxa"/>
            <w:vAlign w:val="bottom"/>
            <w:vMerge w:val="continue"/>
          </w:tcPr>
          <w:p>
            <w:pPr>
              <w:spacing w:after="0"/>
              <w:rPr>
                <w:sz w:val="13"/>
                <w:szCs w:val="13"/>
                <w:color w:val="auto"/>
              </w:rPr>
            </w:pPr>
          </w:p>
        </w:tc>
        <w:tc>
          <w:tcPr>
            <w:tcW w:w="960" w:type="dxa"/>
            <w:vAlign w:val="bottom"/>
          </w:tcPr>
          <w:p>
            <w:pPr>
              <w:jc w:val="right"/>
              <w:ind w:right="7"/>
              <w:spacing w:after="0" w:line="159" w:lineRule="exact"/>
              <w:rPr>
                <w:sz w:val="20"/>
                <w:szCs w:val="20"/>
                <w:color w:val="auto"/>
              </w:rPr>
            </w:pPr>
            <w:r>
              <w:rPr>
                <w:rFonts w:ascii="Arial" w:cs="Arial" w:eastAsia="Arial" w:hAnsi="Arial"/>
                <w:sz w:val="15"/>
                <w:szCs w:val="15"/>
                <w:color w:val="455986"/>
              </w:rPr>
              <w:t>Option</w:t>
            </w:r>
          </w:p>
        </w:tc>
        <w:tc>
          <w:tcPr>
            <w:tcW w:w="1400" w:type="dxa"/>
            <w:vAlign w:val="bottom"/>
          </w:tcPr>
          <w:p>
            <w:pPr>
              <w:jc w:val="right"/>
              <w:ind w:right="27"/>
              <w:spacing w:after="0" w:line="159" w:lineRule="exact"/>
              <w:rPr>
                <w:sz w:val="20"/>
                <w:szCs w:val="20"/>
                <w:color w:val="auto"/>
              </w:rPr>
            </w:pPr>
            <w:r>
              <w:rPr>
                <w:rFonts w:ascii="Arial" w:cs="Arial" w:eastAsia="Arial" w:hAnsi="Arial"/>
                <w:sz w:val="15"/>
                <w:szCs w:val="15"/>
                <w:color w:val="455986"/>
              </w:rPr>
              <w:t>Incentive Plan</w:t>
            </w:r>
          </w:p>
        </w:tc>
        <w:tc>
          <w:tcPr>
            <w:tcW w:w="1360" w:type="dxa"/>
            <w:vAlign w:val="bottom"/>
          </w:tcPr>
          <w:p>
            <w:pPr>
              <w:jc w:val="right"/>
              <w:ind w:right="46"/>
              <w:spacing w:after="0" w:line="159" w:lineRule="exact"/>
              <w:rPr>
                <w:sz w:val="20"/>
                <w:szCs w:val="20"/>
                <w:color w:val="auto"/>
              </w:rPr>
            </w:pPr>
            <w:r>
              <w:rPr>
                <w:rFonts w:ascii="Arial" w:cs="Arial" w:eastAsia="Arial" w:hAnsi="Arial"/>
                <w:sz w:val="15"/>
                <w:szCs w:val="15"/>
                <w:color w:val="455986"/>
              </w:rPr>
              <w:t>Compensation</w:t>
            </w:r>
          </w:p>
        </w:tc>
        <w:tc>
          <w:tcPr>
            <w:tcW w:w="1560" w:type="dxa"/>
            <w:vAlign w:val="bottom"/>
          </w:tcPr>
          <w:p>
            <w:pPr>
              <w:jc w:val="right"/>
              <w:ind w:right="167"/>
              <w:spacing w:after="0" w:line="159" w:lineRule="exact"/>
              <w:rPr>
                <w:sz w:val="20"/>
                <w:szCs w:val="20"/>
                <w:color w:val="auto"/>
              </w:rPr>
            </w:pPr>
            <w:r>
              <w:rPr>
                <w:rFonts w:ascii="Arial" w:cs="Arial" w:eastAsia="Arial" w:hAnsi="Arial"/>
                <w:sz w:val="15"/>
                <w:szCs w:val="15"/>
                <w:color w:val="455986"/>
              </w:rPr>
              <w:t>All Other</w:t>
            </w:r>
          </w:p>
        </w:tc>
        <w:tc>
          <w:tcPr>
            <w:tcW w:w="8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8"/>
        </w:trPr>
        <w:tc>
          <w:tcPr>
            <w:tcW w:w="1920" w:type="dxa"/>
            <w:vAlign w:val="bottom"/>
            <w:tcBorders>
              <w:bottom w:val="single" w:sz="8" w:color="4395D4"/>
            </w:tcBorders>
          </w:tcPr>
          <w:p>
            <w:pPr>
              <w:spacing w:after="0"/>
              <w:rPr>
                <w:sz w:val="20"/>
                <w:szCs w:val="20"/>
                <w:color w:val="auto"/>
              </w:rPr>
            </w:pPr>
            <w:r>
              <w:rPr>
                <w:rFonts w:ascii="Arial" w:cs="Arial" w:eastAsia="Arial" w:hAnsi="Arial"/>
                <w:sz w:val="15"/>
                <w:szCs w:val="15"/>
                <w:color w:val="455986"/>
              </w:rPr>
              <w:t>Name</w:t>
            </w:r>
          </w:p>
        </w:tc>
        <w:tc>
          <w:tcPr>
            <w:tcW w:w="2000" w:type="dxa"/>
            <w:vAlign w:val="bottom"/>
            <w:tcBorders>
              <w:bottom w:val="single" w:sz="8" w:color="4395D4"/>
            </w:tcBorders>
          </w:tcPr>
          <w:p>
            <w:pPr>
              <w:jc w:val="right"/>
              <w:ind w:right="87"/>
              <w:spacing w:after="0"/>
              <w:rPr>
                <w:sz w:val="20"/>
                <w:szCs w:val="20"/>
                <w:color w:val="auto"/>
              </w:rPr>
            </w:pPr>
            <w:r>
              <w:rPr>
                <w:rFonts w:ascii="Arial" w:cs="Arial" w:eastAsia="Arial" w:hAnsi="Arial"/>
                <w:sz w:val="15"/>
                <w:szCs w:val="15"/>
                <w:color w:val="455986"/>
              </w:rPr>
              <w:t>Cash ($)</w:t>
            </w:r>
          </w:p>
        </w:tc>
        <w:tc>
          <w:tcPr>
            <w:tcW w:w="1180" w:type="dxa"/>
            <w:vAlign w:val="bottom"/>
            <w:tcBorders>
              <w:bottom w:val="single" w:sz="8" w:color="4395D4"/>
            </w:tcBorders>
          </w:tcPr>
          <w:p>
            <w:pPr>
              <w:jc w:val="right"/>
              <w:ind w:right="67"/>
              <w:spacing w:after="0" w:line="268" w:lineRule="exact"/>
              <w:rPr>
                <w:sz w:val="20"/>
                <w:szCs w:val="20"/>
                <w:color w:val="auto"/>
              </w:rPr>
            </w:pPr>
            <w:r>
              <w:rPr>
                <w:rFonts w:ascii="Arial" w:cs="Arial" w:eastAsia="Arial" w:hAnsi="Arial"/>
                <w:sz w:val="15"/>
                <w:szCs w:val="15"/>
                <w:color w:val="455986"/>
              </w:rPr>
              <w:t>Awards ($)</w:t>
            </w:r>
            <w:r>
              <w:rPr>
                <w:rFonts w:ascii="Arial" w:cs="Arial" w:eastAsia="Arial" w:hAnsi="Arial"/>
                <w:sz w:val="25"/>
                <w:szCs w:val="25"/>
                <w:color w:val="455986"/>
                <w:vertAlign w:val="superscript"/>
              </w:rPr>
              <w:t>(1)</w:t>
            </w:r>
          </w:p>
        </w:tc>
        <w:tc>
          <w:tcPr>
            <w:tcW w:w="960" w:type="dxa"/>
            <w:vAlign w:val="bottom"/>
            <w:tcBorders>
              <w:bottom w:val="single" w:sz="8" w:color="4395D4"/>
            </w:tcBorders>
          </w:tcPr>
          <w:p>
            <w:pPr>
              <w:jc w:val="right"/>
              <w:ind w:right="7"/>
              <w:spacing w:after="0"/>
              <w:rPr>
                <w:sz w:val="20"/>
                <w:szCs w:val="20"/>
                <w:color w:val="auto"/>
              </w:rPr>
            </w:pPr>
            <w:r>
              <w:rPr>
                <w:rFonts w:ascii="Arial" w:cs="Arial" w:eastAsia="Arial" w:hAnsi="Arial"/>
                <w:sz w:val="15"/>
                <w:szCs w:val="15"/>
                <w:color w:val="455986"/>
              </w:rPr>
              <w:t>Awards ($)</w:t>
            </w:r>
          </w:p>
        </w:tc>
        <w:tc>
          <w:tcPr>
            <w:tcW w:w="1400" w:type="dxa"/>
            <w:vAlign w:val="bottom"/>
            <w:tcBorders>
              <w:bottom w:val="single" w:sz="8" w:color="4395D4"/>
            </w:tcBorders>
          </w:tcPr>
          <w:p>
            <w:pPr>
              <w:jc w:val="right"/>
              <w:ind w:right="27"/>
              <w:spacing w:after="0"/>
              <w:rPr>
                <w:sz w:val="20"/>
                <w:szCs w:val="20"/>
                <w:color w:val="auto"/>
              </w:rPr>
            </w:pPr>
            <w:r>
              <w:rPr>
                <w:rFonts w:ascii="Arial" w:cs="Arial" w:eastAsia="Arial" w:hAnsi="Arial"/>
                <w:sz w:val="15"/>
                <w:szCs w:val="15"/>
                <w:color w:val="455986"/>
              </w:rPr>
              <w:t>Compensation ($)</w:t>
            </w:r>
          </w:p>
        </w:tc>
        <w:tc>
          <w:tcPr>
            <w:tcW w:w="1360" w:type="dxa"/>
            <w:vAlign w:val="bottom"/>
            <w:tcBorders>
              <w:bottom w:val="single" w:sz="8" w:color="4395D4"/>
            </w:tcBorders>
          </w:tcPr>
          <w:p>
            <w:pPr>
              <w:jc w:val="right"/>
              <w:ind w:right="46"/>
              <w:spacing w:after="0"/>
              <w:rPr>
                <w:sz w:val="20"/>
                <w:szCs w:val="20"/>
                <w:color w:val="auto"/>
              </w:rPr>
            </w:pPr>
            <w:r>
              <w:rPr>
                <w:rFonts w:ascii="Arial" w:cs="Arial" w:eastAsia="Arial" w:hAnsi="Arial"/>
                <w:sz w:val="15"/>
                <w:szCs w:val="15"/>
                <w:color w:val="455986"/>
              </w:rPr>
              <w:t>Earnings ($)</w:t>
            </w:r>
          </w:p>
        </w:tc>
        <w:tc>
          <w:tcPr>
            <w:tcW w:w="1560" w:type="dxa"/>
            <w:vAlign w:val="bottom"/>
            <w:tcBorders>
              <w:bottom w:val="single" w:sz="8" w:color="4395D4"/>
            </w:tcBorders>
          </w:tcPr>
          <w:p>
            <w:pPr>
              <w:jc w:val="right"/>
              <w:ind w:right="167"/>
              <w:spacing w:after="0"/>
              <w:rPr>
                <w:sz w:val="20"/>
                <w:szCs w:val="20"/>
                <w:color w:val="auto"/>
              </w:rPr>
            </w:pPr>
            <w:r>
              <w:rPr>
                <w:rFonts w:ascii="Arial" w:cs="Arial" w:eastAsia="Arial" w:hAnsi="Arial"/>
                <w:sz w:val="15"/>
                <w:szCs w:val="15"/>
                <w:color w:val="455986"/>
              </w:rPr>
              <w:t>Compensation ($)</w:t>
            </w:r>
          </w:p>
        </w:tc>
        <w:tc>
          <w:tcPr>
            <w:tcW w:w="860" w:type="dxa"/>
            <w:vAlign w:val="bottom"/>
            <w:tcBorders>
              <w:bottom w:val="single" w:sz="8" w:color="4395D4"/>
            </w:tcBorders>
          </w:tcPr>
          <w:p>
            <w:pPr>
              <w:jc w:val="right"/>
              <w:ind w:right="7"/>
              <w:spacing w:after="0"/>
              <w:rPr>
                <w:sz w:val="20"/>
                <w:szCs w:val="20"/>
                <w:color w:val="auto"/>
              </w:rPr>
            </w:pPr>
            <w:r>
              <w:rPr>
                <w:rFonts w:ascii="Arial" w:cs="Arial" w:eastAsia="Arial" w:hAnsi="Arial"/>
                <w:sz w:val="15"/>
                <w:szCs w:val="15"/>
                <w:color w:val="455986"/>
              </w:rPr>
              <w:t>Total ($)</w:t>
            </w:r>
          </w:p>
        </w:tc>
        <w:tc>
          <w:tcPr>
            <w:tcW w:w="0" w:type="dxa"/>
            <w:vAlign w:val="bottom"/>
          </w:tcPr>
          <w:p>
            <w:pPr>
              <w:spacing w:after="0"/>
              <w:rPr>
                <w:sz w:val="1"/>
                <w:szCs w:val="1"/>
                <w:color w:val="auto"/>
              </w:rPr>
            </w:pPr>
          </w:p>
        </w:tc>
      </w:tr>
      <w:tr>
        <w:trPr>
          <w:trHeight w:val="146"/>
        </w:trPr>
        <w:tc>
          <w:tcPr>
            <w:tcW w:w="1920" w:type="dxa"/>
            <w:vAlign w:val="bottom"/>
            <w:tcBorders>
              <w:bottom w:val="single" w:sz="8" w:color="231F20"/>
            </w:tcBorders>
          </w:tcPr>
          <w:p>
            <w:pPr>
              <w:spacing w:after="0" w:line="146" w:lineRule="exact"/>
              <w:rPr>
                <w:sz w:val="20"/>
                <w:szCs w:val="20"/>
                <w:color w:val="auto"/>
              </w:rPr>
            </w:pPr>
            <w:r>
              <w:rPr>
                <w:rFonts w:ascii="Arial" w:cs="Arial" w:eastAsia="Arial" w:hAnsi="Arial"/>
                <w:sz w:val="14"/>
                <w:szCs w:val="14"/>
                <w:b w:val="1"/>
                <w:bCs w:val="1"/>
                <w:color w:val="455986"/>
              </w:rPr>
              <w:t>Amato</w:t>
            </w:r>
          </w:p>
        </w:tc>
        <w:tc>
          <w:tcPr>
            <w:tcW w:w="2000" w:type="dxa"/>
            <w:vAlign w:val="bottom"/>
            <w:tcBorders>
              <w:bottom w:val="single" w:sz="8" w:color="231F20"/>
            </w:tcBorders>
          </w:tcPr>
          <w:p>
            <w:pPr>
              <w:jc w:val="right"/>
              <w:ind w:right="87"/>
              <w:spacing w:after="0" w:line="146" w:lineRule="exact"/>
              <w:rPr>
                <w:sz w:val="20"/>
                <w:szCs w:val="20"/>
                <w:color w:val="auto"/>
              </w:rPr>
            </w:pPr>
            <w:r>
              <w:rPr>
                <w:rFonts w:ascii="Arial" w:cs="Arial" w:eastAsia="Arial" w:hAnsi="Arial"/>
                <w:sz w:val="14"/>
                <w:szCs w:val="14"/>
                <w:color w:val="231F20"/>
              </w:rPr>
              <w:t>99,166</w:t>
            </w:r>
          </w:p>
        </w:tc>
        <w:tc>
          <w:tcPr>
            <w:tcW w:w="1180" w:type="dxa"/>
            <w:vAlign w:val="bottom"/>
            <w:tcBorders>
              <w:bottom w:val="single" w:sz="8" w:color="231F20"/>
            </w:tcBorders>
          </w:tcPr>
          <w:p>
            <w:pPr>
              <w:jc w:val="right"/>
              <w:ind w:right="67"/>
              <w:spacing w:after="0" w:line="146" w:lineRule="exact"/>
              <w:rPr>
                <w:sz w:val="20"/>
                <w:szCs w:val="20"/>
                <w:color w:val="auto"/>
              </w:rPr>
            </w:pPr>
            <w:r>
              <w:rPr>
                <w:rFonts w:ascii="Arial" w:cs="Arial" w:eastAsia="Arial" w:hAnsi="Arial"/>
                <w:sz w:val="14"/>
                <w:szCs w:val="14"/>
                <w:color w:val="231F20"/>
              </w:rPr>
              <w:t>99,949</w:t>
            </w:r>
          </w:p>
        </w:tc>
        <w:tc>
          <w:tcPr>
            <w:tcW w:w="960" w:type="dxa"/>
            <w:vAlign w:val="bottom"/>
            <w:tcBorders>
              <w:bottom w:val="single" w:sz="8" w:color="231F20"/>
            </w:tcBorders>
          </w:tcPr>
          <w:p>
            <w:pPr>
              <w:jc w:val="right"/>
              <w:ind w:right="7"/>
              <w:spacing w:after="0" w:line="146" w:lineRule="exact"/>
              <w:rPr>
                <w:sz w:val="20"/>
                <w:szCs w:val="20"/>
                <w:color w:val="auto"/>
              </w:rPr>
            </w:pPr>
            <w:r>
              <w:rPr>
                <w:rFonts w:ascii="Arial" w:cs="Arial" w:eastAsia="Arial" w:hAnsi="Arial"/>
                <w:sz w:val="14"/>
                <w:szCs w:val="14"/>
                <w:color w:val="231F20"/>
              </w:rPr>
              <w:t>—</w:t>
            </w:r>
          </w:p>
        </w:tc>
        <w:tc>
          <w:tcPr>
            <w:tcW w:w="1400" w:type="dxa"/>
            <w:vAlign w:val="bottom"/>
            <w:tcBorders>
              <w:bottom w:val="single" w:sz="8" w:color="231F20"/>
            </w:tcBorders>
          </w:tcPr>
          <w:p>
            <w:pPr>
              <w:jc w:val="right"/>
              <w:ind w:right="27"/>
              <w:spacing w:after="0" w:line="146" w:lineRule="exact"/>
              <w:rPr>
                <w:sz w:val="20"/>
                <w:szCs w:val="20"/>
                <w:color w:val="auto"/>
              </w:rPr>
            </w:pPr>
            <w:r>
              <w:rPr>
                <w:rFonts w:ascii="Arial" w:cs="Arial" w:eastAsia="Arial" w:hAnsi="Arial"/>
                <w:sz w:val="14"/>
                <w:szCs w:val="14"/>
                <w:color w:val="231F20"/>
              </w:rPr>
              <w:t>—</w:t>
            </w:r>
          </w:p>
        </w:tc>
        <w:tc>
          <w:tcPr>
            <w:tcW w:w="1360" w:type="dxa"/>
            <w:vAlign w:val="bottom"/>
            <w:tcBorders>
              <w:bottom w:val="single" w:sz="8" w:color="231F20"/>
            </w:tcBorders>
          </w:tcPr>
          <w:p>
            <w:pPr>
              <w:jc w:val="right"/>
              <w:ind w:right="46"/>
              <w:spacing w:after="0" w:line="146" w:lineRule="exact"/>
              <w:rPr>
                <w:sz w:val="20"/>
                <w:szCs w:val="20"/>
                <w:color w:val="auto"/>
              </w:rPr>
            </w:pPr>
            <w:r>
              <w:rPr>
                <w:rFonts w:ascii="Arial" w:cs="Arial" w:eastAsia="Arial" w:hAnsi="Arial"/>
                <w:sz w:val="14"/>
                <w:szCs w:val="14"/>
                <w:color w:val="231F20"/>
              </w:rPr>
              <w:t>—</w:t>
            </w:r>
          </w:p>
        </w:tc>
        <w:tc>
          <w:tcPr>
            <w:tcW w:w="1560" w:type="dxa"/>
            <w:vAlign w:val="bottom"/>
            <w:tcBorders>
              <w:bottom w:val="single" w:sz="8" w:color="231F20"/>
            </w:tcBorders>
          </w:tcPr>
          <w:p>
            <w:pPr>
              <w:jc w:val="right"/>
              <w:ind w:right="167"/>
              <w:spacing w:after="0" w:line="146" w:lineRule="exact"/>
              <w:rPr>
                <w:sz w:val="20"/>
                <w:szCs w:val="20"/>
                <w:color w:val="auto"/>
              </w:rPr>
            </w:pPr>
            <w:r>
              <w:rPr>
                <w:rFonts w:ascii="Arial" w:cs="Arial" w:eastAsia="Arial" w:hAnsi="Arial"/>
                <w:sz w:val="14"/>
                <w:szCs w:val="14"/>
                <w:color w:val="231F20"/>
              </w:rPr>
              <w:t>—</w:t>
            </w:r>
          </w:p>
        </w:tc>
        <w:tc>
          <w:tcPr>
            <w:tcW w:w="860" w:type="dxa"/>
            <w:vAlign w:val="bottom"/>
            <w:tcBorders>
              <w:bottom w:val="single" w:sz="8" w:color="231F20"/>
            </w:tcBorders>
          </w:tcPr>
          <w:p>
            <w:pPr>
              <w:jc w:val="right"/>
              <w:ind w:right="7"/>
              <w:spacing w:after="0" w:line="146" w:lineRule="exact"/>
              <w:rPr>
                <w:sz w:val="20"/>
                <w:szCs w:val="20"/>
                <w:color w:val="auto"/>
              </w:rPr>
            </w:pPr>
            <w:r>
              <w:rPr>
                <w:rFonts w:ascii="Arial" w:cs="Arial" w:eastAsia="Arial" w:hAnsi="Arial"/>
                <w:sz w:val="14"/>
                <w:szCs w:val="14"/>
                <w:color w:val="231F20"/>
              </w:rPr>
              <w:t>199,115</w:t>
            </w:r>
          </w:p>
        </w:tc>
        <w:tc>
          <w:tcPr>
            <w:tcW w:w="0" w:type="dxa"/>
            <w:vAlign w:val="bottom"/>
          </w:tcPr>
          <w:p>
            <w:pPr>
              <w:spacing w:after="0"/>
              <w:rPr>
                <w:sz w:val="1"/>
                <w:szCs w:val="1"/>
                <w:color w:val="auto"/>
              </w:rPr>
            </w:pPr>
          </w:p>
        </w:tc>
      </w:tr>
      <w:tr>
        <w:trPr>
          <w:trHeight w:val="146"/>
        </w:trPr>
        <w:tc>
          <w:tcPr>
            <w:tcW w:w="1920" w:type="dxa"/>
            <w:vAlign w:val="bottom"/>
            <w:tcBorders>
              <w:bottom w:val="single" w:sz="8" w:color="231F20"/>
            </w:tcBorders>
          </w:tcPr>
          <w:p>
            <w:pPr>
              <w:spacing w:after="0" w:line="146" w:lineRule="exact"/>
              <w:rPr>
                <w:sz w:val="20"/>
                <w:szCs w:val="20"/>
                <w:color w:val="auto"/>
              </w:rPr>
            </w:pPr>
            <w:r>
              <w:rPr>
                <w:rFonts w:ascii="Arial" w:cs="Arial" w:eastAsia="Arial" w:hAnsi="Arial"/>
                <w:sz w:val="14"/>
                <w:szCs w:val="14"/>
                <w:b w:val="1"/>
                <w:bCs w:val="1"/>
                <w:color w:val="455986"/>
              </w:rPr>
              <w:t>DeBenedictis</w:t>
            </w:r>
          </w:p>
        </w:tc>
        <w:tc>
          <w:tcPr>
            <w:tcW w:w="2000" w:type="dxa"/>
            <w:vAlign w:val="bottom"/>
            <w:tcBorders>
              <w:bottom w:val="single" w:sz="8" w:color="231F20"/>
            </w:tcBorders>
          </w:tcPr>
          <w:p>
            <w:pPr>
              <w:jc w:val="right"/>
              <w:ind w:right="87"/>
              <w:spacing w:after="0" w:line="146" w:lineRule="exact"/>
              <w:rPr>
                <w:sz w:val="20"/>
                <w:szCs w:val="20"/>
                <w:color w:val="auto"/>
              </w:rPr>
            </w:pPr>
            <w:r>
              <w:rPr>
                <w:rFonts w:ascii="Arial" w:cs="Arial" w:eastAsia="Arial" w:hAnsi="Arial"/>
                <w:sz w:val="14"/>
                <w:szCs w:val="14"/>
                <w:color w:val="231F20"/>
              </w:rPr>
              <w:t>105,000</w:t>
            </w:r>
          </w:p>
        </w:tc>
        <w:tc>
          <w:tcPr>
            <w:tcW w:w="1180" w:type="dxa"/>
            <w:vAlign w:val="bottom"/>
            <w:tcBorders>
              <w:bottom w:val="single" w:sz="8" w:color="231F20"/>
            </w:tcBorders>
          </w:tcPr>
          <w:p>
            <w:pPr>
              <w:jc w:val="right"/>
              <w:ind w:right="67"/>
              <w:spacing w:after="0" w:line="146" w:lineRule="exact"/>
              <w:rPr>
                <w:sz w:val="20"/>
                <w:szCs w:val="20"/>
                <w:color w:val="auto"/>
              </w:rPr>
            </w:pPr>
            <w:r>
              <w:rPr>
                <w:rFonts w:ascii="Arial" w:cs="Arial" w:eastAsia="Arial" w:hAnsi="Arial"/>
                <w:sz w:val="14"/>
                <w:szCs w:val="14"/>
                <w:color w:val="231F20"/>
              </w:rPr>
              <w:t>99,949</w:t>
            </w:r>
          </w:p>
        </w:tc>
        <w:tc>
          <w:tcPr>
            <w:tcW w:w="960" w:type="dxa"/>
            <w:vAlign w:val="bottom"/>
            <w:tcBorders>
              <w:bottom w:val="single" w:sz="8" w:color="231F20"/>
            </w:tcBorders>
          </w:tcPr>
          <w:p>
            <w:pPr>
              <w:jc w:val="right"/>
              <w:ind w:right="7"/>
              <w:spacing w:after="0" w:line="146" w:lineRule="exact"/>
              <w:rPr>
                <w:sz w:val="20"/>
                <w:szCs w:val="20"/>
                <w:color w:val="auto"/>
              </w:rPr>
            </w:pPr>
            <w:r>
              <w:rPr>
                <w:rFonts w:ascii="Arial" w:cs="Arial" w:eastAsia="Arial" w:hAnsi="Arial"/>
                <w:sz w:val="14"/>
                <w:szCs w:val="14"/>
                <w:color w:val="231F20"/>
              </w:rPr>
              <w:t>—</w:t>
            </w:r>
          </w:p>
        </w:tc>
        <w:tc>
          <w:tcPr>
            <w:tcW w:w="1400" w:type="dxa"/>
            <w:vAlign w:val="bottom"/>
            <w:tcBorders>
              <w:bottom w:val="single" w:sz="8" w:color="231F20"/>
            </w:tcBorders>
          </w:tcPr>
          <w:p>
            <w:pPr>
              <w:jc w:val="right"/>
              <w:ind w:right="27"/>
              <w:spacing w:after="0" w:line="146" w:lineRule="exact"/>
              <w:rPr>
                <w:sz w:val="20"/>
                <w:szCs w:val="20"/>
                <w:color w:val="auto"/>
              </w:rPr>
            </w:pPr>
            <w:r>
              <w:rPr>
                <w:rFonts w:ascii="Arial" w:cs="Arial" w:eastAsia="Arial" w:hAnsi="Arial"/>
                <w:sz w:val="14"/>
                <w:szCs w:val="14"/>
                <w:color w:val="231F20"/>
              </w:rPr>
              <w:t>—</w:t>
            </w:r>
          </w:p>
        </w:tc>
        <w:tc>
          <w:tcPr>
            <w:tcW w:w="1360" w:type="dxa"/>
            <w:vAlign w:val="bottom"/>
            <w:tcBorders>
              <w:bottom w:val="single" w:sz="8" w:color="231F20"/>
            </w:tcBorders>
          </w:tcPr>
          <w:p>
            <w:pPr>
              <w:jc w:val="right"/>
              <w:ind w:right="46"/>
              <w:spacing w:after="0" w:line="146" w:lineRule="exact"/>
              <w:rPr>
                <w:sz w:val="20"/>
                <w:szCs w:val="20"/>
                <w:color w:val="auto"/>
              </w:rPr>
            </w:pPr>
            <w:r>
              <w:rPr>
                <w:rFonts w:ascii="Arial" w:cs="Arial" w:eastAsia="Arial" w:hAnsi="Arial"/>
                <w:sz w:val="14"/>
                <w:szCs w:val="14"/>
                <w:color w:val="231F20"/>
              </w:rPr>
              <w:t>—</w:t>
            </w:r>
          </w:p>
        </w:tc>
        <w:tc>
          <w:tcPr>
            <w:tcW w:w="1560" w:type="dxa"/>
            <w:vAlign w:val="bottom"/>
            <w:tcBorders>
              <w:bottom w:val="single" w:sz="8" w:color="231F20"/>
            </w:tcBorders>
          </w:tcPr>
          <w:p>
            <w:pPr>
              <w:jc w:val="right"/>
              <w:ind w:right="167"/>
              <w:spacing w:after="0" w:line="146" w:lineRule="exact"/>
              <w:rPr>
                <w:sz w:val="20"/>
                <w:szCs w:val="20"/>
                <w:color w:val="auto"/>
              </w:rPr>
            </w:pPr>
            <w:r>
              <w:rPr>
                <w:rFonts w:ascii="Arial" w:cs="Arial" w:eastAsia="Arial" w:hAnsi="Arial"/>
                <w:sz w:val="14"/>
                <w:szCs w:val="14"/>
                <w:color w:val="231F20"/>
              </w:rPr>
              <w:t>—</w:t>
            </w:r>
          </w:p>
        </w:tc>
        <w:tc>
          <w:tcPr>
            <w:tcW w:w="860" w:type="dxa"/>
            <w:vAlign w:val="bottom"/>
            <w:tcBorders>
              <w:bottom w:val="single" w:sz="8" w:color="231F20"/>
            </w:tcBorders>
          </w:tcPr>
          <w:p>
            <w:pPr>
              <w:jc w:val="right"/>
              <w:ind w:right="7"/>
              <w:spacing w:after="0" w:line="146" w:lineRule="exact"/>
              <w:rPr>
                <w:sz w:val="20"/>
                <w:szCs w:val="20"/>
                <w:color w:val="auto"/>
              </w:rPr>
            </w:pPr>
            <w:r>
              <w:rPr>
                <w:rFonts w:ascii="Arial" w:cs="Arial" w:eastAsia="Arial" w:hAnsi="Arial"/>
                <w:sz w:val="14"/>
                <w:szCs w:val="14"/>
                <w:color w:val="231F20"/>
              </w:rPr>
              <w:t>204,949</w:t>
            </w:r>
          </w:p>
        </w:tc>
        <w:tc>
          <w:tcPr>
            <w:tcW w:w="0" w:type="dxa"/>
            <w:vAlign w:val="bottom"/>
          </w:tcPr>
          <w:p>
            <w:pPr>
              <w:spacing w:after="0"/>
              <w:rPr>
                <w:sz w:val="1"/>
                <w:szCs w:val="1"/>
                <w:color w:val="auto"/>
              </w:rPr>
            </w:pPr>
          </w:p>
        </w:tc>
      </w:tr>
      <w:tr>
        <w:trPr>
          <w:trHeight w:val="184"/>
        </w:trPr>
        <w:tc>
          <w:tcPr>
            <w:tcW w:w="1920" w:type="dxa"/>
            <w:vAlign w:val="bottom"/>
            <w:tcBorders>
              <w:bottom w:val="single" w:sz="8" w:color="231F20"/>
            </w:tcBorders>
          </w:tcPr>
          <w:p>
            <w:pPr>
              <w:spacing w:after="0" w:line="185" w:lineRule="exact"/>
              <w:rPr>
                <w:sz w:val="20"/>
                <w:szCs w:val="20"/>
                <w:color w:val="auto"/>
              </w:rPr>
            </w:pPr>
            <w:r>
              <w:rPr>
                <w:rFonts w:ascii="Arial" w:cs="Arial" w:eastAsia="Arial" w:hAnsi="Arial"/>
                <w:sz w:val="13"/>
                <w:szCs w:val="13"/>
                <w:b w:val="1"/>
                <w:bCs w:val="1"/>
                <w:color w:val="455986"/>
              </w:rPr>
              <w:t>Franklin</w:t>
            </w:r>
            <w:r>
              <w:rPr>
                <w:rFonts w:ascii="Arial" w:cs="Arial" w:eastAsia="Arial" w:hAnsi="Arial"/>
                <w:sz w:val="21"/>
                <w:szCs w:val="21"/>
                <w:b w:val="1"/>
                <w:bCs w:val="1"/>
                <w:color w:val="455986"/>
                <w:vertAlign w:val="superscript"/>
              </w:rPr>
              <w:t>(2)</w:t>
            </w:r>
          </w:p>
        </w:tc>
        <w:tc>
          <w:tcPr>
            <w:tcW w:w="2000" w:type="dxa"/>
            <w:vAlign w:val="bottom"/>
            <w:tcBorders>
              <w:bottom w:val="single" w:sz="8" w:color="231F20"/>
            </w:tcBorders>
          </w:tcPr>
          <w:p>
            <w:pPr>
              <w:jc w:val="right"/>
              <w:ind w:right="87"/>
              <w:spacing w:after="0"/>
              <w:rPr>
                <w:sz w:val="20"/>
                <w:szCs w:val="20"/>
                <w:color w:val="auto"/>
              </w:rPr>
            </w:pPr>
            <w:r>
              <w:rPr>
                <w:rFonts w:ascii="Arial" w:cs="Arial" w:eastAsia="Arial" w:hAnsi="Arial"/>
                <w:sz w:val="14"/>
                <w:szCs w:val="14"/>
                <w:color w:val="231F20"/>
              </w:rPr>
              <w:t>—</w:t>
            </w:r>
          </w:p>
        </w:tc>
        <w:tc>
          <w:tcPr>
            <w:tcW w:w="1180" w:type="dxa"/>
            <w:vAlign w:val="bottom"/>
            <w:tcBorders>
              <w:bottom w:val="single" w:sz="8" w:color="231F20"/>
            </w:tcBorders>
          </w:tcPr>
          <w:p>
            <w:pPr>
              <w:jc w:val="right"/>
              <w:ind w:right="67"/>
              <w:spacing w:after="0"/>
              <w:rPr>
                <w:sz w:val="20"/>
                <w:szCs w:val="20"/>
                <w:color w:val="auto"/>
              </w:rPr>
            </w:pPr>
            <w:r>
              <w:rPr>
                <w:rFonts w:ascii="Arial" w:cs="Arial" w:eastAsia="Arial" w:hAnsi="Arial"/>
                <w:sz w:val="14"/>
                <w:szCs w:val="14"/>
                <w:color w:val="231F20"/>
              </w:rPr>
              <w:t>—</w:t>
            </w:r>
          </w:p>
        </w:tc>
        <w:tc>
          <w:tcPr>
            <w:tcW w:w="960" w:type="dxa"/>
            <w:vAlign w:val="bottom"/>
            <w:tcBorders>
              <w:bottom w:val="single" w:sz="8" w:color="231F20"/>
            </w:tcBorders>
          </w:tcPr>
          <w:p>
            <w:pPr>
              <w:jc w:val="right"/>
              <w:ind w:right="7"/>
              <w:spacing w:after="0"/>
              <w:rPr>
                <w:sz w:val="20"/>
                <w:szCs w:val="20"/>
                <w:color w:val="auto"/>
              </w:rPr>
            </w:pPr>
            <w:r>
              <w:rPr>
                <w:rFonts w:ascii="Arial" w:cs="Arial" w:eastAsia="Arial" w:hAnsi="Arial"/>
                <w:sz w:val="14"/>
                <w:szCs w:val="14"/>
                <w:color w:val="231F20"/>
              </w:rPr>
              <w:t>—</w:t>
            </w:r>
          </w:p>
        </w:tc>
        <w:tc>
          <w:tcPr>
            <w:tcW w:w="1400" w:type="dxa"/>
            <w:vAlign w:val="bottom"/>
            <w:tcBorders>
              <w:bottom w:val="single" w:sz="8" w:color="231F20"/>
            </w:tcBorders>
          </w:tcPr>
          <w:p>
            <w:pPr>
              <w:jc w:val="right"/>
              <w:ind w:right="27"/>
              <w:spacing w:after="0"/>
              <w:rPr>
                <w:sz w:val="20"/>
                <w:szCs w:val="20"/>
                <w:color w:val="auto"/>
              </w:rPr>
            </w:pPr>
            <w:r>
              <w:rPr>
                <w:rFonts w:ascii="Arial" w:cs="Arial" w:eastAsia="Arial" w:hAnsi="Arial"/>
                <w:sz w:val="14"/>
                <w:szCs w:val="14"/>
                <w:color w:val="231F20"/>
              </w:rPr>
              <w:t>—</w:t>
            </w:r>
          </w:p>
        </w:tc>
        <w:tc>
          <w:tcPr>
            <w:tcW w:w="1360" w:type="dxa"/>
            <w:vAlign w:val="bottom"/>
            <w:tcBorders>
              <w:bottom w:val="single" w:sz="8" w:color="231F20"/>
            </w:tcBorders>
          </w:tcPr>
          <w:p>
            <w:pPr>
              <w:jc w:val="right"/>
              <w:ind w:right="46"/>
              <w:spacing w:after="0"/>
              <w:rPr>
                <w:sz w:val="20"/>
                <w:szCs w:val="20"/>
                <w:color w:val="auto"/>
              </w:rPr>
            </w:pPr>
            <w:r>
              <w:rPr>
                <w:rFonts w:ascii="Arial" w:cs="Arial" w:eastAsia="Arial" w:hAnsi="Arial"/>
                <w:sz w:val="14"/>
                <w:szCs w:val="14"/>
                <w:color w:val="231F20"/>
              </w:rPr>
              <w:t>—</w:t>
            </w:r>
          </w:p>
        </w:tc>
        <w:tc>
          <w:tcPr>
            <w:tcW w:w="1560" w:type="dxa"/>
            <w:vAlign w:val="bottom"/>
            <w:tcBorders>
              <w:bottom w:val="single" w:sz="8" w:color="231F20"/>
            </w:tcBorders>
          </w:tcPr>
          <w:p>
            <w:pPr>
              <w:jc w:val="right"/>
              <w:ind w:right="167"/>
              <w:spacing w:after="0"/>
              <w:rPr>
                <w:sz w:val="20"/>
                <w:szCs w:val="20"/>
                <w:color w:val="auto"/>
              </w:rPr>
            </w:pPr>
            <w:r>
              <w:rPr>
                <w:rFonts w:ascii="Arial" w:cs="Arial" w:eastAsia="Arial" w:hAnsi="Arial"/>
                <w:sz w:val="14"/>
                <w:szCs w:val="14"/>
                <w:color w:val="231F20"/>
              </w:rPr>
              <w:t>—</w:t>
            </w:r>
          </w:p>
        </w:tc>
        <w:tc>
          <w:tcPr>
            <w:tcW w:w="860" w:type="dxa"/>
            <w:vAlign w:val="bottom"/>
            <w:tcBorders>
              <w:bottom w:val="single" w:sz="8" w:color="231F20"/>
            </w:tcBorders>
          </w:tcPr>
          <w:p>
            <w:pPr>
              <w:jc w:val="right"/>
              <w:ind w:right="7"/>
              <w:spacing w:after="0"/>
              <w:rPr>
                <w:sz w:val="20"/>
                <w:szCs w:val="20"/>
                <w:color w:val="auto"/>
              </w:rPr>
            </w:pPr>
            <w:r>
              <w:rPr>
                <w:rFonts w:ascii="Arial" w:cs="Arial" w:eastAsia="Arial" w:hAnsi="Arial"/>
                <w:sz w:val="14"/>
                <w:szCs w:val="14"/>
                <w:color w:val="231F20"/>
              </w:rPr>
              <w:t>—</w:t>
            </w:r>
          </w:p>
        </w:tc>
        <w:tc>
          <w:tcPr>
            <w:tcW w:w="0" w:type="dxa"/>
            <w:vAlign w:val="bottom"/>
          </w:tcPr>
          <w:p>
            <w:pPr>
              <w:spacing w:after="0"/>
              <w:rPr>
                <w:sz w:val="1"/>
                <w:szCs w:val="1"/>
                <w:color w:val="auto"/>
              </w:rPr>
            </w:pPr>
          </w:p>
        </w:tc>
      </w:tr>
      <w:tr>
        <w:trPr>
          <w:trHeight w:val="184"/>
        </w:trPr>
        <w:tc>
          <w:tcPr>
            <w:tcW w:w="1920" w:type="dxa"/>
            <w:vAlign w:val="bottom"/>
            <w:tcBorders>
              <w:bottom w:val="single" w:sz="8" w:color="231F20"/>
            </w:tcBorders>
          </w:tcPr>
          <w:p>
            <w:pPr>
              <w:spacing w:after="0" w:line="185" w:lineRule="exact"/>
              <w:rPr>
                <w:sz w:val="20"/>
                <w:szCs w:val="20"/>
                <w:color w:val="auto"/>
              </w:rPr>
            </w:pPr>
            <w:r>
              <w:rPr>
                <w:rFonts w:ascii="Arial" w:cs="Arial" w:eastAsia="Arial" w:hAnsi="Arial"/>
                <w:sz w:val="13"/>
                <w:szCs w:val="13"/>
                <w:b w:val="1"/>
                <w:bCs w:val="1"/>
                <w:color w:val="455986"/>
              </w:rPr>
              <w:t>Franks</w:t>
            </w:r>
            <w:r>
              <w:rPr>
                <w:rFonts w:ascii="Arial" w:cs="Arial" w:eastAsia="Arial" w:hAnsi="Arial"/>
                <w:sz w:val="21"/>
                <w:szCs w:val="21"/>
                <w:b w:val="1"/>
                <w:bCs w:val="1"/>
                <w:color w:val="455986"/>
                <w:vertAlign w:val="superscript"/>
              </w:rPr>
              <w:t>(3)</w:t>
            </w:r>
          </w:p>
        </w:tc>
        <w:tc>
          <w:tcPr>
            <w:tcW w:w="2000" w:type="dxa"/>
            <w:vAlign w:val="bottom"/>
            <w:tcBorders>
              <w:bottom w:val="single" w:sz="8" w:color="231F20"/>
            </w:tcBorders>
          </w:tcPr>
          <w:p>
            <w:pPr>
              <w:jc w:val="right"/>
              <w:ind w:right="87"/>
              <w:spacing w:after="0"/>
              <w:rPr>
                <w:sz w:val="20"/>
                <w:szCs w:val="20"/>
                <w:color w:val="auto"/>
              </w:rPr>
            </w:pPr>
            <w:r>
              <w:rPr>
                <w:rFonts w:ascii="Arial" w:cs="Arial" w:eastAsia="Arial" w:hAnsi="Arial"/>
                <w:sz w:val="14"/>
                <w:szCs w:val="14"/>
                <w:color w:val="231F20"/>
              </w:rPr>
              <w:t>50,000</w:t>
            </w:r>
          </w:p>
        </w:tc>
        <w:tc>
          <w:tcPr>
            <w:tcW w:w="1180" w:type="dxa"/>
            <w:vAlign w:val="bottom"/>
            <w:tcBorders>
              <w:bottom w:val="single" w:sz="8" w:color="231F20"/>
            </w:tcBorders>
          </w:tcPr>
          <w:p>
            <w:pPr>
              <w:jc w:val="right"/>
              <w:ind w:right="67"/>
              <w:spacing w:after="0"/>
              <w:rPr>
                <w:sz w:val="20"/>
                <w:szCs w:val="20"/>
                <w:color w:val="auto"/>
              </w:rPr>
            </w:pPr>
            <w:r>
              <w:rPr>
                <w:rFonts w:ascii="Arial" w:cs="Arial" w:eastAsia="Arial" w:hAnsi="Arial"/>
                <w:sz w:val="14"/>
                <w:szCs w:val="14"/>
                <w:color w:val="231F20"/>
              </w:rPr>
              <w:t>—</w:t>
            </w:r>
          </w:p>
        </w:tc>
        <w:tc>
          <w:tcPr>
            <w:tcW w:w="960" w:type="dxa"/>
            <w:vAlign w:val="bottom"/>
            <w:tcBorders>
              <w:bottom w:val="single" w:sz="8" w:color="231F20"/>
            </w:tcBorders>
          </w:tcPr>
          <w:p>
            <w:pPr>
              <w:jc w:val="right"/>
              <w:ind w:right="7"/>
              <w:spacing w:after="0"/>
              <w:rPr>
                <w:sz w:val="20"/>
                <w:szCs w:val="20"/>
                <w:color w:val="auto"/>
              </w:rPr>
            </w:pPr>
            <w:r>
              <w:rPr>
                <w:rFonts w:ascii="Arial" w:cs="Arial" w:eastAsia="Arial" w:hAnsi="Arial"/>
                <w:sz w:val="14"/>
                <w:szCs w:val="14"/>
                <w:color w:val="231F20"/>
              </w:rPr>
              <w:t>—</w:t>
            </w:r>
          </w:p>
        </w:tc>
        <w:tc>
          <w:tcPr>
            <w:tcW w:w="1400" w:type="dxa"/>
            <w:vAlign w:val="bottom"/>
            <w:tcBorders>
              <w:bottom w:val="single" w:sz="8" w:color="231F20"/>
            </w:tcBorders>
          </w:tcPr>
          <w:p>
            <w:pPr>
              <w:jc w:val="right"/>
              <w:ind w:right="27"/>
              <w:spacing w:after="0"/>
              <w:rPr>
                <w:sz w:val="20"/>
                <w:szCs w:val="20"/>
                <w:color w:val="auto"/>
              </w:rPr>
            </w:pPr>
            <w:r>
              <w:rPr>
                <w:rFonts w:ascii="Arial" w:cs="Arial" w:eastAsia="Arial" w:hAnsi="Arial"/>
                <w:sz w:val="14"/>
                <w:szCs w:val="14"/>
                <w:color w:val="231F20"/>
              </w:rPr>
              <w:t>—</w:t>
            </w:r>
          </w:p>
        </w:tc>
        <w:tc>
          <w:tcPr>
            <w:tcW w:w="1360" w:type="dxa"/>
            <w:vAlign w:val="bottom"/>
            <w:tcBorders>
              <w:bottom w:val="single" w:sz="8" w:color="231F20"/>
            </w:tcBorders>
          </w:tcPr>
          <w:p>
            <w:pPr>
              <w:jc w:val="right"/>
              <w:ind w:right="46"/>
              <w:spacing w:after="0"/>
              <w:rPr>
                <w:sz w:val="20"/>
                <w:szCs w:val="20"/>
                <w:color w:val="auto"/>
              </w:rPr>
            </w:pPr>
            <w:r>
              <w:rPr>
                <w:rFonts w:ascii="Arial" w:cs="Arial" w:eastAsia="Arial" w:hAnsi="Arial"/>
                <w:sz w:val="14"/>
                <w:szCs w:val="14"/>
                <w:color w:val="231F20"/>
              </w:rPr>
              <w:t>—</w:t>
            </w:r>
          </w:p>
        </w:tc>
        <w:tc>
          <w:tcPr>
            <w:tcW w:w="1560" w:type="dxa"/>
            <w:vAlign w:val="bottom"/>
            <w:tcBorders>
              <w:bottom w:val="single" w:sz="8" w:color="231F20"/>
            </w:tcBorders>
          </w:tcPr>
          <w:p>
            <w:pPr>
              <w:jc w:val="right"/>
              <w:ind w:right="167"/>
              <w:spacing w:after="0"/>
              <w:rPr>
                <w:sz w:val="20"/>
                <w:szCs w:val="20"/>
                <w:color w:val="auto"/>
              </w:rPr>
            </w:pPr>
            <w:r>
              <w:rPr>
                <w:rFonts w:ascii="Arial" w:cs="Arial" w:eastAsia="Arial" w:hAnsi="Arial"/>
                <w:sz w:val="14"/>
                <w:szCs w:val="14"/>
                <w:color w:val="231F20"/>
              </w:rPr>
              <w:t>—</w:t>
            </w:r>
          </w:p>
        </w:tc>
        <w:tc>
          <w:tcPr>
            <w:tcW w:w="860" w:type="dxa"/>
            <w:vAlign w:val="bottom"/>
            <w:tcBorders>
              <w:bottom w:val="single" w:sz="8" w:color="231F20"/>
            </w:tcBorders>
          </w:tcPr>
          <w:p>
            <w:pPr>
              <w:jc w:val="right"/>
              <w:ind w:right="7"/>
              <w:spacing w:after="0"/>
              <w:rPr>
                <w:sz w:val="20"/>
                <w:szCs w:val="20"/>
                <w:color w:val="auto"/>
              </w:rPr>
            </w:pPr>
            <w:r>
              <w:rPr>
                <w:rFonts w:ascii="Arial" w:cs="Arial" w:eastAsia="Arial" w:hAnsi="Arial"/>
                <w:sz w:val="14"/>
                <w:szCs w:val="14"/>
                <w:color w:val="231F20"/>
              </w:rPr>
              <w:t>50,000</w:t>
            </w:r>
          </w:p>
        </w:tc>
        <w:tc>
          <w:tcPr>
            <w:tcW w:w="0" w:type="dxa"/>
            <w:vAlign w:val="bottom"/>
          </w:tcPr>
          <w:p>
            <w:pPr>
              <w:spacing w:after="0"/>
              <w:rPr>
                <w:sz w:val="1"/>
                <w:szCs w:val="1"/>
                <w:color w:val="auto"/>
              </w:rPr>
            </w:pPr>
          </w:p>
        </w:tc>
      </w:tr>
      <w:tr>
        <w:trPr>
          <w:trHeight w:val="146"/>
        </w:trPr>
        <w:tc>
          <w:tcPr>
            <w:tcW w:w="1920" w:type="dxa"/>
            <w:vAlign w:val="bottom"/>
            <w:tcBorders>
              <w:bottom w:val="single" w:sz="8" w:color="231F20"/>
            </w:tcBorders>
          </w:tcPr>
          <w:p>
            <w:pPr>
              <w:spacing w:after="0" w:line="146" w:lineRule="exact"/>
              <w:rPr>
                <w:sz w:val="20"/>
                <w:szCs w:val="20"/>
                <w:color w:val="auto"/>
              </w:rPr>
            </w:pPr>
            <w:r>
              <w:rPr>
                <w:rFonts w:ascii="Arial" w:cs="Arial" w:eastAsia="Arial" w:hAnsi="Arial"/>
                <w:sz w:val="14"/>
                <w:szCs w:val="14"/>
                <w:b w:val="1"/>
                <w:bCs w:val="1"/>
                <w:color w:val="455986"/>
              </w:rPr>
              <w:t>Hilferty</w:t>
            </w:r>
          </w:p>
        </w:tc>
        <w:tc>
          <w:tcPr>
            <w:tcW w:w="2000" w:type="dxa"/>
            <w:vAlign w:val="bottom"/>
            <w:tcBorders>
              <w:bottom w:val="single" w:sz="8" w:color="231F20"/>
            </w:tcBorders>
          </w:tcPr>
          <w:p>
            <w:pPr>
              <w:jc w:val="right"/>
              <w:ind w:right="87"/>
              <w:spacing w:after="0" w:line="146" w:lineRule="exact"/>
              <w:rPr>
                <w:sz w:val="20"/>
                <w:szCs w:val="20"/>
                <w:color w:val="auto"/>
              </w:rPr>
            </w:pPr>
            <w:r>
              <w:rPr>
                <w:rFonts w:ascii="Arial" w:cs="Arial" w:eastAsia="Arial" w:hAnsi="Arial"/>
                <w:sz w:val="14"/>
                <w:szCs w:val="14"/>
                <w:color w:val="231F20"/>
              </w:rPr>
              <w:t>131,042</w:t>
            </w:r>
          </w:p>
        </w:tc>
        <w:tc>
          <w:tcPr>
            <w:tcW w:w="1180" w:type="dxa"/>
            <w:vAlign w:val="bottom"/>
            <w:tcBorders>
              <w:bottom w:val="single" w:sz="8" w:color="231F20"/>
            </w:tcBorders>
          </w:tcPr>
          <w:p>
            <w:pPr>
              <w:jc w:val="right"/>
              <w:ind w:right="67"/>
              <w:spacing w:after="0" w:line="146" w:lineRule="exact"/>
              <w:rPr>
                <w:sz w:val="20"/>
                <w:szCs w:val="20"/>
                <w:color w:val="auto"/>
              </w:rPr>
            </w:pPr>
            <w:r>
              <w:rPr>
                <w:rFonts w:ascii="Arial" w:cs="Arial" w:eastAsia="Arial" w:hAnsi="Arial"/>
                <w:sz w:val="14"/>
                <w:szCs w:val="14"/>
                <w:color w:val="231F20"/>
              </w:rPr>
              <w:t>99,949</w:t>
            </w:r>
          </w:p>
        </w:tc>
        <w:tc>
          <w:tcPr>
            <w:tcW w:w="960" w:type="dxa"/>
            <w:vAlign w:val="bottom"/>
            <w:tcBorders>
              <w:bottom w:val="single" w:sz="8" w:color="231F20"/>
            </w:tcBorders>
          </w:tcPr>
          <w:p>
            <w:pPr>
              <w:jc w:val="right"/>
              <w:ind w:right="7"/>
              <w:spacing w:after="0" w:line="146" w:lineRule="exact"/>
              <w:rPr>
                <w:sz w:val="20"/>
                <w:szCs w:val="20"/>
                <w:color w:val="auto"/>
              </w:rPr>
            </w:pPr>
            <w:r>
              <w:rPr>
                <w:rFonts w:ascii="Arial" w:cs="Arial" w:eastAsia="Arial" w:hAnsi="Arial"/>
                <w:sz w:val="14"/>
                <w:szCs w:val="14"/>
                <w:color w:val="231F20"/>
              </w:rPr>
              <w:t>—</w:t>
            </w:r>
          </w:p>
        </w:tc>
        <w:tc>
          <w:tcPr>
            <w:tcW w:w="1400" w:type="dxa"/>
            <w:vAlign w:val="bottom"/>
            <w:tcBorders>
              <w:bottom w:val="single" w:sz="8" w:color="231F20"/>
            </w:tcBorders>
          </w:tcPr>
          <w:p>
            <w:pPr>
              <w:jc w:val="right"/>
              <w:ind w:right="27"/>
              <w:spacing w:after="0" w:line="146" w:lineRule="exact"/>
              <w:rPr>
                <w:sz w:val="20"/>
                <w:szCs w:val="20"/>
                <w:color w:val="auto"/>
              </w:rPr>
            </w:pPr>
            <w:r>
              <w:rPr>
                <w:rFonts w:ascii="Arial" w:cs="Arial" w:eastAsia="Arial" w:hAnsi="Arial"/>
                <w:sz w:val="14"/>
                <w:szCs w:val="14"/>
                <w:color w:val="231F20"/>
              </w:rPr>
              <w:t>—</w:t>
            </w:r>
          </w:p>
        </w:tc>
        <w:tc>
          <w:tcPr>
            <w:tcW w:w="1360" w:type="dxa"/>
            <w:vAlign w:val="bottom"/>
            <w:tcBorders>
              <w:bottom w:val="single" w:sz="8" w:color="231F20"/>
            </w:tcBorders>
          </w:tcPr>
          <w:p>
            <w:pPr>
              <w:jc w:val="right"/>
              <w:ind w:right="46"/>
              <w:spacing w:after="0" w:line="146" w:lineRule="exact"/>
              <w:rPr>
                <w:sz w:val="20"/>
                <w:szCs w:val="20"/>
                <w:color w:val="auto"/>
              </w:rPr>
            </w:pPr>
            <w:r>
              <w:rPr>
                <w:rFonts w:ascii="Arial" w:cs="Arial" w:eastAsia="Arial" w:hAnsi="Arial"/>
                <w:sz w:val="14"/>
                <w:szCs w:val="14"/>
                <w:color w:val="231F20"/>
              </w:rPr>
              <w:t>—</w:t>
            </w:r>
          </w:p>
        </w:tc>
        <w:tc>
          <w:tcPr>
            <w:tcW w:w="1560" w:type="dxa"/>
            <w:vAlign w:val="bottom"/>
            <w:tcBorders>
              <w:bottom w:val="single" w:sz="8" w:color="231F20"/>
            </w:tcBorders>
          </w:tcPr>
          <w:p>
            <w:pPr>
              <w:jc w:val="right"/>
              <w:ind w:right="167"/>
              <w:spacing w:after="0" w:line="146" w:lineRule="exact"/>
              <w:rPr>
                <w:sz w:val="20"/>
                <w:szCs w:val="20"/>
                <w:color w:val="auto"/>
              </w:rPr>
            </w:pPr>
            <w:r>
              <w:rPr>
                <w:rFonts w:ascii="Arial" w:cs="Arial" w:eastAsia="Arial" w:hAnsi="Arial"/>
                <w:sz w:val="14"/>
                <w:szCs w:val="14"/>
                <w:color w:val="231F20"/>
              </w:rPr>
              <w:t>—</w:t>
            </w:r>
          </w:p>
        </w:tc>
        <w:tc>
          <w:tcPr>
            <w:tcW w:w="860" w:type="dxa"/>
            <w:vAlign w:val="bottom"/>
            <w:tcBorders>
              <w:bottom w:val="single" w:sz="8" w:color="231F20"/>
            </w:tcBorders>
          </w:tcPr>
          <w:p>
            <w:pPr>
              <w:jc w:val="right"/>
              <w:ind w:right="7"/>
              <w:spacing w:after="0" w:line="146" w:lineRule="exact"/>
              <w:rPr>
                <w:sz w:val="20"/>
                <w:szCs w:val="20"/>
                <w:color w:val="auto"/>
              </w:rPr>
            </w:pPr>
            <w:r>
              <w:rPr>
                <w:rFonts w:ascii="Arial" w:cs="Arial" w:eastAsia="Arial" w:hAnsi="Arial"/>
                <w:sz w:val="14"/>
                <w:szCs w:val="14"/>
                <w:color w:val="231F20"/>
              </w:rPr>
              <w:t>230,991</w:t>
            </w:r>
          </w:p>
        </w:tc>
        <w:tc>
          <w:tcPr>
            <w:tcW w:w="0" w:type="dxa"/>
            <w:vAlign w:val="bottom"/>
          </w:tcPr>
          <w:p>
            <w:pPr>
              <w:spacing w:after="0"/>
              <w:rPr>
                <w:sz w:val="1"/>
                <w:szCs w:val="1"/>
                <w:color w:val="auto"/>
              </w:rPr>
            </w:pPr>
          </w:p>
        </w:tc>
      </w:tr>
      <w:tr>
        <w:trPr>
          <w:trHeight w:val="146"/>
        </w:trPr>
        <w:tc>
          <w:tcPr>
            <w:tcW w:w="1920" w:type="dxa"/>
            <w:vAlign w:val="bottom"/>
            <w:tcBorders>
              <w:bottom w:val="single" w:sz="8" w:color="231F20"/>
            </w:tcBorders>
          </w:tcPr>
          <w:p>
            <w:pPr>
              <w:spacing w:after="0" w:line="146" w:lineRule="exact"/>
              <w:rPr>
                <w:sz w:val="20"/>
                <w:szCs w:val="20"/>
                <w:color w:val="auto"/>
              </w:rPr>
            </w:pPr>
            <w:r>
              <w:rPr>
                <w:rFonts w:ascii="Arial" w:cs="Arial" w:eastAsia="Arial" w:hAnsi="Arial"/>
                <w:sz w:val="14"/>
                <w:szCs w:val="14"/>
                <w:b w:val="1"/>
                <w:bCs w:val="1"/>
                <w:color w:val="455986"/>
              </w:rPr>
              <w:t>Idehen</w:t>
            </w:r>
          </w:p>
        </w:tc>
        <w:tc>
          <w:tcPr>
            <w:tcW w:w="2000" w:type="dxa"/>
            <w:vAlign w:val="bottom"/>
            <w:tcBorders>
              <w:bottom w:val="single" w:sz="8" w:color="231F20"/>
            </w:tcBorders>
          </w:tcPr>
          <w:p>
            <w:pPr>
              <w:jc w:val="right"/>
              <w:ind w:right="87"/>
              <w:spacing w:after="0" w:line="146" w:lineRule="exact"/>
              <w:rPr>
                <w:sz w:val="20"/>
                <w:szCs w:val="20"/>
                <w:color w:val="auto"/>
              </w:rPr>
            </w:pPr>
            <w:r>
              <w:rPr>
                <w:rFonts w:ascii="Arial" w:cs="Arial" w:eastAsia="Arial" w:hAnsi="Arial"/>
                <w:sz w:val="14"/>
                <w:szCs w:val="14"/>
                <w:color w:val="231F20"/>
              </w:rPr>
              <w:t>95,000</w:t>
            </w:r>
          </w:p>
        </w:tc>
        <w:tc>
          <w:tcPr>
            <w:tcW w:w="1180" w:type="dxa"/>
            <w:vAlign w:val="bottom"/>
            <w:tcBorders>
              <w:bottom w:val="single" w:sz="8" w:color="231F20"/>
            </w:tcBorders>
          </w:tcPr>
          <w:p>
            <w:pPr>
              <w:jc w:val="right"/>
              <w:ind w:right="67"/>
              <w:spacing w:after="0" w:line="146" w:lineRule="exact"/>
              <w:rPr>
                <w:sz w:val="20"/>
                <w:szCs w:val="20"/>
                <w:color w:val="auto"/>
              </w:rPr>
            </w:pPr>
            <w:r>
              <w:rPr>
                <w:rFonts w:ascii="Arial" w:cs="Arial" w:eastAsia="Arial" w:hAnsi="Arial"/>
                <w:sz w:val="14"/>
                <w:szCs w:val="14"/>
                <w:color w:val="231F20"/>
              </w:rPr>
              <w:t>99,949</w:t>
            </w:r>
          </w:p>
        </w:tc>
        <w:tc>
          <w:tcPr>
            <w:tcW w:w="960" w:type="dxa"/>
            <w:vAlign w:val="bottom"/>
            <w:tcBorders>
              <w:bottom w:val="single" w:sz="8" w:color="231F20"/>
            </w:tcBorders>
          </w:tcPr>
          <w:p>
            <w:pPr>
              <w:jc w:val="right"/>
              <w:ind w:right="7"/>
              <w:spacing w:after="0" w:line="146" w:lineRule="exact"/>
              <w:rPr>
                <w:sz w:val="20"/>
                <w:szCs w:val="20"/>
                <w:color w:val="auto"/>
              </w:rPr>
            </w:pPr>
            <w:r>
              <w:rPr>
                <w:rFonts w:ascii="Arial" w:cs="Arial" w:eastAsia="Arial" w:hAnsi="Arial"/>
                <w:sz w:val="14"/>
                <w:szCs w:val="14"/>
                <w:color w:val="231F20"/>
              </w:rPr>
              <w:t>—</w:t>
            </w:r>
          </w:p>
        </w:tc>
        <w:tc>
          <w:tcPr>
            <w:tcW w:w="1400" w:type="dxa"/>
            <w:vAlign w:val="bottom"/>
            <w:tcBorders>
              <w:bottom w:val="single" w:sz="8" w:color="231F20"/>
            </w:tcBorders>
          </w:tcPr>
          <w:p>
            <w:pPr>
              <w:jc w:val="right"/>
              <w:ind w:right="27"/>
              <w:spacing w:after="0" w:line="146" w:lineRule="exact"/>
              <w:rPr>
                <w:sz w:val="20"/>
                <w:szCs w:val="20"/>
                <w:color w:val="auto"/>
              </w:rPr>
            </w:pPr>
            <w:r>
              <w:rPr>
                <w:rFonts w:ascii="Arial" w:cs="Arial" w:eastAsia="Arial" w:hAnsi="Arial"/>
                <w:sz w:val="14"/>
                <w:szCs w:val="14"/>
                <w:color w:val="231F20"/>
              </w:rPr>
              <w:t>—</w:t>
            </w:r>
          </w:p>
        </w:tc>
        <w:tc>
          <w:tcPr>
            <w:tcW w:w="1360" w:type="dxa"/>
            <w:vAlign w:val="bottom"/>
            <w:tcBorders>
              <w:bottom w:val="single" w:sz="8" w:color="231F20"/>
            </w:tcBorders>
          </w:tcPr>
          <w:p>
            <w:pPr>
              <w:jc w:val="right"/>
              <w:ind w:right="46"/>
              <w:spacing w:after="0" w:line="146" w:lineRule="exact"/>
              <w:rPr>
                <w:sz w:val="20"/>
                <w:szCs w:val="20"/>
                <w:color w:val="auto"/>
              </w:rPr>
            </w:pPr>
            <w:r>
              <w:rPr>
                <w:rFonts w:ascii="Arial" w:cs="Arial" w:eastAsia="Arial" w:hAnsi="Arial"/>
                <w:sz w:val="14"/>
                <w:szCs w:val="14"/>
                <w:color w:val="231F20"/>
              </w:rPr>
              <w:t>—</w:t>
            </w:r>
          </w:p>
        </w:tc>
        <w:tc>
          <w:tcPr>
            <w:tcW w:w="1560" w:type="dxa"/>
            <w:vAlign w:val="bottom"/>
            <w:tcBorders>
              <w:bottom w:val="single" w:sz="8" w:color="231F20"/>
            </w:tcBorders>
          </w:tcPr>
          <w:p>
            <w:pPr>
              <w:jc w:val="right"/>
              <w:ind w:right="167"/>
              <w:spacing w:after="0" w:line="146" w:lineRule="exact"/>
              <w:rPr>
                <w:sz w:val="20"/>
                <w:szCs w:val="20"/>
                <w:color w:val="auto"/>
              </w:rPr>
            </w:pPr>
            <w:r>
              <w:rPr>
                <w:rFonts w:ascii="Arial" w:cs="Arial" w:eastAsia="Arial" w:hAnsi="Arial"/>
                <w:sz w:val="14"/>
                <w:szCs w:val="14"/>
                <w:color w:val="231F20"/>
              </w:rPr>
              <w:t>—</w:t>
            </w:r>
          </w:p>
        </w:tc>
        <w:tc>
          <w:tcPr>
            <w:tcW w:w="860" w:type="dxa"/>
            <w:vAlign w:val="bottom"/>
            <w:tcBorders>
              <w:bottom w:val="single" w:sz="8" w:color="231F20"/>
            </w:tcBorders>
          </w:tcPr>
          <w:p>
            <w:pPr>
              <w:jc w:val="right"/>
              <w:ind w:right="7"/>
              <w:spacing w:after="0" w:line="146" w:lineRule="exact"/>
              <w:rPr>
                <w:sz w:val="20"/>
                <w:szCs w:val="20"/>
                <w:color w:val="auto"/>
              </w:rPr>
            </w:pPr>
            <w:r>
              <w:rPr>
                <w:rFonts w:ascii="Arial" w:cs="Arial" w:eastAsia="Arial" w:hAnsi="Arial"/>
                <w:sz w:val="14"/>
                <w:szCs w:val="14"/>
                <w:color w:val="231F20"/>
              </w:rPr>
              <w:t>194,949</w:t>
            </w:r>
          </w:p>
        </w:tc>
        <w:tc>
          <w:tcPr>
            <w:tcW w:w="0" w:type="dxa"/>
            <w:vAlign w:val="bottom"/>
          </w:tcPr>
          <w:p>
            <w:pPr>
              <w:spacing w:after="0"/>
              <w:rPr>
                <w:sz w:val="1"/>
                <w:szCs w:val="1"/>
                <w:color w:val="auto"/>
              </w:rPr>
            </w:pPr>
          </w:p>
        </w:tc>
      </w:tr>
      <w:tr>
        <w:trPr>
          <w:trHeight w:val="146"/>
        </w:trPr>
        <w:tc>
          <w:tcPr>
            <w:tcW w:w="1920" w:type="dxa"/>
            <w:vAlign w:val="bottom"/>
            <w:tcBorders>
              <w:bottom w:val="single" w:sz="8" w:color="231F20"/>
            </w:tcBorders>
          </w:tcPr>
          <w:p>
            <w:pPr>
              <w:spacing w:after="0" w:line="146" w:lineRule="exact"/>
              <w:rPr>
                <w:sz w:val="20"/>
                <w:szCs w:val="20"/>
                <w:color w:val="auto"/>
              </w:rPr>
            </w:pPr>
            <w:r>
              <w:rPr>
                <w:rFonts w:ascii="Arial" w:cs="Arial" w:eastAsia="Arial" w:hAnsi="Arial"/>
                <w:sz w:val="14"/>
                <w:szCs w:val="14"/>
                <w:b w:val="1"/>
                <w:bCs w:val="1"/>
                <w:color w:val="455986"/>
              </w:rPr>
              <w:t>Ruff</w:t>
            </w:r>
          </w:p>
        </w:tc>
        <w:tc>
          <w:tcPr>
            <w:tcW w:w="2000" w:type="dxa"/>
            <w:vAlign w:val="bottom"/>
            <w:tcBorders>
              <w:bottom w:val="single" w:sz="8" w:color="231F20"/>
            </w:tcBorders>
          </w:tcPr>
          <w:p>
            <w:pPr>
              <w:jc w:val="right"/>
              <w:ind w:right="87"/>
              <w:spacing w:after="0" w:line="146" w:lineRule="exact"/>
              <w:rPr>
                <w:sz w:val="20"/>
                <w:szCs w:val="20"/>
                <w:color w:val="auto"/>
              </w:rPr>
            </w:pPr>
            <w:r>
              <w:rPr>
                <w:rFonts w:ascii="Arial" w:cs="Arial" w:eastAsia="Arial" w:hAnsi="Arial"/>
                <w:sz w:val="14"/>
                <w:szCs w:val="14"/>
                <w:color w:val="231F20"/>
              </w:rPr>
              <w:t>102,292</w:t>
            </w:r>
          </w:p>
        </w:tc>
        <w:tc>
          <w:tcPr>
            <w:tcW w:w="1180" w:type="dxa"/>
            <w:vAlign w:val="bottom"/>
            <w:tcBorders>
              <w:bottom w:val="single" w:sz="8" w:color="231F20"/>
            </w:tcBorders>
          </w:tcPr>
          <w:p>
            <w:pPr>
              <w:jc w:val="right"/>
              <w:ind w:right="67"/>
              <w:spacing w:after="0" w:line="146" w:lineRule="exact"/>
              <w:rPr>
                <w:sz w:val="20"/>
                <w:szCs w:val="20"/>
                <w:color w:val="auto"/>
              </w:rPr>
            </w:pPr>
            <w:r>
              <w:rPr>
                <w:rFonts w:ascii="Arial" w:cs="Arial" w:eastAsia="Arial" w:hAnsi="Arial"/>
                <w:sz w:val="14"/>
                <w:szCs w:val="14"/>
                <w:color w:val="231F20"/>
              </w:rPr>
              <w:t>99,949</w:t>
            </w:r>
          </w:p>
        </w:tc>
        <w:tc>
          <w:tcPr>
            <w:tcW w:w="960" w:type="dxa"/>
            <w:vAlign w:val="bottom"/>
            <w:tcBorders>
              <w:bottom w:val="single" w:sz="8" w:color="231F20"/>
            </w:tcBorders>
          </w:tcPr>
          <w:p>
            <w:pPr>
              <w:jc w:val="right"/>
              <w:ind w:right="7"/>
              <w:spacing w:after="0" w:line="146" w:lineRule="exact"/>
              <w:rPr>
                <w:sz w:val="20"/>
                <w:szCs w:val="20"/>
                <w:color w:val="auto"/>
              </w:rPr>
            </w:pPr>
            <w:r>
              <w:rPr>
                <w:rFonts w:ascii="Arial" w:cs="Arial" w:eastAsia="Arial" w:hAnsi="Arial"/>
                <w:sz w:val="14"/>
                <w:szCs w:val="14"/>
                <w:color w:val="231F20"/>
              </w:rPr>
              <w:t>—</w:t>
            </w:r>
          </w:p>
        </w:tc>
        <w:tc>
          <w:tcPr>
            <w:tcW w:w="1400" w:type="dxa"/>
            <w:vAlign w:val="bottom"/>
            <w:tcBorders>
              <w:bottom w:val="single" w:sz="8" w:color="231F20"/>
            </w:tcBorders>
          </w:tcPr>
          <w:p>
            <w:pPr>
              <w:jc w:val="right"/>
              <w:ind w:right="27"/>
              <w:spacing w:after="0" w:line="146" w:lineRule="exact"/>
              <w:rPr>
                <w:sz w:val="20"/>
                <w:szCs w:val="20"/>
                <w:color w:val="auto"/>
              </w:rPr>
            </w:pPr>
            <w:r>
              <w:rPr>
                <w:rFonts w:ascii="Arial" w:cs="Arial" w:eastAsia="Arial" w:hAnsi="Arial"/>
                <w:sz w:val="14"/>
                <w:szCs w:val="14"/>
                <w:color w:val="231F20"/>
              </w:rPr>
              <w:t>—</w:t>
            </w:r>
          </w:p>
        </w:tc>
        <w:tc>
          <w:tcPr>
            <w:tcW w:w="1360" w:type="dxa"/>
            <w:vAlign w:val="bottom"/>
            <w:tcBorders>
              <w:bottom w:val="single" w:sz="8" w:color="231F20"/>
            </w:tcBorders>
          </w:tcPr>
          <w:p>
            <w:pPr>
              <w:jc w:val="right"/>
              <w:ind w:right="46"/>
              <w:spacing w:after="0" w:line="146" w:lineRule="exact"/>
              <w:rPr>
                <w:sz w:val="20"/>
                <w:szCs w:val="20"/>
                <w:color w:val="auto"/>
              </w:rPr>
            </w:pPr>
            <w:r>
              <w:rPr>
                <w:rFonts w:ascii="Arial" w:cs="Arial" w:eastAsia="Arial" w:hAnsi="Arial"/>
                <w:sz w:val="14"/>
                <w:szCs w:val="14"/>
                <w:color w:val="231F20"/>
              </w:rPr>
              <w:t>—</w:t>
            </w:r>
          </w:p>
        </w:tc>
        <w:tc>
          <w:tcPr>
            <w:tcW w:w="1560" w:type="dxa"/>
            <w:vAlign w:val="bottom"/>
            <w:tcBorders>
              <w:bottom w:val="single" w:sz="8" w:color="231F20"/>
            </w:tcBorders>
          </w:tcPr>
          <w:p>
            <w:pPr>
              <w:jc w:val="right"/>
              <w:ind w:right="167"/>
              <w:spacing w:after="0" w:line="146" w:lineRule="exact"/>
              <w:rPr>
                <w:sz w:val="20"/>
                <w:szCs w:val="20"/>
                <w:color w:val="auto"/>
              </w:rPr>
            </w:pPr>
            <w:r>
              <w:rPr>
                <w:rFonts w:ascii="Arial" w:cs="Arial" w:eastAsia="Arial" w:hAnsi="Arial"/>
                <w:sz w:val="14"/>
                <w:szCs w:val="14"/>
                <w:color w:val="231F20"/>
              </w:rPr>
              <w:t>—</w:t>
            </w:r>
          </w:p>
        </w:tc>
        <w:tc>
          <w:tcPr>
            <w:tcW w:w="860" w:type="dxa"/>
            <w:vAlign w:val="bottom"/>
            <w:tcBorders>
              <w:bottom w:val="single" w:sz="8" w:color="231F20"/>
            </w:tcBorders>
          </w:tcPr>
          <w:p>
            <w:pPr>
              <w:jc w:val="right"/>
              <w:ind w:right="7"/>
              <w:spacing w:after="0" w:line="146" w:lineRule="exact"/>
              <w:rPr>
                <w:sz w:val="20"/>
                <w:szCs w:val="20"/>
                <w:color w:val="auto"/>
              </w:rPr>
            </w:pPr>
            <w:r>
              <w:rPr>
                <w:rFonts w:ascii="Arial" w:cs="Arial" w:eastAsia="Arial" w:hAnsi="Arial"/>
                <w:sz w:val="14"/>
                <w:szCs w:val="14"/>
                <w:color w:val="231F20"/>
              </w:rPr>
              <w:t>202,241</w:t>
            </w:r>
          </w:p>
        </w:tc>
        <w:tc>
          <w:tcPr>
            <w:tcW w:w="0" w:type="dxa"/>
            <w:vAlign w:val="bottom"/>
          </w:tcPr>
          <w:p>
            <w:pPr>
              <w:spacing w:after="0"/>
              <w:rPr>
                <w:sz w:val="1"/>
                <w:szCs w:val="1"/>
                <w:color w:val="auto"/>
              </w:rPr>
            </w:pPr>
          </w:p>
        </w:tc>
      </w:tr>
      <w:tr>
        <w:trPr>
          <w:trHeight w:val="146"/>
        </w:trPr>
        <w:tc>
          <w:tcPr>
            <w:tcW w:w="1920" w:type="dxa"/>
            <w:vAlign w:val="bottom"/>
            <w:tcBorders>
              <w:bottom w:val="single" w:sz="8" w:color="231F20"/>
            </w:tcBorders>
          </w:tcPr>
          <w:p>
            <w:pPr>
              <w:spacing w:after="0" w:line="146" w:lineRule="exact"/>
              <w:rPr>
                <w:sz w:val="20"/>
                <w:szCs w:val="20"/>
                <w:color w:val="auto"/>
              </w:rPr>
            </w:pPr>
            <w:r>
              <w:rPr>
                <w:rFonts w:ascii="Arial" w:cs="Arial" w:eastAsia="Arial" w:hAnsi="Arial"/>
                <w:sz w:val="14"/>
                <w:szCs w:val="14"/>
                <w:b w:val="1"/>
                <w:bCs w:val="1"/>
                <w:color w:val="455986"/>
              </w:rPr>
              <w:t>Stewart</w:t>
            </w:r>
          </w:p>
        </w:tc>
        <w:tc>
          <w:tcPr>
            <w:tcW w:w="2000" w:type="dxa"/>
            <w:vAlign w:val="bottom"/>
            <w:tcBorders>
              <w:bottom w:val="single" w:sz="8" w:color="231F20"/>
            </w:tcBorders>
          </w:tcPr>
          <w:p>
            <w:pPr>
              <w:jc w:val="right"/>
              <w:ind w:right="87"/>
              <w:spacing w:after="0" w:line="146" w:lineRule="exact"/>
              <w:rPr>
                <w:sz w:val="20"/>
                <w:szCs w:val="20"/>
                <w:color w:val="auto"/>
              </w:rPr>
            </w:pPr>
            <w:r>
              <w:rPr>
                <w:rFonts w:ascii="Arial" w:cs="Arial" w:eastAsia="Arial" w:hAnsi="Arial"/>
                <w:sz w:val="14"/>
                <w:szCs w:val="14"/>
                <w:color w:val="231F20"/>
              </w:rPr>
              <w:t>104,375</w:t>
            </w:r>
          </w:p>
        </w:tc>
        <w:tc>
          <w:tcPr>
            <w:tcW w:w="1180" w:type="dxa"/>
            <w:vAlign w:val="bottom"/>
            <w:tcBorders>
              <w:bottom w:val="single" w:sz="8" w:color="231F20"/>
            </w:tcBorders>
          </w:tcPr>
          <w:p>
            <w:pPr>
              <w:jc w:val="right"/>
              <w:ind w:right="67"/>
              <w:spacing w:after="0" w:line="146" w:lineRule="exact"/>
              <w:rPr>
                <w:sz w:val="20"/>
                <w:szCs w:val="20"/>
                <w:color w:val="auto"/>
              </w:rPr>
            </w:pPr>
            <w:r>
              <w:rPr>
                <w:rFonts w:ascii="Arial" w:cs="Arial" w:eastAsia="Arial" w:hAnsi="Arial"/>
                <w:sz w:val="14"/>
                <w:szCs w:val="14"/>
                <w:color w:val="231F20"/>
              </w:rPr>
              <w:t>99,949</w:t>
            </w:r>
          </w:p>
        </w:tc>
        <w:tc>
          <w:tcPr>
            <w:tcW w:w="960" w:type="dxa"/>
            <w:vAlign w:val="bottom"/>
            <w:tcBorders>
              <w:bottom w:val="single" w:sz="8" w:color="231F20"/>
            </w:tcBorders>
          </w:tcPr>
          <w:p>
            <w:pPr>
              <w:jc w:val="right"/>
              <w:ind w:right="7"/>
              <w:spacing w:after="0" w:line="146" w:lineRule="exact"/>
              <w:rPr>
                <w:sz w:val="20"/>
                <w:szCs w:val="20"/>
                <w:color w:val="auto"/>
              </w:rPr>
            </w:pPr>
            <w:r>
              <w:rPr>
                <w:rFonts w:ascii="Arial" w:cs="Arial" w:eastAsia="Arial" w:hAnsi="Arial"/>
                <w:sz w:val="14"/>
                <w:szCs w:val="14"/>
                <w:color w:val="231F20"/>
              </w:rPr>
              <w:t>—</w:t>
            </w:r>
          </w:p>
        </w:tc>
        <w:tc>
          <w:tcPr>
            <w:tcW w:w="1400" w:type="dxa"/>
            <w:vAlign w:val="bottom"/>
            <w:tcBorders>
              <w:bottom w:val="single" w:sz="8" w:color="231F20"/>
            </w:tcBorders>
          </w:tcPr>
          <w:p>
            <w:pPr>
              <w:jc w:val="right"/>
              <w:ind w:right="27"/>
              <w:spacing w:after="0" w:line="146" w:lineRule="exact"/>
              <w:rPr>
                <w:sz w:val="20"/>
                <w:szCs w:val="20"/>
                <w:color w:val="auto"/>
              </w:rPr>
            </w:pPr>
            <w:r>
              <w:rPr>
                <w:rFonts w:ascii="Arial" w:cs="Arial" w:eastAsia="Arial" w:hAnsi="Arial"/>
                <w:sz w:val="14"/>
                <w:szCs w:val="14"/>
                <w:color w:val="231F20"/>
              </w:rPr>
              <w:t>—</w:t>
            </w:r>
          </w:p>
        </w:tc>
        <w:tc>
          <w:tcPr>
            <w:tcW w:w="1360" w:type="dxa"/>
            <w:vAlign w:val="bottom"/>
            <w:tcBorders>
              <w:bottom w:val="single" w:sz="8" w:color="231F20"/>
            </w:tcBorders>
          </w:tcPr>
          <w:p>
            <w:pPr>
              <w:jc w:val="right"/>
              <w:ind w:right="46"/>
              <w:spacing w:after="0" w:line="146" w:lineRule="exact"/>
              <w:rPr>
                <w:sz w:val="20"/>
                <w:szCs w:val="20"/>
                <w:color w:val="auto"/>
              </w:rPr>
            </w:pPr>
            <w:r>
              <w:rPr>
                <w:rFonts w:ascii="Arial" w:cs="Arial" w:eastAsia="Arial" w:hAnsi="Arial"/>
                <w:sz w:val="14"/>
                <w:szCs w:val="14"/>
                <w:color w:val="231F20"/>
              </w:rPr>
              <w:t>—</w:t>
            </w:r>
          </w:p>
        </w:tc>
        <w:tc>
          <w:tcPr>
            <w:tcW w:w="1560" w:type="dxa"/>
            <w:vAlign w:val="bottom"/>
            <w:tcBorders>
              <w:bottom w:val="single" w:sz="8" w:color="231F20"/>
            </w:tcBorders>
          </w:tcPr>
          <w:p>
            <w:pPr>
              <w:jc w:val="right"/>
              <w:ind w:right="167"/>
              <w:spacing w:after="0" w:line="146" w:lineRule="exact"/>
              <w:rPr>
                <w:sz w:val="20"/>
                <w:szCs w:val="20"/>
                <w:color w:val="auto"/>
              </w:rPr>
            </w:pPr>
            <w:r>
              <w:rPr>
                <w:rFonts w:ascii="Arial" w:cs="Arial" w:eastAsia="Arial" w:hAnsi="Arial"/>
                <w:sz w:val="14"/>
                <w:szCs w:val="14"/>
                <w:color w:val="231F20"/>
              </w:rPr>
              <w:t>—</w:t>
            </w:r>
          </w:p>
        </w:tc>
        <w:tc>
          <w:tcPr>
            <w:tcW w:w="860" w:type="dxa"/>
            <w:vAlign w:val="bottom"/>
            <w:tcBorders>
              <w:bottom w:val="single" w:sz="8" w:color="231F20"/>
            </w:tcBorders>
          </w:tcPr>
          <w:p>
            <w:pPr>
              <w:jc w:val="right"/>
              <w:ind w:right="7"/>
              <w:spacing w:after="0" w:line="146" w:lineRule="exact"/>
              <w:rPr>
                <w:sz w:val="20"/>
                <w:szCs w:val="20"/>
                <w:color w:val="auto"/>
              </w:rPr>
            </w:pPr>
            <w:r>
              <w:rPr>
                <w:rFonts w:ascii="Arial" w:cs="Arial" w:eastAsia="Arial" w:hAnsi="Arial"/>
                <w:sz w:val="14"/>
                <w:szCs w:val="14"/>
                <w:color w:val="231F20"/>
              </w:rPr>
              <w:t>204,324</w:t>
            </w:r>
          </w:p>
        </w:tc>
        <w:tc>
          <w:tcPr>
            <w:tcW w:w="0" w:type="dxa"/>
            <w:vAlign w:val="bottom"/>
          </w:tcPr>
          <w:p>
            <w:pPr>
              <w:spacing w:after="0"/>
              <w:rPr>
                <w:sz w:val="1"/>
                <w:szCs w:val="1"/>
                <w:color w:val="auto"/>
              </w:rPr>
            </w:pPr>
          </w:p>
        </w:tc>
      </w:tr>
      <w:tr>
        <w:trPr>
          <w:trHeight w:val="146"/>
        </w:trPr>
        <w:tc>
          <w:tcPr>
            <w:tcW w:w="1920" w:type="dxa"/>
            <w:vAlign w:val="bottom"/>
            <w:tcBorders>
              <w:bottom w:val="single" w:sz="8" w:color="455986"/>
            </w:tcBorders>
          </w:tcPr>
          <w:p>
            <w:pPr>
              <w:spacing w:after="0" w:line="146" w:lineRule="exact"/>
              <w:rPr>
                <w:sz w:val="20"/>
                <w:szCs w:val="20"/>
                <w:color w:val="auto"/>
              </w:rPr>
            </w:pPr>
            <w:r>
              <w:rPr>
                <w:rFonts w:ascii="Arial" w:cs="Arial" w:eastAsia="Arial" w:hAnsi="Arial"/>
                <w:sz w:val="14"/>
                <w:szCs w:val="14"/>
                <w:b w:val="1"/>
                <w:bCs w:val="1"/>
                <w:color w:val="455986"/>
              </w:rPr>
              <w:t>Womack</w:t>
            </w:r>
          </w:p>
        </w:tc>
        <w:tc>
          <w:tcPr>
            <w:tcW w:w="2000" w:type="dxa"/>
            <w:vAlign w:val="bottom"/>
            <w:tcBorders>
              <w:bottom w:val="single" w:sz="8" w:color="455986"/>
            </w:tcBorders>
          </w:tcPr>
          <w:p>
            <w:pPr>
              <w:jc w:val="right"/>
              <w:ind w:right="87"/>
              <w:spacing w:after="0" w:line="146" w:lineRule="exact"/>
              <w:rPr>
                <w:sz w:val="20"/>
                <w:szCs w:val="20"/>
                <w:color w:val="auto"/>
              </w:rPr>
            </w:pPr>
            <w:r>
              <w:rPr>
                <w:rFonts w:ascii="Arial" w:cs="Arial" w:eastAsia="Arial" w:hAnsi="Arial"/>
                <w:sz w:val="14"/>
                <w:szCs w:val="14"/>
                <w:color w:val="231F20"/>
              </w:rPr>
              <w:t>95,000</w:t>
            </w:r>
          </w:p>
        </w:tc>
        <w:tc>
          <w:tcPr>
            <w:tcW w:w="1180" w:type="dxa"/>
            <w:vAlign w:val="bottom"/>
            <w:tcBorders>
              <w:bottom w:val="single" w:sz="8" w:color="455986"/>
            </w:tcBorders>
          </w:tcPr>
          <w:p>
            <w:pPr>
              <w:jc w:val="right"/>
              <w:ind w:right="67"/>
              <w:spacing w:after="0" w:line="146" w:lineRule="exact"/>
              <w:rPr>
                <w:sz w:val="20"/>
                <w:szCs w:val="20"/>
                <w:color w:val="auto"/>
              </w:rPr>
            </w:pPr>
            <w:r>
              <w:rPr>
                <w:rFonts w:ascii="Arial" w:cs="Arial" w:eastAsia="Arial" w:hAnsi="Arial"/>
                <w:sz w:val="14"/>
                <w:szCs w:val="14"/>
                <w:color w:val="231F20"/>
              </w:rPr>
              <w:t>99,949</w:t>
            </w:r>
          </w:p>
        </w:tc>
        <w:tc>
          <w:tcPr>
            <w:tcW w:w="960" w:type="dxa"/>
            <w:vAlign w:val="bottom"/>
            <w:tcBorders>
              <w:bottom w:val="single" w:sz="8" w:color="455986"/>
            </w:tcBorders>
          </w:tcPr>
          <w:p>
            <w:pPr>
              <w:jc w:val="right"/>
              <w:ind w:right="7"/>
              <w:spacing w:after="0" w:line="146" w:lineRule="exact"/>
              <w:rPr>
                <w:sz w:val="20"/>
                <w:szCs w:val="20"/>
                <w:color w:val="auto"/>
              </w:rPr>
            </w:pPr>
            <w:r>
              <w:rPr>
                <w:rFonts w:ascii="Arial" w:cs="Arial" w:eastAsia="Arial" w:hAnsi="Arial"/>
                <w:sz w:val="14"/>
                <w:szCs w:val="14"/>
                <w:color w:val="231F20"/>
              </w:rPr>
              <w:t>—</w:t>
            </w:r>
          </w:p>
        </w:tc>
        <w:tc>
          <w:tcPr>
            <w:tcW w:w="1400" w:type="dxa"/>
            <w:vAlign w:val="bottom"/>
            <w:tcBorders>
              <w:bottom w:val="single" w:sz="8" w:color="455986"/>
            </w:tcBorders>
          </w:tcPr>
          <w:p>
            <w:pPr>
              <w:jc w:val="right"/>
              <w:ind w:right="27"/>
              <w:spacing w:after="0" w:line="146" w:lineRule="exact"/>
              <w:rPr>
                <w:sz w:val="20"/>
                <w:szCs w:val="20"/>
                <w:color w:val="auto"/>
              </w:rPr>
            </w:pPr>
            <w:r>
              <w:rPr>
                <w:rFonts w:ascii="Arial" w:cs="Arial" w:eastAsia="Arial" w:hAnsi="Arial"/>
                <w:sz w:val="14"/>
                <w:szCs w:val="14"/>
                <w:color w:val="231F20"/>
              </w:rPr>
              <w:t>—</w:t>
            </w:r>
          </w:p>
        </w:tc>
        <w:tc>
          <w:tcPr>
            <w:tcW w:w="1360" w:type="dxa"/>
            <w:vAlign w:val="bottom"/>
            <w:tcBorders>
              <w:bottom w:val="single" w:sz="8" w:color="455986"/>
            </w:tcBorders>
          </w:tcPr>
          <w:p>
            <w:pPr>
              <w:jc w:val="right"/>
              <w:ind w:right="46"/>
              <w:spacing w:after="0" w:line="146" w:lineRule="exact"/>
              <w:rPr>
                <w:sz w:val="20"/>
                <w:szCs w:val="20"/>
                <w:color w:val="auto"/>
              </w:rPr>
            </w:pPr>
            <w:r>
              <w:rPr>
                <w:rFonts w:ascii="Arial" w:cs="Arial" w:eastAsia="Arial" w:hAnsi="Arial"/>
                <w:sz w:val="14"/>
                <w:szCs w:val="14"/>
                <w:color w:val="231F20"/>
              </w:rPr>
              <w:t>—</w:t>
            </w:r>
          </w:p>
        </w:tc>
        <w:tc>
          <w:tcPr>
            <w:tcW w:w="1560" w:type="dxa"/>
            <w:vAlign w:val="bottom"/>
            <w:tcBorders>
              <w:bottom w:val="single" w:sz="8" w:color="455986"/>
            </w:tcBorders>
          </w:tcPr>
          <w:p>
            <w:pPr>
              <w:jc w:val="right"/>
              <w:ind w:right="167"/>
              <w:spacing w:after="0" w:line="146" w:lineRule="exact"/>
              <w:rPr>
                <w:sz w:val="20"/>
                <w:szCs w:val="20"/>
                <w:color w:val="auto"/>
              </w:rPr>
            </w:pPr>
            <w:r>
              <w:rPr>
                <w:rFonts w:ascii="Arial" w:cs="Arial" w:eastAsia="Arial" w:hAnsi="Arial"/>
                <w:sz w:val="14"/>
                <w:szCs w:val="14"/>
                <w:color w:val="231F20"/>
              </w:rPr>
              <w:t>—</w:t>
            </w:r>
          </w:p>
        </w:tc>
        <w:tc>
          <w:tcPr>
            <w:tcW w:w="860" w:type="dxa"/>
            <w:vAlign w:val="bottom"/>
            <w:tcBorders>
              <w:bottom w:val="single" w:sz="8" w:color="455986"/>
            </w:tcBorders>
          </w:tcPr>
          <w:p>
            <w:pPr>
              <w:jc w:val="right"/>
              <w:ind w:right="7"/>
              <w:spacing w:after="0" w:line="146" w:lineRule="exact"/>
              <w:rPr>
                <w:sz w:val="20"/>
                <w:szCs w:val="20"/>
                <w:color w:val="auto"/>
              </w:rPr>
            </w:pPr>
            <w:r>
              <w:rPr>
                <w:rFonts w:ascii="Arial" w:cs="Arial" w:eastAsia="Arial" w:hAnsi="Arial"/>
                <w:sz w:val="14"/>
                <w:szCs w:val="14"/>
                <w:color w:val="231F20"/>
              </w:rPr>
              <w:t>194,949</w:t>
            </w:r>
          </w:p>
        </w:tc>
        <w:tc>
          <w:tcPr>
            <w:tcW w:w="0" w:type="dxa"/>
            <w:vAlign w:val="bottom"/>
          </w:tcPr>
          <w:p>
            <w:pPr>
              <w:spacing w:after="0"/>
              <w:rPr>
                <w:sz w:val="1"/>
                <w:szCs w:val="1"/>
                <w:color w:val="auto"/>
              </w:rPr>
            </w:pPr>
          </w:p>
        </w:tc>
      </w:tr>
    </w:tbl>
    <w:p>
      <w:pPr>
        <w:spacing w:after="0" w:line="137" w:lineRule="exact"/>
        <w:rPr>
          <w:sz w:val="20"/>
          <w:szCs w:val="20"/>
          <w:color w:val="auto"/>
        </w:rPr>
      </w:pPr>
    </w:p>
    <w:p>
      <w:pPr>
        <w:ind w:left="200" w:hanging="198"/>
        <w:spacing w:after="0"/>
        <w:tabs>
          <w:tab w:leader="none" w:pos="200" w:val="left"/>
        </w:tabs>
        <w:numPr>
          <w:ilvl w:val="0"/>
          <w:numId w:val="77"/>
        </w:numPr>
        <w:rPr>
          <w:rFonts w:ascii="Arial" w:cs="Arial" w:eastAsia="Arial" w:hAnsi="Arial"/>
          <w:sz w:val="12"/>
          <w:szCs w:val="12"/>
          <w:color w:val="231F20"/>
        </w:rPr>
      </w:pPr>
      <w:r>
        <w:rPr>
          <w:rFonts w:ascii="Arial" w:cs="Arial" w:eastAsia="Arial" w:hAnsi="Arial"/>
          <w:sz w:val="12"/>
          <w:szCs w:val="12"/>
          <w:color w:val="231F20"/>
        </w:rPr>
        <w:t>The grant date fair value per share of the stock awards, which are paid quarterly, were: March 31, 2020 – $40.75; June 30, 2020 – $42.01; September 30, 2020 – $40.05; and December 31, 2020</w:t>
      </w:r>
    </w:p>
    <w:p>
      <w:pPr>
        <w:spacing w:after="0" w:line="18" w:lineRule="exact"/>
        <w:rPr>
          <w:rFonts w:ascii="Arial" w:cs="Arial" w:eastAsia="Arial" w:hAnsi="Arial"/>
          <w:sz w:val="12"/>
          <w:szCs w:val="12"/>
          <w:color w:val="231F20"/>
        </w:rPr>
      </w:pPr>
    </w:p>
    <w:p>
      <w:pPr>
        <w:ind w:left="200"/>
        <w:spacing w:after="0"/>
        <w:rPr>
          <w:rFonts w:ascii="Arial" w:cs="Arial" w:eastAsia="Arial" w:hAnsi="Arial"/>
          <w:sz w:val="12"/>
          <w:szCs w:val="12"/>
          <w:color w:val="231F20"/>
        </w:rPr>
      </w:pPr>
      <w:r>
        <w:rPr>
          <w:rFonts w:ascii="Arial" w:cs="Arial" w:eastAsia="Arial" w:hAnsi="Arial"/>
          <w:sz w:val="13"/>
          <w:szCs w:val="13"/>
          <w:color w:val="231F20"/>
        </w:rPr>
        <w:t>– $46.86.</w:t>
      </w:r>
    </w:p>
    <w:p>
      <w:pPr>
        <w:spacing w:after="0" w:line="51" w:lineRule="exact"/>
        <w:rPr>
          <w:rFonts w:ascii="Arial" w:cs="Arial" w:eastAsia="Arial" w:hAnsi="Arial"/>
          <w:sz w:val="12"/>
          <w:szCs w:val="12"/>
          <w:color w:val="231F20"/>
        </w:rPr>
      </w:pPr>
    </w:p>
    <w:p>
      <w:pPr>
        <w:ind w:left="200" w:hanging="198"/>
        <w:spacing w:after="0"/>
        <w:tabs>
          <w:tab w:leader="none" w:pos="200" w:val="left"/>
        </w:tabs>
        <w:numPr>
          <w:ilvl w:val="0"/>
          <w:numId w:val="77"/>
        </w:numPr>
        <w:rPr>
          <w:rFonts w:ascii="Arial" w:cs="Arial" w:eastAsia="Arial" w:hAnsi="Arial"/>
          <w:sz w:val="13"/>
          <w:szCs w:val="13"/>
          <w:color w:val="231F20"/>
        </w:rPr>
      </w:pPr>
      <w:r>
        <w:rPr>
          <w:rFonts w:ascii="Arial" w:cs="Arial" w:eastAsia="Arial" w:hAnsi="Arial"/>
          <w:sz w:val="13"/>
          <w:szCs w:val="13"/>
          <w:color w:val="231F20"/>
        </w:rPr>
        <w:t>As an officer of the Company, Mr. Franklin does not receive any compensation for his service on the Board of Directors.</w:t>
      </w:r>
    </w:p>
    <w:p>
      <w:pPr>
        <w:spacing w:after="0" w:line="80" w:lineRule="exact"/>
        <w:rPr>
          <w:rFonts w:ascii="Arial" w:cs="Arial" w:eastAsia="Arial" w:hAnsi="Arial"/>
          <w:sz w:val="13"/>
          <w:szCs w:val="13"/>
          <w:color w:val="231F20"/>
        </w:rPr>
      </w:pPr>
    </w:p>
    <w:p>
      <w:pPr>
        <w:ind w:left="200" w:hanging="198"/>
        <w:spacing w:after="0"/>
        <w:tabs>
          <w:tab w:leader="none" w:pos="200" w:val="left"/>
        </w:tabs>
        <w:numPr>
          <w:ilvl w:val="0"/>
          <w:numId w:val="77"/>
        </w:numPr>
        <w:rPr>
          <w:rFonts w:ascii="Arial" w:cs="Arial" w:eastAsia="Arial" w:hAnsi="Arial"/>
          <w:sz w:val="13"/>
          <w:szCs w:val="13"/>
          <w:color w:val="231F20"/>
        </w:rPr>
      </w:pPr>
      <w:r>
        <w:rPr>
          <w:rFonts w:ascii="Arial" w:cs="Arial" w:eastAsia="Arial" w:hAnsi="Arial"/>
          <w:sz w:val="13"/>
          <w:szCs w:val="13"/>
          <w:color w:val="231F20"/>
        </w:rPr>
        <w:t>As a designate of CPPIB, Ms. Franks directed her cash compensation be paid to CPPIB and does not receive any stock awards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118110</wp:posOffset>
            </wp:positionV>
            <wp:extent cx="7139940"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39940" cy="8255"/>
                    </a:xfrm>
                    <a:prstGeom prst="rect">
                      <a:avLst/>
                    </a:prstGeom>
                    <a:noFill/>
                  </pic:spPr>
                </pic:pic>
              </a:graphicData>
            </a:graphic>
          </wp:anchor>
        </w:drawing>
      </w:r>
    </w:p>
    <w:p>
      <w:pPr>
        <w:spacing w:after="0" w:line="236" w:lineRule="exact"/>
        <w:rPr>
          <w:sz w:val="20"/>
          <w:szCs w:val="20"/>
          <w:color w:val="auto"/>
        </w:rPr>
      </w:pPr>
    </w:p>
    <w:p>
      <w:pPr>
        <w:ind w:left="300" w:hanging="298"/>
        <w:spacing w:after="0"/>
        <w:tabs>
          <w:tab w:leader="none" w:pos="300" w:val="left"/>
        </w:tabs>
        <w:numPr>
          <w:ilvl w:val="0"/>
          <w:numId w:val="78"/>
        </w:numPr>
        <w:rPr>
          <w:rFonts w:ascii="Arial" w:cs="Arial" w:eastAsia="Arial" w:hAnsi="Arial"/>
          <w:sz w:val="15"/>
          <w:szCs w:val="15"/>
          <w:color w:val="455986"/>
        </w:rPr>
      </w:pPr>
      <w:r>
        <w:rPr>
          <w:rFonts w:ascii="Arial" w:cs="Arial" w:eastAsia="Arial" w:hAnsi="Arial"/>
          <w:sz w:val="12"/>
          <w:szCs w:val="12"/>
          <w:color w:val="4395D4"/>
        </w:rPr>
        <w:t xml:space="preserve">ESSENTIAL UTILITIES, INC. </w:t>
      </w:r>
      <w:r>
        <w:rPr>
          <w:rFonts w:ascii="Arial" w:cs="Arial" w:eastAsia="Arial" w:hAnsi="Arial"/>
          <w:sz w:val="12"/>
          <w:szCs w:val="12"/>
          <w:color w:val="455986"/>
        </w:rPr>
        <w:t>2021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324485</wp:posOffset>
            </wp:positionV>
            <wp:extent cx="7139940" cy="2413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39940" cy="24130"/>
                    </a:xfrm>
                    <a:prstGeom prst="rect">
                      <a:avLst/>
                    </a:prstGeom>
                    <a:noFill/>
                  </pic:spPr>
                </pic:pic>
              </a:graphicData>
            </a:graphic>
          </wp:anchor>
        </w:drawing>
      </w:r>
    </w:p>
    <w:p>
      <w:pPr>
        <w:sectPr>
          <w:pgSz w:w="11900" w:h="16838" w:orient="portrait"/>
          <w:cols w:equalWidth="0" w:num="1">
            <w:col w:w="11240"/>
          </w:cols>
          <w:pgMar w:left="320" w:top="637" w:right="339" w:bottom="1440" w:gutter="0" w:footer="0" w:header="0"/>
        </w:sectPr>
      </w:pPr>
    </w:p>
    <w:bookmarkStart w:id="39" w:name="page40"/>
    <w:bookmarkEnd w:id="39"/>
    <w:p>
      <w:pPr>
        <w:spacing w:after="0"/>
        <w:rPr>
          <w:sz w:val="20"/>
          <w:szCs w:val="20"/>
          <w:color w:val="auto"/>
        </w:rPr>
      </w:pPr>
      <w:r>
        <w:rPr>
          <w:rFonts w:ascii="Arial" w:cs="Arial" w:eastAsia="Arial" w:hAnsi="Arial"/>
          <w:sz w:val="48"/>
          <w:szCs w:val="48"/>
          <w:color w:val="455986"/>
        </w:rPr>
        <w:t>Ownership of Common Stock</w:t>
      </w:r>
    </w:p>
    <w:p>
      <w:pPr>
        <w:spacing w:after="0" w:line="188" w:lineRule="exact"/>
        <w:rPr>
          <w:sz w:val="20"/>
          <w:szCs w:val="20"/>
          <w:color w:val="auto"/>
        </w:rPr>
      </w:pPr>
    </w:p>
    <w:p>
      <w:pPr>
        <w:ind w:right="100"/>
        <w:spacing w:after="0" w:line="236" w:lineRule="auto"/>
        <w:rPr>
          <w:sz w:val="20"/>
          <w:szCs w:val="20"/>
          <w:color w:val="auto"/>
        </w:rPr>
      </w:pPr>
      <w:r>
        <w:rPr>
          <w:rFonts w:ascii="Arial" w:cs="Arial" w:eastAsia="Arial" w:hAnsi="Arial"/>
          <w:sz w:val="14"/>
          <w:szCs w:val="14"/>
          <w:color w:val="231F20"/>
        </w:rPr>
        <w:t>The table below shows the number of shares of our common stock beneficially owned (as of the close of business on March 8, 2021). by: (1) each person known to the Company to be the beneficial owner of more than 5% of the Common Stock of the Company; (2) each director, nominee for director and executive officer named in the Summary Compensation Table; and (3) all directors, nominees and executive officers of the Company as a group. This information has been provided by each of the directors, executive officers and nominees at the request of the Company or derived from statements filed with the SEC under Section 13(d) or 13(g) of the Exchange Act. Beneficial ownership of securities as shown below has been determined in accordance with applicable guidelines issued by the SEC. Beneficial ownership includes the possession, directly or indirectly, through any formal or informal arrangement, either individually or in a group, of voting power (which includes the power to vote, or to direct the voting of, such security) and/or investment power (which includes the power to dispose of, or to direct the disposition of, such security). Unless otherwise indicated, the address of the beneficial owners is Essential Utilities, Inc., 762 W. Lancaster Avenue, Bryn Mawr, Pennsylvania 19010.</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4340" w:type="dxa"/>
            <w:vAlign w:val="bottom"/>
            <w:vMerge w:val="restart"/>
          </w:tcPr>
          <w:p>
            <w:pPr>
              <w:spacing w:after="0"/>
              <w:rPr>
                <w:sz w:val="20"/>
                <w:szCs w:val="20"/>
                <w:color w:val="auto"/>
              </w:rPr>
            </w:pPr>
            <w:r>
              <w:rPr>
                <w:rFonts w:ascii="Arial" w:cs="Arial" w:eastAsia="Arial" w:hAnsi="Arial"/>
                <w:sz w:val="14"/>
                <w:szCs w:val="14"/>
                <w:color w:val="455986"/>
              </w:rPr>
              <w:t>Certain Beneficial Owners</w:t>
            </w:r>
          </w:p>
        </w:tc>
        <w:tc>
          <w:tcPr>
            <w:tcW w:w="2120" w:type="dxa"/>
            <w:vAlign w:val="bottom"/>
          </w:tcPr>
          <w:p>
            <w:pPr>
              <w:jc w:val="right"/>
              <w:ind w:right="48"/>
              <w:spacing w:after="0"/>
              <w:rPr>
                <w:sz w:val="20"/>
                <w:szCs w:val="20"/>
                <w:color w:val="auto"/>
              </w:rPr>
            </w:pPr>
            <w:r>
              <w:rPr>
                <w:rFonts w:ascii="Arial" w:cs="Arial" w:eastAsia="Arial" w:hAnsi="Arial"/>
                <w:sz w:val="14"/>
                <w:szCs w:val="14"/>
                <w:color w:val="455986"/>
              </w:rPr>
              <w:t>Sole Voting and/or Sole</w:t>
            </w:r>
          </w:p>
        </w:tc>
        <w:tc>
          <w:tcPr>
            <w:tcW w:w="1900" w:type="dxa"/>
            <w:vAlign w:val="bottom"/>
          </w:tcPr>
          <w:p>
            <w:pPr>
              <w:jc w:val="right"/>
              <w:ind w:right="388"/>
              <w:spacing w:after="0"/>
              <w:rPr>
                <w:sz w:val="20"/>
                <w:szCs w:val="20"/>
                <w:color w:val="auto"/>
              </w:rPr>
            </w:pPr>
            <w:r>
              <w:rPr>
                <w:rFonts w:ascii="Arial" w:cs="Arial" w:eastAsia="Arial" w:hAnsi="Arial"/>
                <w:sz w:val="14"/>
                <w:szCs w:val="14"/>
                <w:color w:val="455986"/>
              </w:rPr>
              <w:t>Shared Voting and/or</w:t>
            </w:r>
          </w:p>
        </w:tc>
        <w:tc>
          <w:tcPr>
            <w:tcW w:w="1300" w:type="dxa"/>
            <w:vAlign w:val="bottom"/>
            <w:vMerge w:val="restart"/>
          </w:tcPr>
          <w:p>
            <w:pPr>
              <w:jc w:val="right"/>
              <w:ind w:right="88"/>
              <w:spacing w:after="0"/>
              <w:rPr>
                <w:sz w:val="20"/>
                <w:szCs w:val="20"/>
                <w:color w:val="auto"/>
              </w:rPr>
            </w:pPr>
            <w:r>
              <w:rPr>
                <w:rFonts w:ascii="Arial" w:cs="Arial" w:eastAsia="Arial" w:hAnsi="Arial"/>
                <w:sz w:val="14"/>
                <w:szCs w:val="14"/>
                <w:color w:val="455986"/>
              </w:rPr>
              <w:t>Total</w:t>
            </w:r>
          </w:p>
        </w:tc>
        <w:tc>
          <w:tcPr>
            <w:tcW w:w="1580" w:type="dxa"/>
            <w:vAlign w:val="bottom"/>
          </w:tcPr>
          <w:p>
            <w:pPr>
              <w:jc w:val="right"/>
              <w:ind w:right="48"/>
              <w:spacing w:after="0"/>
              <w:rPr>
                <w:sz w:val="20"/>
                <w:szCs w:val="20"/>
                <w:color w:val="auto"/>
              </w:rPr>
            </w:pPr>
            <w:r>
              <w:rPr>
                <w:rFonts w:ascii="Arial" w:cs="Arial" w:eastAsia="Arial" w:hAnsi="Arial"/>
                <w:sz w:val="14"/>
                <w:szCs w:val="14"/>
                <w:color w:val="455986"/>
              </w:rPr>
              <w:t>Percentage of</w:t>
            </w:r>
          </w:p>
        </w:tc>
        <w:tc>
          <w:tcPr>
            <w:tcW w:w="0" w:type="dxa"/>
            <w:vAlign w:val="bottom"/>
          </w:tcPr>
          <w:p>
            <w:pPr>
              <w:spacing w:after="0"/>
              <w:rPr>
                <w:sz w:val="1"/>
                <w:szCs w:val="1"/>
                <w:color w:val="auto"/>
              </w:rPr>
            </w:pPr>
          </w:p>
        </w:tc>
      </w:tr>
      <w:tr>
        <w:trPr>
          <w:trHeight w:val="179"/>
        </w:trPr>
        <w:tc>
          <w:tcPr>
            <w:tcW w:w="4340" w:type="dxa"/>
            <w:vAlign w:val="bottom"/>
            <w:tcBorders>
              <w:bottom w:val="single" w:sz="8" w:color="4395D4"/>
            </w:tcBorders>
            <w:vMerge w:val="continue"/>
          </w:tcPr>
          <w:p>
            <w:pPr>
              <w:spacing w:after="0"/>
              <w:rPr>
                <w:sz w:val="15"/>
                <w:szCs w:val="15"/>
                <w:color w:val="auto"/>
              </w:rPr>
            </w:pPr>
          </w:p>
        </w:tc>
        <w:tc>
          <w:tcPr>
            <w:tcW w:w="2120" w:type="dxa"/>
            <w:vAlign w:val="bottom"/>
            <w:tcBorders>
              <w:bottom w:val="single" w:sz="8" w:color="4395D4"/>
            </w:tcBorders>
          </w:tcPr>
          <w:p>
            <w:pPr>
              <w:jc w:val="right"/>
              <w:ind w:right="8"/>
              <w:spacing w:after="0" w:line="179" w:lineRule="exact"/>
              <w:rPr>
                <w:sz w:val="20"/>
                <w:szCs w:val="20"/>
                <w:color w:val="auto"/>
              </w:rPr>
            </w:pPr>
            <w:r>
              <w:rPr>
                <w:rFonts w:ascii="Arial" w:cs="Arial" w:eastAsia="Arial" w:hAnsi="Arial"/>
                <w:sz w:val="12"/>
                <w:szCs w:val="12"/>
                <w:color w:val="455986"/>
              </w:rPr>
              <w:t>Investment Power</w:t>
            </w:r>
            <w:r>
              <w:rPr>
                <w:rFonts w:ascii="Arial" w:cs="Arial" w:eastAsia="Arial" w:hAnsi="Arial"/>
                <w:sz w:val="20"/>
                <w:szCs w:val="20"/>
                <w:color w:val="455986"/>
                <w:vertAlign w:val="superscript"/>
              </w:rPr>
              <w:t>(1)</w:t>
            </w:r>
          </w:p>
        </w:tc>
        <w:tc>
          <w:tcPr>
            <w:tcW w:w="1900" w:type="dxa"/>
            <w:vAlign w:val="bottom"/>
            <w:tcBorders>
              <w:bottom w:val="single" w:sz="8" w:color="4395D4"/>
            </w:tcBorders>
          </w:tcPr>
          <w:p>
            <w:pPr>
              <w:jc w:val="right"/>
              <w:ind w:right="348"/>
              <w:spacing w:after="0"/>
              <w:rPr>
                <w:sz w:val="20"/>
                <w:szCs w:val="20"/>
                <w:color w:val="auto"/>
              </w:rPr>
            </w:pPr>
            <w:r>
              <w:rPr>
                <w:rFonts w:ascii="Arial" w:cs="Arial" w:eastAsia="Arial" w:hAnsi="Arial"/>
                <w:sz w:val="14"/>
                <w:szCs w:val="14"/>
                <w:color w:val="455986"/>
              </w:rPr>
              <w:t>Investment Power</w:t>
            </w:r>
          </w:p>
        </w:tc>
        <w:tc>
          <w:tcPr>
            <w:tcW w:w="1300" w:type="dxa"/>
            <w:vAlign w:val="bottom"/>
            <w:tcBorders>
              <w:bottom w:val="single" w:sz="8" w:color="4395D4"/>
            </w:tcBorders>
            <w:vMerge w:val="continue"/>
          </w:tcPr>
          <w:p>
            <w:pPr>
              <w:spacing w:after="0"/>
              <w:rPr>
                <w:sz w:val="15"/>
                <w:szCs w:val="15"/>
                <w:color w:val="auto"/>
              </w:rPr>
            </w:pPr>
          </w:p>
        </w:tc>
        <w:tc>
          <w:tcPr>
            <w:tcW w:w="1580" w:type="dxa"/>
            <w:vAlign w:val="bottom"/>
            <w:tcBorders>
              <w:bottom w:val="single" w:sz="8" w:color="4395D4"/>
            </w:tcBorders>
          </w:tcPr>
          <w:p>
            <w:pPr>
              <w:jc w:val="right"/>
              <w:ind w:right="8"/>
              <w:spacing w:after="0" w:line="179" w:lineRule="exact"/>
              <w:rPr>
                <w:sz w:val="20"/>
                <w:szCs w:val="20"/>
                <w:color w:val="auto"/>
              </w:rPr>
            </w:pPr>
            <w:r>
              <w:rPr>
                <w:rFonts w:ascii="Arial" w:cs="Arial" w:eastAsia="Arial" w:hAnsi="Arial"/>
                <w:sz w:val="12"/>
                <w:szCs w:val="12"/>
                <w:color w:val="455986"/>
              </w:rPr>
              <w:t>Class Outstanding</w:t>
            </w:r>
            <w:r>
              <w:rPr>
                <w:rFonts w:ascii="Arial" w:cs="Arial" w:eastAsia="Arial" w:hAnsi="Arial"/>
                <w:sz w:val="20"/>
                <w:szCs w:val="20"/>
                <w:color w:val="455986"/>
                <w:vertAlign w:val="superscript"/>
              </w:rPr>
              <w:t>(2)</w:t>
            </w:r>
          </w:p>
        </w:tc>
        <w:tc>
          <w:tcPr>
            <w:tcW w:w="0" w:type="dxa"/>
            <w:vAlign w:val="bottom"/>
          </w:tcPr>
          <w:p>
            <w:pPr>
              <w:spacing w:after="0"/>
              <w:rPr>
                <w:sz w:val="1"/>
                <w:szCs w:val="1"/>
                <w:color w:val="auto"/>
              </w:rPr>
            </w:pPr>
          </w:p>
        </w:tc>
      </w:tr>
      <w:tr>
        <w:trPr>
          <w:trHeight w:val="163"/>
        </w:trPr>
        <w:tc>
          <w:tcPr>
            <w:tcW w:w="4340" w:type="dxa"/>
            <w:vAlign w:val="bottom"/>
          </w:tcPr>
          <w:p>
            <w:pPr>
              <w:spacing w:after="0" w:line="163" w:lineRule="exact"/>
              <w:rPr>
                <w:sz w:val="20"/>
                <w:szCs w:val="20"/>
                <w:color w:val="auto"/>
              </w:rPr>
            </w:pPr>
            <w:r>
              <w:rPr>
                <w:rFonts w:ascii="Arial" w:cs="Arial" w:eastAsia="Arial" w:hAnsi="Arial"/>
                <w:sz w:val="11"/>
                <w:szCs w:val="11"/>
                <w:b w:val="1"/>
                <w:bCs w:val="1"/>
                <w:color w:val="455986"/>
              </w:rPr>
              <w:t>The Vanguard Group</w:t>
            </w:r>
            <w:r>
              <w:rPr>
                <w:rFonts w:ascii="Arial" w:cs="Arial" w:eastAsia="Arial" w:hAnsi="Arial"/>
                <w:sz w:val="18"/>
                <w:szCs w:val="18"/>
                <w:b w:val="1"/>
                <w:bCs w:val="1"/>
                <w:color w:val="455986"/>
                <w:vertAlign w:val="superscript"/>
              </w:rPr>
              <w:t>(3)</w:t>
            </w:r>
          </w:p>
        </w:tc>
        <w:tc>
          <w:tcPr>
            <w:tcW w:w="2120" w:type="dxa"/>
            <w:vAlign w:val="bottom"/>
          </w:tcPr>
          <w:p>
            <w:pPr>
              <w:jc w:val="right"/>
              <w:ind w:right="8"/>
              <w:spacing w:after="0"/>
              <w:rPr>
                <w:sz w:val="20"/>
                <w:szCs w:val="20"/>
                <w:color w:val="auto"/>
              </w:rPr>
            </w:pPr>
            <w:r>
              <w:rPr>
                <w:rFonts w:ascii="Arial" w:cs="Arial" w:eastAsia="Arial" w:hAnsi="Arial"/>
                <w:sz w:val="14"/>
                <w:szCs w:val="14"/>
                <w:color w:val="231F20"/>
              </w:rPr>
              <w:t>24,362,076</w:t>
            </w:r>
          </w:p>
        </w:tc>
        <w:tc>
          <w:tcPr>
            <w:tcW w:w="1900" w:type="dxa"/>
            <w:vAlign w:val="bottom"/>
          </w:tcPr>
          <w:p>
            <w:pPr>
              <w:jc w:val="right"/>
              <w:ind w:right="348"/>
              <w:spacing w:after="0"/>
              <w:rPr>
                <w:sz w:val="20"/>
                <w:szCs w:val="20"/>
                <w:color w:val="auto"/>
              </w:rPr>
            </w:pPr>
            <w:r>
              <w:rPr>
                <w:rFonts w:ascii="Arial" w:cs="Arial" w:eastAsia="Arial" w:hAnsi="Arial"/>
                <w:sz w:val="14"/>
                <w:szCs w:val="14"/>
                <w:color w:val="231F20"/>
              </w:rPr>
              <w:t>523,124</w:t>
            </w:r>
          </w:p>
        </w:tc>
        <w:tc>
          <w:tcPr>
            <w:tcW w:w="1300" w:type="dxa"/>
            <w:vAlign w:val="bottom"/>
          </w:tcPr>
          <w:p>
            <w:pPr>
              <w:jc w:val="right"/>
              <w:ind w:right="88"/>
              <w:spacing w:after="0"/>
              <w:rPr>
                <w:sz w:val="20"/>
                <w:szCs w:val="20"/>
                <w:color w:val="auto"/>
              </w:rPr>
            </w:pPr>
            <w:r>
              <w:rPr>
                <w:rFonts w:ascii="Arial" w:cs="Arial" w:eastAsia="Arial" w:hAnsi="Arial"/>
                <w:sz w:val="14"/>
                <w:szCs w:val="14"/>
                <w:color w:val="231F20"/>
              </w:rPr>
              <w:t>24,885,200</w:t>
            </w:r>
          </w:p>
        </w:tc>
        <w:tc>
          <w:tcPr>
            <w:tcW w:w="1580" w:type="dxa"/>
            <w:vAlign w:val="bottom"/>
          </w:tcPr>
          <w:p>
            <w:pPr>
              <w:jc w:val="right"/>
              <w:ind w:right="8"/>
              <w:spacing w:after="0"/>
              <w:rPr>
                <w:sz w:val="20"/>
                <w:szCs w:val="20"/>
                <w:color w:val="auto"/>
              </w:rPr>
            </w:pPr>
            <w:r>
              <w:rPr>
                <w:rFonts w:ascii="Arial" w:cs="Arial" w:eastAsia="Arial" w:hAnsi="Arial"/>
                <w:sz w:val="14"/>
                <w:szCs w:val="14"/>
                <w:color w:val="231F20"/>
              </w:rPr>
              <w:t>10.13%</w:t>
            </w:r>
          </w:p>
        </w:tc>
        <w:tc>
          <w:tcPr>
            <w:tcW w:w="0" w:type="dxa"/>
            <w:vAlign w:val="bottom"/>
          </w:tcPr>
          <w:p>
            <w:pPr>
              <w:spacing w:after="0"/>
              <w:rPr>
                <w:sz w:val="1"/>
                <w:szCs w:val="1"/>
                <w:color w:val="auto"/>
              </w:rPr>
            </w:pPr>
          </w:p>
        </w:tc>
      </w:tr>
      <w:tr>
        <w:trPr>
          <w:trHeight w:val="174"/>
        </w:trPr>
        <w:tc>
          <w:tcPr>
            <w:tcW w:w="4340" w:type="dxa"/>
            <w:vAlign w:val="bottom"/>
            <w:tcBorders>
              <w:bottom w:val="single" w:sz="8" w:color="231F20"/>
            </w:tcBorders>
          </w:tcPr>
          <w:p>
            <w:pPr>
              <w:spacing w:after="0"/>
              <w:rPr>
                <w:sz w:val="20"/>
                <w:szCs w:val="20"/>
                <w:color w:val="auto"/>
              </w:rPr>
            </w:pPr>
            <w:r>
              <w:rPr>
                <w:rFonts w:ascii="Arial" w:cs="Arial" w:eastAsia="Arial" w:hAnsi="Arial"/>
                <w:sz w:val="14"/>
                <w:szCs w:val="14"/>
                <w:color w:val="231F20"/>
              </w:rPr>
              <w:t>100 Vanguard Blvd., Malvern, PA 19355</w:t>
            </w:r>
          </w:p>
        </w:tc>
        <w:tc>
          <w:tcPr>
            <w:tcW w:w="2120" w:type="dxa"/>
            <w:vAlign w:val="bottom"/>
            <w:tcBorders>
              <w:bottom w:val="single" w:sz="8" w:color="231F20"/>
            </w:tcBorders>
          </w:tcPr>
          <w:p>
            <w:pPr>
              <w:spacing w:after="0"/>
              <w:rPr>
                <w:sz w:val="15"/>
                <w:szCs w:val="15"/>
                <w:color w:val="auto"/>
              </w:rPr>
            </w:pPr>
          </w:p>
        </w:tc>
        <w:tc>
          <w:tcPr>
            <w:tcW w:w="1900" w:type="dxa"/>
            <w:vAlign w:val="bottom"/>
            <w:tcBorders>
              <w:bottom w:val="single" w:sz="8" w:color="231F20"/>
            </w:tcBorders>
          </w:tcPr>
          <w:p>
            <w:pPr>
              <w:spacing w:after="0"/>
              <w:rPr>
                <w:sz w:val="15"/>
                <w:szCs w:val="15"/>
                <w:color w:val="auto"/>
              </w:rPr>
            </w:pPr>
          </w:p>
        </w:tc>
        <w:tc>
          <w:tcPr>
            <w:tcW w:w="1300" w:type="dxa"/>
            <w:vAlign w:val="bottom"/>
            <w:tcBorders>
              <w:bottom w:val="single" w:sz="8" w:color="231F20"/>
            </w:tcBorders>
          </w:tcPr>
          <w:p>
            <w:pPr>
              <w:spacing w:after="0"/>
              <w:rPr>
                <w:sz w:val="15"/>
                <w:szCs w:val="15"/>
                <w:color w:val="auto"/>
              </w:rPr>
            </w:pPr>
          </w:p>
        </w:tc>
        <w:tc>
          <w:tcPr>
            <w:tcW w:w="1580" w:type="dxa"/>
            <w:vAlign w:val="bottom"/>
            <w:tcBorders>
              <w:bottom w:val="single" w:sz="8" w:color="231F20"/>
            </w:tcBorders>
          </w:tcPr>
          <w:p>
            <w:pPr>
              <w:spacing w:after="0"/>
              <w:rPr>
                <w:sz w:val="15"/>
                <w:szCs w:val="15"/>
                <w:color w:val="auto"/>
              </w:rPr>
            </w:pPr>
          </w:p>
        </w:tc>
        <w:tc>
          <w:tcPr>
            <w:tcW w:w="0" w:type="dxa"/>
            <w:vAlign w:val="bottom"/>
          </w:tcPr>
          <w:p>
            <w:pPr>
              <w:spacing w:after="0"/>
              <w:rPr>
                <w:sz w:val="1"/>
                <w:szCs w:val="1"/>
                <w:color w:val="auto"/>
              </w:rPr>
            </w:pPr>
          </w:p>
        </w:tc>
      </w:tr>
      <w:tr>
        <w:trPr>
          <w:trHeight w:val="163"/>
        </w:trPr>
        <w:tc>
          <w:tcPr>
            <w:tcW w:w="4340" w:type="dxa"/>
            <w:vAlign w:val="bottom"/>
          </w:tcPr>
          <w:p>
            <w:pPr>
              <w:spacing w:after="0" w:line="163" w:lineRule="exact"/>
              <w:rPr>
                <w:sz w:val="20"/>
                <w:szCs w:val="20"/>
                <w:color w:val="auto"/>
              </w:rPr>
            </w:pPr>
            <w:r>
              <w:rPr>
                <w:rFonts w:ascii="Arial" w:cs="Arial" w:eastAsia="Arial" w:hAnsi="Arial"/>
                <w:sz w:val="11"/>
                <w:szCs w:val="11"/>
                <w:b w:val="1"/>
                <w:bCs w:val="1"/>
                <w:color w:val="455986"/>
              </w:rPr>
              <w:t>BlackRock, Inc.</w:t>
            </w:r>
            <w:r>
              <w:rPr>
                <w:rFonts w:ascii="Arial" w:cs="Arial" w:eastAsia="Arial" w:hAnsi="Arial"/>
                <w:sz w:val="18"/>
                <w:szCs w:val="18"/>
                <w:b w:val="1"/>
                <w:bCs w:val="1"/>
                <w:color w:val="455986"/>
                <w:vertAlign w:val="superscript"/>
              </w:rPr>
              <w:t>(4)</w:t>
            </w:r>
          </w:p>
        </w:tc>
        <w:tc>
          <w:tcPr>
            <w:tcW w:w="2120" w:type="dxa"/>
            <w:vAlign w:val="bottom"/>
          </w:tcPr>
          <w:p>
            <w:pPr>
              <w:jc w:val="right"/>
              <w:ind w:right="8"/>
              <w:spacing w:after="0"/>
              <w:rPr>
                <w:sz w:val="20"/>
                <w:szCs w:val="20"/>
                <w:color w:val="auto"/>
              </w:rPr>
            </w:pPr>
            <w:r>
              <w:rPr>
                <w:rFonts w:ascii="Arial" w:cs="Arial" w:eastAsia="Arial" w:hAnsi="Arial"/>
                <w:sz w:val="14"/>
                <w:szCs w:val="14"/>
                <w:color w:val="231F20"/>
              </w:rPr>
              <w:t>24,435,519</w:t>
            </w:r>
          </w:p>
        </w:tc>
        <w:tc>
          <w:tcPr>
            <w:tcW w:w="1900" w:type="dxa"/>
            <w:vAlign w:val="bottom"/>
          </w:tcPr>
          <w:p>
            <w:pPr>
              <w:jc w:val="right"/>
              <w:ind w:right="348"/>
              <w:spacing w:after="0"/>
              <w:rPr>
                <w:sz w:val="20"/>
                <w:szCs w:val="20"/>
                <w:color w:val="auto"/>
              </w:rPr>
            </w:pPr>
            <w:r>
              <w:rPr>
                <w:rFonts w:ascii="Arial" w:cs="Arial" w:eastAsia="Arial" w:hAnsi="Arial"/>
                <w:sz w:val="14"/>
                <w:szCs w:val="14"/>
                <w:color w:val="231F20"/>
              </w:rPr>
              <w:t>—</w:t>
            </w:r>
          </w:p>
        </w:tc>
        <w:tc>
          <w:tcPr>
            <w:tcW w:w="1300" w:type="dxa"/>
            <w:vAlign w:val="bottom"/>
          </w:tcPr>
          <w:p>
            <w:pPr>
              <w:jc w:val="right"/>
              <w:ind w:right="88"/>
              <w:spacing w:after="0"/>
              <w:rPr>
                <w:sz w:val="20"/>
                <w:szCs w:val="20"/>
                <w:color w:val="auto"/>
              </w:rPr>
            </w:pPr>
            <w:r>
              <w:rPr>
                <w:rFonts w:ascii="Arial" w:cs="Arial" w:eastAsia="Arial" w:hAnsi="Arial"/>
                <w:sz w:val="14"/>
                <w:szCs w:val="14"/>
                <w:color w:val="231F20"/>
              </w:rPr>
              <w:t>24,435,519</w:t>
            </w:r>
          </w:p>
        </w:tc>
        <w:tc>
          <w:tcPr>
            <w:tcW w:w="1580" w:type="dxa"/>
            <w:vAlign w:val="bottom"/>
          </w:tcPr>
          <w:p>
            <w:pPr>
              <w:jc w:val="right"/>
              <w:ind w:right="8"/>
              <w:spacing w:after="0"/>
              <w:rPr>
                <w:sz w:val="20"/>
                <w:szCs w:val="20"/>
                <w:color w:val="auto"/>
              </w:rPr>
            </w:pPr>
            <w:r>
              <w:rPr>
                <w:rFonts w:ascii="Arial" w:cs="Arial" w:eastAsia="Arial" w:hAnsi="Arial"/>
                <w:sz w:val="14"/>
                <w:szCs w:val="14"/>
                <w:color w:val="231F20"/>
              </w:rPr>
              <w:t>9.95%</w:t>
            </w:r>
          </w:p>
        </w:tc>
        <w:tc>
          <w:tcPr>
            <w:tcW w:w="0" w:type="dxa"/>
            <w:vAlign w:val="bottom"/>
          </w:tcPr>
          <w:p>
            <w:pPr>
              <w:spacing w:after="0"/>
              <w:rPr>
                <w:sz w:val="1"/>
                <w:szCs w:val="1"/>
                <w:color w:val="auto"/>
              </w:rPr>
            </w:pPr>
          </w:p>
        </w:tc>
      </w:tr>
      <w:tr>
        <w:trPr>
          <w:trHeight w:val="174"/>
        </w:trPr>
        <w:tc>
          <w:tcPr>
            <w:tcW w:w="4340" w:type="dxa"/>
            <w:vAlign w:val="bottom"/>
            <w:tcBorders>
              <w:bottom w:val="single" w:sz="8" w:color="231F20"/>
            </w:tcBorders>
          </w:tcPr>
          <w:p>
            <w:pPr>
              <w:spacing w:after="0"/>
              <w:rPr>
                <w:sz w:val="20"/>
                <w:szCs w:val="20"/>
                <w:color w:val="auto"/>
              </w:rPr>
            </w:pPr>
            <w:r>
              <w:rPr>
                <w:rFonts w:ascii="Arial" w:cs="Arial" w:eastAsia="Arial" w:hAnsi="Arial"/>
                <w:sz w:val="14"/>
                <w:szCs w:val="14"/>
                <w:color w:val="231F20"/>
              </w:rPr>
              <w:t>55 East 52nd Street, New York, NY 10055</w:t>
            </w:r>
          </w:p>
        </w:tc>
        <w:tc>
          <w:tcPr>
            <w:tcW w:w="2120" w:type="dxa"/>
            <w:vAlign w:val="bottom"/>
            <w:tcBorders>
              <w:bottom w:val="single" w:sz="8" w:color="231F20"/>
            </w:tcBorders>
          </w:tcPr>
          <w:p>
            <w:pPr>
              <w:spacing w:after="0"/>
              <w:rPr>
                <w:sz w:val="15"/>
                <w:szCs w:val="15"/>
                <w:color w:val="auto"/>
              </w:rPr>
            </w:pPr>
          </w:p>
        </w:tc>
        <w:tc>
          <w:tcPr>
            <w:tcW w:w="1900" w:type="dxa"/>
            <w:vAlign w:val="bottom"/>
            <w:tcBorders>
              <w:bottom w:val="single" w:sz="8" w:color="231F20"/>
            </w:tcBorders>
          </w:tcPr>
          <w:p>
            <w:pPr>
              <w:spacing w:after="0"/>
              <w:rPr>
                <w:sz w:val="15"/>
                <w:szCs w:val="15"/>
                <w:color w:val="auto"/>
              </w:rPr>
            </w:pPr>
          </w:p>
        </w:tc>
        <w:tc>
          <w:tcPr>
            <w:tcW w:w="1300" w:type="dxa"/>
            <w:vAlign w:val="bottom"/>
            <w:tcBorders>
              <w:bottom w:val="single" w:sz="8" w:color="231F20"/>
            </w:tcBorders>
          </w:tcPr>
          <w:p>
            <w:pPr>
              <w:spacing w:after="0"/>
              <w:rPr>
                <w:sz w:val="15"/>
                <w:szCs w:val="15"/>
                <w:color w:val="auto"/>
              </w:rPr>
            </w:pPr>
          </w:p>
        </w:tc>
        <w:tc>
          <w:tcPr>
            <w:tcW w:w="1580" w:type="dxa"/>
            <w:vAlign w:val="bottom"/>
            <w:tcBorders>
              <w:bottom w:val="single" w:sz="8" w:color="231F20"/>
            </w:tcBorders>
          </w:tcPr>
          <w:p>
            <w:pPr>
              <w:spacing w:after="0"/>
              <w:rPr>
                <w:sz w:val="15"/>
                <w:szCs w:val="15"/>
                <w:color w:val="auto"/>
              </w:rPr>
            </w:pPr>
          </w:p>
        </w:tc>
        <w:tc>
          <w:tcPr>
            <w:tcW w:w="0" w:type="dxa"/>
            <w:vAlign w:val="bottom"/>
          </w:tcPr>
          <w:p>
            <w:pPr>
              <w:spacing w:after="0"/>
              <w:rPr>
                <w:sz w:val="1"/>
                <w:szCs w:val="1"/>
                <w:color w:val="auto"/>
              </w:rPr>
            </w:pPr>
          </w:p>
        </w:tc>
      </w:tr>
      <w:tr>
        <w:trPr>
          <w:trHeight w:val="163"/>
        </w:trPr>
        <w:tc>
          <w:tcPr>
            <w:tcW w:w="4340" w:type="dxa"/>
            <w:vAlign w:val="bottom"/>
          </w:tcPr>
          <w:p>
            <w:pPr>
              <w:spacing w:after="0" w:line="163" w:lineRule="exact"/>
              <w:rPr>
                <w:sz w:val="20"/>
                <w:szCs w:val="20"/>
                <w:color w:val="auto"/>
              </w:rPr>
            </w:pPr>
            <w:r>
              <w:rPr>
                <w:rFonts w:ascii="Arial" w:cs="Arial" w:eastAsia="Arial" w:hAnsi="Arial"/>
                <w:sz w:val="11"/>
                <w:szCs w:val="11"/>
                <w:b w:val="1"/>
                <w:bCs w:val="1"/>
                <w:color w:val="455986"/>
              </w:rPr>
              <w:t>Canada Pension Plan Investment Board</w:t>
            </w:r>
            <w:r>
              <w:rPr>
                <w:rFonts w:ascii="Arial" w:cs="Arial" w:eastAsia="Arial" w:hAnsi="Arial"/>
                <w:sz w:val="18"/>
                <w:szCs w:val="18"/>
                <w:b w:val="1"/>
                <w:bCs w:val="1"/>
                <w:color w:val="455986"/>
                <w:vertAlign w:val="superscript"/>
              </w:rPr>
              <w:t>(5)</w:t>
            </w:r>
            <w:r>
              <w:rPr>
                <w:rFonts w:ascii="Arial" w:cs="Arial" w:eastAsia="Arial" w:hAnsi="Arial"/>
                <w:sz w:val="11"/>
                <w:szCs w:val="11"/>
                <w:b w:val="1"/>
                <w:bCs w:val="1"/>
                <w:color w:val="455986"/>
              </w:rPr>
              <w:t xml:space="preserve"> </w:t>
            </w:r>
            <w:r>
              <w:rPr>
                <w:rFonts w:ascii="Arial" w:cs="Arial" w:eastAsia="Arial" w:hAnsi="Arial"/>
                <w:sz w:val="11"/>
                <w:szCs w:val="11"/>
                <w:color w:val="231F20"/>
              </w:rPr>
              <w:t>One Queen</w:t>
            </w:r>
          </w:p>
        </w:tc>
        <w:tc>
          <w:tcPr>
            <w:tcW w:w="2120" w:type="dxa"/>
            <w:vAlign w:val="bottom"/>
          </w:tcPr>
          <w:p>
            <w:pPr>
              <w:jc w:val="right"/>
              <w:ind w:right="8"/>
              <w:spacing w:after="0"/>
              <w:rPr>
                <w:sz w:val="20"/>
                <w:szCs w:val="20"/>
                <w:color w:val="auto"/>
              </w:rPr>
            </w:pPr>
            <w:r>
              <w:rPr>
                <w:rFonts w:ascii="Arial" w:cs="Arial" w:eastAsia="Arial" w:hAnsi="Arial"/>
                <w:sz w:val="14"/>
                <w:szCs w:val="14"/>
                <w:color w:val="231F20"/>
              </w:rPr>
              <w:t>—</w:t>
            </w:r>
          </w:p>
        </w:tc>
        <w:tc>
          <w:tcPr>
            <w:tcW w:w="1900" w:type="dxa"/>
            <w:vAlign w:val="bottom"/>
          </w:tcPr>
          <w:p>
            <w:pPr>
              <w:jc w:val="right"/>
              <w:ind w:right="348"/>
              <w:spacing w:after="0"/>
              <w:rPr>
                <w:sz w:val="20"/>
                <w:szCs w:val="20"/>
                <w:color w:val="auto"/>
              </w:rPr>
            </w:pPr>
            <w:r>
              <w:rPr>
                <w:rFonts w:ascii="Arial" w:cs="Arial" w:eastAsia="Arial" w:hAnsi="Arial"/>
                <w:sz w:val="14"/>
                <w:szCs w:val="14"/>
                <w:color w:val="231F20"/>
              </w:rPr>
              <w:t>21,661,095</w:t>
            </w:r>
          </w:p>
        </w:tc>
        <w:tc>
          <w:tcPr>
            <w:tcW w:w="1300" w:type="dxa"/>
            <w:vAlign w:val="bottom"/>
          </w:tcPr>
          <w:p>
            <w:pPr>
              <w:jc w:val="right"/>
              <w:ind w:right="88"/>
              <w:spacing w:after="0"/>
              <w:rPr>
                <w:sz w:val="20"/>
                <w:szCs w:val="20"/>
                <w:color w:val="auto"/>
              </w:rPr>
            </w:pPr>
            <w:r>
              <w:rPr>
                <w:rFonts w:ascii="Arial" w:cs="Arial" w:eastAsia="Arial" w:hAnsi="Arial"/>
                <w:sz w:val="14"/>
                <w:szCs w:val="14"/>
                <w:color w:val="231F20"/>
              </w:rPr>
              <w:t>21,661,095</w:t>
            </w:r>
          </w:p>
        </w:tc>
        <w:tc>
          <w:tcPr>
            <w:tcW w:w="1580" w:type="dxa"/>
            <w:vAlign w:val="bottom"/>
          </w:tcPr>
          <w:p>
            <w:pPr>
              <w:jc w:val="right"/>
              <w:ind w:right="8"/>
              <w:spacing w:after="0"/>
              <w:rPr>
                <w:sz w:val="20"/>
                <w:szCs w:val="20"/>
                <w:color w:val="auto"/>
              </w:rPr>
            </w:pPr>
            <w:r>
              <w:rPr>
                <w:rFonts w:ascii="Arial" w:cs="Arial" w:eastAsia="Arial" w:hAnsi="Arial"/>
                <w:sz w:val="14"/>
                <w:szCs w:val="14"/>
                <w:color w:val="231F20"/>
              </w:rPr>
              <w:t>8.82%</w:t>
            </w:r>
          </w:p>
        </w:tc>
        <w:tc>
          <w:tcPr>
            <w:tcW w:w="0" w:type="dxa"/>
            <w:vAlign w:val="bottom"/>
          </w:tcPr>
          <w:p>
            <w:pPr>
              <w:spacing w:after="0"/>
              <w:rPr>
                <w:sz w:val="1"/>
                <w:szCs w:val="1"/>
                <w:color w:val="auto"/>
              </w:rPr>
            </w:pPr>
          </w:p>
        </w:tc>
      </w:tr>
      <w:tr>
        <w:trPr>
          <w:trHeight w:val="174"/>
        </w:trPr>
        <w:tc>
          <w:tcPr>
            <w:tcW w:w="4340" w:type="dxa"/>
            <w:vAlign w:val="bottom"/>
            <w:tcBorders>
              <w:bottom w:val="single" w:sz="8" w:color="231F20"/>
            </w:tcBorders>
          </w:tcPr>
          <w:p>
            <w:pPr>
              <w:spacing w:after="0"/>
              <w:rPr>
                <w:sz w:val="20"/>
                <w:szCs w:val="20"/>
                <w:color w:val="auto"/>
              </w:rPr>
            </w:pPr>
            <w:r>
              <w:rPr>
                <w:rFonts w:ascii="Arial" w:cs="Arial" w:eastAsia="Arial" w:hAnsi="Arial"/>
                <w:sz w:val="14"/>
                <w:szCs w:val="14"/>
                <w:color w:val="231F20"/>
              </w:rPr>
              <w:t>Street East, Suite 2500, Toronto, Ontario M5C 2W5 Canada</w:t>
            </w:r>
          </w:p>
        </w:tc>
        <w:tc>
          <w:tcPr>
            <w:tcW w:w="2120" w:type="dxa"/>
            <w:vAlign w:val="bottom"/>
            <w:tcBorders>
              <w:bottom w:val="single" w:sz="8" w:color="231F20"/>
            </w:tcBorders>
          </w:tcPr>
          <w:p>
            <w:pPr>
              <w:spacing w:after="0"/>
              <w:rPr>
                <w:sz w:val="15"/>
                <w:szCs w:val="15"/>
                <w:color w:val="auto"/>
              </w:rPr>
            </w:pPr>
          </w:p>
        </w:tc>
        <w:tc>
          <w:tcPr>
            <w:tcW w:w="1900" w:type="dxa"/>
            <w:vAlign w:val="bottom"/>
            <w:tcBorders>
              <w:bottom w:val="single" w:sz="8" w:color="231F20"/>
            </w:tcBorders>
          </w:tcPr>
          <w:p>
            <w:pPr>
              <w:spacing w:after="0"/>
              <w:rPr>
                <w:sz w:val="15"/>
                <w:szCs w:val="15"/>
                <w:color w:val="auto"/>
              </w:rPr>
            </w:pPr>
          </w:p>
        </w:tc>
        <w:tc>
          <w:tcPr>
            <w:tcW w:w="1300" w:type="dxa"/>
            <w:vAlign w:val="bottom"/>
            <w:tcBorders>
              <w:bottom w:val="single" w:sz="8" w:color="231F20"/>
            </w:tcBorders>
          </w:tcPr>
          <w:p>
            <w:pPr>
              <w:spacing w:after="0"/>
              <w:rPr>
                <w:sz w:val="15"/>
                <w:szCs w:val="15"/>
                <w:color w:val="auto"/>
              </w:rPr>
            </w:pPr>
          </w:p>
        </w:tc>
        <w:tc>
          <w:tcPr>
            <w:tcW w:w="1580" w:type="dxa"/>
            <w:vAlign w:val="bottom"/>
            <w:tcBorders>
              <w:bottom w:val="single" w:sz="8" w:color="231F20"/>
            </w:tcBorders>
          </w:tcPr>
          <w:p>
            <w:pPr>
              <w:spacing w:after="0"/>
              <w:rPr>
                <w:sz w:val="15"/>
                <w:szCs w:val="15"/>
                <w:color w:val="auto"/>
              </w:rPr>
            </w:pPr>
          </w:p>
        </w:tc>
        <w:tc>
          <w:tcPr>
            <w:tcW w:w="0" w:type="dxa"/>
            <w:vAlign w:val="bottom"/>
          </w:tcPr>
          <w:p>
            <w:pPr>
              <w:spacing w:after="0"/>
              <w:rPr>
                <w:sz w:val="1"/>
                <w:szCs w:val="1"/>
                <w:color w:val="auto"/>
              </w:rPr>
            </w:pPr>
          </w:p>
        </w:tc>
      </w:tr>
      <w:tr>
        <w:trPr>
          <w:trHeight w:val="146"/>
        </w:trPr>
        <w:tc>
          <w:tcPr>
            <w:tcW w:w="4340" w:type="dxa"/>
            <w:vAlign w:val="bottom"/>
            <w:tcBorders>
              <w:bottom w:val="single" w:sz="8" w:color="231F20"/>
            </w:tcBorders>
          </w:tcPr>
          <w:p>
            <w:pPr>
              <w:spacing w:after="0" w:line="146" w:lineRule="exact"/>
              <w:rPr>
                <w:sz w:val="20"/>
                <w:szCs w:val="20"/>
                <w:color w:val="auto"/>
              </w:rPr>
            </w:pPr>
            <w:r>
              <w:rPr>
                <w:rFonts w:ascii="Arial" w:cs="Arial" w:eastAsia="Arial" w:hAnsi="Arial"/>
                <w:sz w:val="14"/>
                <w:szCs w:val="14"/>
                <w:b w:val="1"/>
                <w:bCs w:val="1"/>
                <w:color w:val="455986"/>
              </w:rPr>
              <w:t>Directors, Nominees and Named Executive Officers</w:t>
            </w:r>
          </w:p>
        </w:tc>
        <w:tc>
          <w:tcPr>
            <w:tcW w:w="2120" w:type="dxa"/>
            <w:vAlign w:val="bottom"/>
            <w:tcBorders>
              <w:bottom w:val="single" w:sz="8" w:color="231F20"/>
            </w:tcBorders>
          </w:tcPr>
          <w:p>
            <w:pPr>
              <w:spacing w:after="0"/>
              <w:rPr>
                <w:sz w:val="12"/>
                <w:szCs w:val="12"/>
                <w:color w:val="auto"/>
              </w:rPr>
            </w:pPr>
          </w:p>
        </w:tc>
        <w:tc>
          <w:tcPr>
            <w:tcW w:w="1900" w:type="dxa"/>
            <w:vAlign w:val="bottom"/>
            <w:tcBorders>
              <w:bottom w:val="single" w:sz="8" w:color="231F20"/>
            </w:tcBorders>
          </w:tcPr>
          <w:p>
            <w:pPr>
              <w:spacing w:after="0"/>
              <w:rPr>
                <w:sz w:val="12"/>
                <w:szCs w:val="12"/>
                <w:color w:val="auto"/>
              </w:rPr>
            </w:pPr>
          </w:p>
        </w:tc>
        <w:tc>
          <w:tcPr>
            <w:tcW w:w="1300" w:type="dxa"/>
            <w:vAlign w:val="bottom"/>
            <w:tcBorders>
              <w:bottom w:val="single" w:sz="8" w:color="231F20"/>
            </w:tcBorders>
          </w:tcPr>
          <w:p>
            <w:pPr>
              <w:spacing w:after="0"/>
              <w:rPr>
                <w:sz w:val="12"/>
                <w:szCs w:val="12"/>
                <w:color w:val="auto"/>
              </w:rPr>
            </w:pPr>
          </w:p>
        </w:tc>
        <w:tc>
          <w:tcPr>
            <w:tcW w:w="1580" w:type="dxa"/>
            <w:vAlign w:val="bottom"/>
            <w:tcBorders>
              <w:bottom w:val="single" w:sz="8" w:color="231F20"/>
            </w:tcBorders>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4340" w:type="dxa"/>
            <w:vAlign w:val="bottom"/>
            <w:tcBorders>
              <w:bottom w:val="single" w:sz="8" w:color="231F20"/>
            </w:tcBorders>
          </w:tcPr>
          <w:p>
            <w:pPr>
              <w:spacing w:after="0" w:line="146" w:lineRule="exact"/>
              <w:rPr>
                <w:sz w:val="20"/>
                <w:szCs w:val="20"/>
                <w:color w:val="auto"/>
              </w:rPr>
            </w:pPr>
            <w:r>
              <w:rPr>
                <w:rFonts w:ascii="Arial" w:cs="Arial" w:eastAsia="Arial" w:hAnsi="Arial"/>
                <w:sz w:val="14"/>
                <w:szCs w:val="14"/>
                <w:color w:val="231F20"/>
              </w:rPr>
              <w:t>Elizabeth B. Amato</w:t>
            </w:r>
          </w:p>
        </w:tc>
        <w:tc>
          <w:tcPr>
            <w:tcW w:w="2120" w:type="dxa"/>
            <w:vAlign w:val="bottom"/>
            <w:tcBorders>
              <w:bottom w:val="single" w:sz="8" w:color="231F20"/>
            </w:tcBorders>
          </w:tcPr>
          <w:p>
            <w:pPr>
              <w:jc w:val="right"/>
              <w:ind w:right="8"/>
              <w:spacing w:after="0" w:line="146" w:lineRule="exact"/>
              <w:rPr>
                <w:sz w:val="20"/>
                <w:szCs w:val="20"/>
                <w:color w:val="auto"/>
              </w:rPr>
            </w:pPr>
            <w:r>
              <w:rPr>
                <w:rFonts w:ascii="Arial" w:cs="Arial" w:eastAsia="Arial" w:hAnsi="Arial"/>
                <w:sz w:val="14"/>
                <w:szCs w:val="14"/>
                <w:color w:val="231F20"/>
              </w:rPr>
              <w:t>5,642</w:t>
            </w:r>
          </w:p>
        </w:tc>
        <w:tc>
          <w:tcPr>
            <w:tcW w:w="1900" w:type="dxa"/>
            <w:vAlign w:val="bottom"/>
            <w:tcBorders>
              <w:bottom w:val="single" w:sz="8" w:color="231F20"/>
            </w:tcBorders>
          </w:tcPr>
          <w:p>
            <w:pPr>
              <w:jc w:val="right"/>
              <w:ind w:right="348"/>
              <w:spacing w:after="0" w:line="146" w:lineRule="exact"/>
              <w:rPr>
                <w:sz w:val="20"/>
                <w:szCs w:val="20"/>
                <w:color w:val="auto"/>
              </w:rPr>
            </w:pPr>
            <w:r>
              <w:rPr>
                <w:rFonts w:ascii="Arial" w:cs="Arial" w:eastAsia="Arial" w:hAnsi="Arial"/>
                <w:sz w:val="14"/>
                <w:szCs w:val="14"/>
                <w:color w:val="231F20"/>
              </w:rPr>
              <w:t>—</w:t>
            </w:r>
          </w:p>
        </w:tc>
        <w:tc>
          <w:tcPr>
            <w:tcW w:w="1300" w:type="dxa"/>
            <w:vAlign w:val="bottom"/>
            <w:tcBorders>
              <w:bottom w:val="single" w:sz="8" w:color="231F20"/>
            </w:tcBorders>
          </w:tcPr>
          <w:p>
            <w:pPr>
              <w:jc w:val="right"/>
              <w:ind w:right="88"/>
              <w:spacing w:after="0" w:line="146" w:lineRule="exact"/>
              <w:rPr>
                <w:sz w:val="20"/>
                <w:szCs w:val="20"/>
                <w:color w:val="auto"/>
              </w:rPr>
            </w:pPr>
            <w:r>
              <w:rPr>
                <w:rFonts w:ascii="Arial" w:cs="Arial" w:eastAsia="Arial" w:hAnsi="Arial"/>
                <w:sz w:val="14"/>
                <w:szCs w:val="14"/>
                <w:color w:val="231F20"/>
              </w:rPr>
              <w:t>5,642</w:t>
            </w:r>
          </w:p>
        </w:tc>
        <w:tc>
          <w:tcPr>
            <w:tcW w:w="1580" w:type="dxa"/>
            <w:vAlign w:val="bottom"/>
            <w:tcBorders>
              <w:bottom w:val="single" w:sz="8" w:color="231F20"/>
            </w:tcBorders>
          </w:tcPr>
          <w:p>
            <w:pPr>
              <w:jc w:val="right"/>
              <w:ind w:right="8"/>
              <w:spacing w:after="0" w:line="146" w:lineRule="exact"/>
              <w:rPr>
                <w:sz w:val="20"/>
                <w:szCs w:val="20"/>
                <w:color w:val="auto"/>
              </w:rPr>
            </w:pPr>
            <w:r>
              <w:rPr>
                <w:rFonts w:ascii="Arial" w:cs="Arial" w:eastAsia="Arial" w:hAnsi="Arial"/>
                <w:sz w:val="14"/>
                <w:szCs w:val="14"/>
                <w:color w:val="231F20"/>
              </w:rPr>
              <w:t>*</w:t>
            </w:r>
          </w:p>
        </w:tc>
        <w:tc>
          <w:tcPr>
            <w:tcW w:w="0" w:type="dxa"/>
            <w:vAlign w:val="bottom"/>
          </w:tcPr>
          <w:p>
            <w:pPr>
              <w:spacing w:after="0"/>
              <w:rPr>
                <w:sz w:val="1"/>
                <w:szCs w:val="1"/>
                <w:color w:val="auto"/>
              </w:rPr>
            </w:pPr>
          </w:p>
        </w:tc>
      </w:tr>
      <w:tr>
        <w:trPr>
          <w:trHeight w:val="146"/>
        </w:trPr>
        <w:tc>
          <w:tcPr>
            <w:tcW w:w="4340" w:type="dxa"/>
            <w:vAlign w:val="bottom"/>
            <w:tcBorders>
              <w:bottom w:val="single" w:sz="8" w:color="231F20"/>
            </w:tcBorders>
          </w:tcPr>
          <w:p>
            <w:pPr>
              <w:spacing w:after="0" w:line="146" w:lineRule="exact"/>
              <w:rPr>
                <w:sz w:val="20"/>
                <w:szCs w:val="20"/>
                <w:color w:val="auto"/>
              </w:rPr>
            </w:pPr>
            <w:r>
              <w:rPr>
                <w:rFonts w:ascii="Arial" w:cs="Arial" w:eastAsia="Arial" w:hAnsi="Arial"/>
                <w:sz w:val="14"/>
                <w:szCs w:val="14"/>
                <w:color w:val="231F20"/>
              </w:rPr>
              <w:t>Nicholas DeBenedictis</w:t>
            </w:r>
          </w:p>
        </w:tc>
        <w:tc>
          <w:tcPr>
            <w:tcW w:w="2120" w:type="dxa"/>
            <w:vAlign w:val="bottom"/>
            <w:tcBorders>
              <w:bottom w:val="single" w:sz="8" w:color="231F20"/>
            </w:tcBorders>
          </w:tcPr>
          <w:p>
            <w:pPr>
              <w:jc w:val="right"/>
              <w:ind w:right="8"/>
              <w:spacing w:after="0" w:line="146" w:lineRule="exact"/>
              <w:rPr>
                <w:sz w:val="20"/>
                <w:szCs w:val="20"/>
                <w:color w:val="auto"/>
              </w:rPr>
            </w:pPr>
            <w:r>
              <w:rPr>
                <w:rFonts w:ascii="Arial" w:cs="Arial" w:eastAsia="Arial" w:hAnsi="Arial"/>
                <w:sz w:val="14"/>
                <w:szCs w:val="14"/>
                <w:color w:val="231F20"/>
              </w:rPr>
              <w:t>25,817</w:t>
            </w:r>
          </w:p>
        </w:tc>
        <w:tc>
          <w:tcPr>
            <w:tcW w:w="1900" w:type="dxa"/>
            <w:vAlign w:val="bottom"/>
            <w:tcBorders>
              <w:bottom w:val="single" w:sz="8" w:color="231F20"/>
            </w:tcBorders>
          </w:tcPr>
          <w:p>
            <w:pPr>
              <w:jc w:val="right"/>
              <w:ind w:right="348"/>
              <w:spacing w:after="0" w:line="146" w:lineRule="exact"/>
              <w:rPr>
                <w:sz w:val="20"/>
                <w:szCs w:val="20"/>
                <w:color w:val="auto"/>
              </w:rPr>
            </w:pPr>
            <w:r>
              <w:rPr>
                <w:rFonts w:ascii="Arial" w:cs="Arial" w:eastAsia="Arial" w:hAnsi="Arial"/>
                <w:sz w:val="14"/>
                <w:szCs w:val="14"/>
                <w:color w:val="231F20"/>
              </w:rPr>
              <w:t>—</w:t>
            </w:r>
          </w:p>
        </w:tc>
        <w:tc>
          <w:tcPr>
            <w:tcW w:w="1300" w:type="dxa"/>
            <w:vAlign w:val="bottom"/>
            <w:tcBorders>
              <w:bottom w:val="single" w:sz="8" w:color="231F20"/>
            </w:tcBorders>
          </w:tcPr>
          <w:p>
            <w:pPr>
              <w:jc w:val="right"/>
              <w:ind w:right="88"/>
              <w:spacing w:after="0" w:line="146" w:lineRule="exact"/>
              <w:rPr>
                <w:sz w:val="20"/>
                <w:szCs w:val="20"/>
                <w:color w:val="auto"/>
              </w:rPr>
            </w:pPr>
            <w:r>
              <w:rPr>
                <w:rFonts w:ascii="Arial" w:cs="Arial" w:eastAsia="Arial" w:hAnsi="Arial"/>
                <w:sz w:val="14"/>
                <w:szCs w:val="14"/>
                <w:color w:val="231F20"/>
              </w:rPr>
              <w:t>25,817</w:t>
            </w:r>
          </w:p>
        </w:tc>
        <w:tc>
          <w:tcPr>
            <w:tcW w:w="1580" w:type="dxa"/>
            <w:vAlign w:val="bottom"/>
            <w:tcBorders>
              <w:bottom w:val="single" w:sz="8" w:color="231F20"/>
            </w:tcBorders>
          </w:tcPr>
          <w:p>
            <w:pPr>
              <w:jc w:val="right"/>
              <w:ind w:right="8"/>
              <w:spacing w:after="0" w:line="146" w:lineRule="exact"/>
              <w:rPr>
                <w:sz w:val="20"/>
                <w:szCs w:val="20"/>
                <w:color w:val="auto"/>
              </w:rPr>
            </w:pPr>
            <w:r>
              <w:rPr>
                <w:rFonts w:ascii="Arial" w:cs="Arial" w:eastAsia="Arial" w:hAnsi="Arial"/>
                <w:sz w:val="14"/>
                <w:szCs w:val="14"/>
                <w:color w:val="231F20"/>
              </w:rPr>
              <w:t>*</w:t>
            </w:r>
          </w:p>
        </w:tc>
        <w:tc>
          <w:tcPr>
            <w:tcW w:w="0" w:type="dxa"/>
            <w:vAlign w:val="bottom"/>
          </w:tcPr>
          <w:p>
            <w:pPr>
              <w:spacing w:after="0"/>
              <w:rPr>
                <w:sz w:val="1"/>
                <w:szCs w:val="1"/>
                <w:color w:val="auto"/>
              </w:rPr>
            </w:pPr>
          </w:p>
        </w:tc>
      </w:tr>
      <w:tr>
        <w:trPr>
          <w:trHeight w:val="146"/>
        </w:trPr>
        <w:tc>
          <w:tcPr>
            <w:tcW w:w="4340" w:type="dxa"/>
            <w:vAlign w:val="bottom"/>
            <w:tcBorders>
              <w:bottom w:val="single" w:sz="8" w:color="231F20"/>
            </w:tcBorders>
          </w:tcPr>
          <w:p>
            <w:pPr>
              <w:spacing w:after="0" w:line="146" w:lineRule="exact"/>
              <w:rPr>
                <w:sz w:val="20"/>
                <w:szCs w:val="20"/>
                <w:color w:val="auto"/>
              </w:rPr>
            </w:pPr>
            <w:r>
              <w:rPr>
                <w:rFonts w:ascii="Arial" w:cs="Arial" w:eastAsia="Arial" w:hAnsi="Arial"/>
                <w:sz w:val="14"/>
                <w:szCs w:val="14"/>
                <w:color w:val="231F20"/>
              </w:rPr>
              <w:t>Richard S. Fox</w:t>
            </w:r>
          </w:p>
        </w:tc>
        <w:tc>
          <w:tcPr>
            <w:tcW w:w="2120" w:type="dxa"/>
            <w:vAlign w:val="bottom"/>
            <w:tcBorders>
              <w:bottom w:val="single" w:sz="8" w:color="231F20"/>
            </w:tcBorders>
          </w:tcPr>
          <w:p>
            <w:pPr>
              <w:jc w:val="right"/>
              <w:ind w:right="8"/>
              <w:spacing w:after="0" w:line="146" w:lineRule="exact"/>
              <w:rPr>
                <w:sz w:val="20"/>
                <w:szCs w:val="20"/>
                <w:color w:val="auto"/>
              </w:rPr>
            </w:pPr>
            <w:r>
              <w:rPr>
                <w:rFonts w:ascii="Arial" w:cs="Arial" w:eastAsia="Arial" w:hAnsi="Arial"/>
                <w:sz w:val="14"/>
                <w:szCs w:val="14"/>
                <w:color w:val="231F20"/>
              </w:rPr>
              <w:t>23,665</w:t>
            </w:r>
          </w:p>
        </w:tc>
        <w:tc>
          <w:tcPr>
            <w:tcW w:w="1900" w:type="dxa"/>
            <w:vAlign w:val="bottom"/>
            <w:tcBorders>
              <w:bottom w:val="single" w:sz="8" w:color="231F20"/>
            </w:tcBorders>
          </w:tcPr>
          <w:p>
            <w:pPr>
              <w:jc w:val="right"/>
              <w:ind w:right="348"/>
              <w:spacing w:after="0" w:line="146" w:lineRule="exact"/>
              <w:rPr>
                <w:sz w:val="20"/>
                <w:szCs w:val="20"/>
                <w:color w:val="auto"/>
              </w:rPr>
            </w:pPr>
            <w:r>
              <w:rPr>
                <w:rFonts w:ascii="Arial" w:cs="Arial" w:eastAsia="Arial" w:hAnsi="Arial"/>
                <w:sz w:val="14"/>
                <w:szCs w:val="14"/>
                <w:color w:val="231F20"/>
              </w:rPr>
              <w:t>—</w:t>
            </w:r>
          </w:p>
        </w:tc>
        <w:tc>
          <w:tcPr>
            <w:tcW w:w="1300" w:type="dxa"/>
            <w:vAlign w:val="bottom"/>
            <w:tcBorders>
              <w:bottom w:val="single" w:sz="8" w:color="231F20"/>
            </w:tcBorders>
          </w:tcPr>
          <w:p>
            <w:pPr>
              <w:jc w:val="right"/>
              <w:ind w:right="88"/>
              <w:spacing w:after="0" w:line="146" w:lineRule="exact"/>
              <w:rPr>
                <w:sz w:val="20"/>
                <w:szCs w:val="20"/>
                <w:color w:val="auto"/>
              </w:rPr>
            </w:pPr>
            <w:r>
              <w:rPr>
                <w:rFonts w:ascii="Arial" w:cs="Arial" w:eastAsia="Arial" w:hAnsi="Arial"/>
                <w:sz w:val="14"/>
                <w:szCs w:val="14"/>
                <w:color w:val="231F20"/>
              </w:rPr>
              <w:t>23,665</w:t>
            </w:r>
          </w:p>
        </w:tc>
        <w:tc>
          <w:tcPr>
            <w:tcW w:w="1580" w:type="dxa"/>
            <w:vAlign w:val="bottom"/>
            <w:tcBorders>
              <w:bottom w:val="single" w:sz="8" w:color="231F20"/>
            </w:tcBorders>
          </w:tcPr>
          <w:p>
            <w:pPr>
              <w:jc w:val="right"/>
              <w:ind w:right="8"/>
              <w:spacing w:after="0" w:line="146" w:lineRule="exact"/>
              <w:rPr>
                <w:sz w:val="20"/>
                <w:szCs w:val="20"/>
                <w:color w:val="auto"/>
              </w:rPr>
            </w:pPr>
            <w:r>
              <w:rPr>
                <w:rFonts w:ascii="Arial" w:cs="Arial" w:eastAsia="Arial" w:hAnsi="Arial"/>
                <w:sz w:val="14"/>
                <w:szCs w:val="14"/>
                <w:color w:val="231F20"/>
              </w:rPr>
              <w:t>*</w:t>
            </w:r>
          </w:p>
        </w:tc>
        <w:tc>
          <w:tcPr>
            <w:tcW w:w="0" w:type="dxa"/>
            <w:vAlign w:val="bottom"/>
          </w:tcPr>
          <w:p>
            <w:pPr>
              <w:spacing w:after="0"/>
              <w:rPr>
                <w:sz w:val="1"/>
                <w:szCs w:val="1"/>
                <w:color w:val="auto"/>
              </w:rPr>
            </w:pPr>
          </w:p>
        </w:tc>
      </w:tr>
      <w:tr>
        <w:trPr>
          <w:trHeight w:val="146"/>
        </w:trPr>
        <w:tc>
          <w:tcPr>
            <w:tcW w:w="4340" w:type="dxa"/>
            <w:vAlign w:val="bottom"/>
            <w:tcBorders>
              <w:bottom w:val="single" w:sz="8" w:color="231F20"/>
            </w:tcBorders>
          </w:tcPr>
          <w:p>
            <w:pPr>
              <w:spacing w:after="0" w:line="146" w:lineRule="exact"/>
              <w:rPr>
                <w:sz w:val="20"/>
                <w:szCs w:val="20"/>
                <w:color w:val="auto"/>
              </w:rPr>
            </w:pPr>
            <w:r>
              <w:rPr>
                <w:rFonts w:ascii="Arial" w:cs="Arial" w:eastAsia="Arial" w:hAnsi="Arial"/>
                <w:sz w:val="14"/>
                <w:szCs w:val="14"/>
                <w:color w:val="231F20"/>
              </w:rPr>
              <w:t>Christopher H. Franklin</w:t>
            </w:r>
          </w:p>
        </w:tc>
        <w:tc>
          <w:tcPr>
            <w:tcW w:w="2120" w:type="dxa"/>
            <w:vAlign w:val="bottom"/>
            <w:tcBorders>
              <w:bottom w:val="single" w:sz="8" w:color="231F20"/>
            </w:tcBorders>
          </w:tcPr>
          <w:p>
            <w:pPr>
              <w:jc w:val="right"/>
              <w:ind w:right="8"/>
              <w:spacing w:after="0" w:line="146" w:lineRule="exact"/>
              <w:rPr>
                <w:sz w:val="20"/>
                <w:szCs w:val="20"/>
                <w:color w:val="auto"/>
              </w:rPr>
            </w:pPr>
            <w:r>
              <w:rPr>
                <w:rFonts w:ascii="Arial" w:cs="Arial" w:eastAsia="Arial" w:hAnsi="Arial"/>
                <w:sz w:val="14"/>
                <w:szCs w:val="14"/>
                <w:color w:val="231F20"/>
              </w:rPr>
              <w:t>131,567</w:t>
            </w:r>
          </w:p>
        </w:tc>
        <w:tc>
          <w:tcPr>
            <w:tcW w:w="1900" w:type="dxa"/>
            <w:vAlign w:val="bottom"/>
            <w:tcBorders>
              <w:bottom w:val="single" w:sz="8" w:color="231F20"/>
            </w:tcBorders>
          </w:tcPr>
          <w:p>
            <w:pPr>
              <w:jc w:val="right"/>
              <w:ind w:right="348"/>
              <w:spacing w:after="0" w:line="146" w:lineRule="exact"/>
              <w:rPr>
                <w:sz w:val="20"/>
                <w:szCs w:val="20"/>
                <w:color w:val="auto"/>
              </w:rPr>
            </w:pPr>
            <w:r>
              <w:rPr>
                <w:rFonts w:ascii="Arial" w:cs="Arial" w:eastAsia="Arial" w:hAnsi="Arial"/>
                <w:sz w:val="14"/>
                <w:szCs w:val="14"/>
                <w:color w:val="231F20"/>
              </w:rPr>
              <w:t>—</w:t>
            </w:r>
          </w:p>
        </w:tc>
        <w:tc>
          <w:tcPr>
            <w:tcW w:w="1300" w:type="dxa"/>
            <w:vAlign w:val="bottom"/>
            <w:tcBorders>
              <w:bottom w:val="single" w:sz="8" w:color="231F20"/>
            </w:tcBorders>
          </w:tcPr>
          <w:p>
            <w:pPr>
              <w:jc w:val="right"/>
              <w:ind w:right="88"/>
              <w:spacing w:after="0" w:line="146" w:lineRule="exact"/>
              <w:rPr>
                <w:sz w:val="20"/>
                <w:szCs w:val="20"/>
                <w:color w:val="auto"/>
              </w:rPr>
            </w:pPr>
            <w:r>
              <w:rPr>
                <w:rFonts w:ascii="Arial" w:cs="Arial" w:eastAsia="Arial" w:hAnsi="Arial"/>
                <w:sz w:val="14"/>
                <w:szCs w:val="14"/>
                <w:color w:val="231F20"/>
              </w:rPr>
              <w:t>131,567</w:t>
            </w:r>
          </w:p>
        </w:tc>
        <w:tc>
          <w:tcPr>
            <w:tcW w:w="1580" w:type="dxa"/>
            <w:vAlign w:val="bottom"/>
            <w:tcBorders>
              <w:bottom w:val="single" w:sz="8" w:color="231F20"/>
            </w:tcBorders>
          </w:tcPr>
          <w:p>
            <w:pPr>
              <w:jc w:val="right"/>
              <w:ind w:right="8"/>
              <w:spacing w:after="0" w:line="146" w:lineRule="exact"/>
              <w:rPr>
                <w:sz w:val="20"/>
                <w:szCs w:val="20"/>
                <w:color w:val="auto"/>
              </w:rPr>
            </w:pPr>
            <w:r>
              <w:rPr>
                <w:rFonts w:ascii="Arial" w:cs="Arial" w:eastAsia="Arial" w:hAnsi="Arial"/>
                <w:sz w:val="14"/>
                <w:szCs w:val="14"/>
                <w:color w:val="231F20"/>
              </w:rPr>
              <w:t>*</w:t>
            </w:r>
          </w:p>
        </w:tc>
        <w:tc>
          <w:tcPr>
            <w:tcW w:w="0" w:type="dxa"/>
            <w:vAlign w:val="bottom"/>
          </w:tcPr>
          <w:p>
            <w:pPr>
              <w:spacing w:after="0"/>
              <w:rPr>
                <w:sz w:val="1"/>
                <w:szCs w:val="1"/>
                <w:color w:val="auto"/>
              </w:rPr>
            </w:pPr>
          </w:p>
        </w:tc>
      </w:tr>
      <w:tr>
        <w:trPr>
          <w:trHeight w:val="146"/>
        </w:trPr>
        <w:tc>
          <w:tcPr>
            <w:tcW w:w="4340" w:type="dxa"/>
            <w:vAlign w:val="bottom"/>
            <w:tcBorders>
              <w:bottom w:val="single" w:sz="8" w:color="231F20"/>
            </w:tcBorders>
          </w:tcPr>
          <w:p>
            <w:pPr>
              <w:spacing w:after="0" w:line="146" w:lineRule="exact"/>
              <w:rPr>
                <w:sz w:val="20"/>
                <w:szCs w:val="20"/>
                <w:color w:val="auto"/>
              </w:rPr>
            </w:pPr>
            <w:r>
              <w:rPr>
                <w:rFonts w:ascii="Arial" w:cs="Arial" w:eastAsia="Arial" w:hAnsi="Arial"/>
                <w:sz w:val="14"/>
                <w:szCs w:val="14"/>
                <w:color w:val="231F20"/>
              </w:rPr>
              <w:t>Wendy A. Franks</w:t>
            </w:r>
          </w:p>
        </w:tc>
        <w:tc>
          <w:tcPr>
            <w:tcW w:w="2120" w:type="dxa"/>
            <w:vAlign w:val="bottom"/>
            <w:tcBorders>
              <w:bottom w:val="single" w:sz="8" w:color="231F20"/>
            </w:tcBorders>
          </w:tcPr>
          <w:p>
            <w:pPr>
              <w:jc w:val="right"/>
              <w:ind w:right="8"/>
              <w:spacing w:after="0" w:line="146" w:lineRule="exact"/>
              <w:rPr>
                <w:sz w:val="20"/>
                <w:szCs w:val="20"/>
                <w:color w:val="auto"/>
              </w:rPr>
            </w:pPr>
            <w:r>
              <w:rPr>
                <w:rFonts w:ascii="Arial" w:cs="Arial" w:eastAsia="Arial" w:hAnsi="Arial"/>
                <w:sz w:val="14"/>
                <w:szCs w:val="14"/>
                <w:color w:val="231F20"/>
              </w:rPr>
              <w:t>—</w:t>
            </w:r>
          </w:p>
        </w:tc>
        <w:tc>
          <w:tcPr>
            <w:tcW w:w="1900" w:type="dxa"/>
            <w:vAlign w:val="bottom"/>
            <w:tcBorders>
              <w:bottom w:val="single" w:sz="8" w:color="231F20"/>
            </w:tcBorders>
          </w:tcPr>
          <w:p>
            <w:pPr>
              <w:jc w:val="right"/>
              <w:ind w:right="348"/>
              <w:spacing w:after="0" w:line="146" w:lineRule="exact"/>
              <w:rPr>
                <w:sz w:val="20"/>
                <w:szCs w:val="20"/>
                <w:color w:val="auto"/>
              </w:rPr>
            </w:pPr>
            <w:r>
              <w:rPr>
                <w:rFonts w:ascii="Arial" w:cs="Arial" w:eastAsia="Arial" w:hAnsi="Arial"/>
                <w:sz w:val="14"/>
                <w:szCs w:val="14"/>
                <w:color w:val="231F20"/>
              </w:rPr>
              <w:t>—</w:t>
            </w:r>
          </w:p>
        </w:tc>
        <w:tc>
          <w:tcPr>
            <w:tcW w:w="1300" w:type="dxa"/>
            <w:vAlign w:val="bottom"/>
            <w:tcBorders>
              <w:bottom w:val="single" w:sz="8" w:color="231F20"/>
            </w:tcBorders>
          </w:tcPr>
          <w:p>
            <w:pPr>
              <w:jc w:val="right"/>
              <w:ind w:right="88"/>
              <w:spacing w:after="0" w:line="146" w:lineRule="exact"/>
              <w:rPr>
                <w:sz w:val="20"/>
                <w:szCs w:val="20"/>
                <w:color w:val="auto"/>
              </w:rPr>
            </w:pPr>
            <w:r>
              <w:rPr>
                <w:rFonts w:ascii="Arial" w:cs="Arial" w:eastAsia="Arial" w:hAnsi="Arial"/>
                <w:sz w:val="14"/>
                <w:szCs w:val="14"/>
                <w:color w:val="231F20"/>
              </w:rPr>
              <w:t>—</w:t>
            </w:r>
          </w:p>
        </w:tc>
        <w:tc>
          <w:tcPr>
            <w:tcW w:w="1580" w:type="dxa"/>
            <w:vAlign w:val="bottom"/>
            <w:tcBorders>
              <w:bottom w:val="single" w:sz="8" w:color="231F20"/>
            </w:tcBorders>
          </w:tcPr>
          <w:p>
            <w:pPr>
              <w:jc w:val="right"/>
              <w:ind w:right="8"/>
              <w:spacing w:after="0" w:line="146" w:lineRule="exact"/>
              <w:rPr>
                <w:sz w:val="20"/>
                <w:szCs w:val="20"/>
                <w:color w:val="auto"/>
              </w:rPr>
            </w:pPr>
            <w:r>
              <w:rPr>
                <w:rFonts w:ascii="Arial" w:cs="Arial" w:eastAsia="Arial" w:hAnsi="Arial"/>
                <w:sz w:val="14"/>
                <w:szCs w:val="14"/>
                <w:color w:val="231F20"/>
              </w:rPr>
              <w:t>*</w:t>
            </w:r>
          </w:p>
        </w:tc>
        <w:tc>
          <w:tcPr>
            <w:tcW w:w="0" w:type="dxa"/>
            <w:vAlign w:val="bottom"/>
          </w:tcPr>
          <w:p>
            <w:pPr>
              <w:spacing w:after="0"/>
              <w:rPr>
                <w:sz w:val="1"/>
                <w:szCs w:val="1"/>
                <w:color w:val="auto"/>
              </w:rPr>
            </w:pPr>
          </w:p>
        </w:tc>
      </w:tr>
      <w:tr>
        <w:trPr>
          <w:trHeight w:val="146"/>
        </w:trPr>
        <w:tc>
          <w:tcPr>
            <w:tcW w:w="4340" w:type="dxa"/>
            <w:vAlign w:val="bottom"/>
            <w:tcBorders>
              <w:bottom w:val="single" w:sz="8" w:color="231F20"/>
            </w:tcBorders>
          </w:tcPr>
          <w:p>
            <w:pPr>
              <w:spacing w:after="0" w:line="146" w:lineRule="exact"/>
              <w:rPr>
                <w:sz w:val="20"/>
                <w:szCs w:val="20"/>
                <w:color w:val="auto"/>
              </w:rPr>
            </w:pPr>
            <w:r>
              <w:rPr>
                <w:rFonts w:ascii="Arial" w:cs="Arial" w:eastAsia="Arial" w:hAnsi="Arial"/>
                <w:sz w:val="14"/>
                <w:szCs w:val="14"/>
                <w:color w:val="231F20"/>
              </w:rPr>
              <w:t>Daniel J. Hilferty</w:t>
            </w:r>
          </w:p>
        </w:tc>
        <w:tc>
          <w:tcPr>
            <w:tcW w:w="2120" w:type="dxa"/>
            <w:vAlign w:val="bottom"/>
            <w:tcBorders>
              <w:bottom w:val="single" w:sz="8" w:color="231F20"/>
            </w:tcBorders>
          </w:tcPr>
          <w:p>
            <w:pPr>
              <w:jc w:val="right"/>
              <w:ind w:right="8"/>
              <w:spacing w:after="0" w:line="146" w:lineRule="exact"/>
              <w:rPr>
                <w:sz w:val="20"/>
                <w:szCs w:val="20"/>
                <w:color w:val="auto"/>
              </w:rPr>
            </w:pPr>
            <w:r>
              <w:rPr>
                <w:rFonts w:ascii="Arial" w:cs="Arial" w:eastAsia="Arial" w:hAnsi="Arial"/>
                <w:sz w:val="14"/>
                <w:szCs w:val="14"/>
                <w:color w:val="231F20"/>
              </w:rPr>
              <w:t>20,117</w:t>
            </w:r>
          </w:p>
        </w:tc>
        <w:tc>
          <w:tcPr>
            <w:tcW w:w="1900" w:type="dxa"/>
            <w:vAlign w:val="bottom"/>
            <w:tcBorders>
              <w:bottom w:val="single" w:sz="8" w:color="231F20"/>
            </w:tcBorders>
          </w:tcPr>
          <w:p>
            <w:pPr>
              <w:jc w:val="right"/>
              <w:ind w:right="348"/>
              <w:spacing w:after="0" w:line="146" w:lineRule="exact"/>
              <w:rPr>
                <w:sz w:val="20"/>
                <w:szCs w:val="20"/>
                <w:color w:val="auto"/>
              </w:rPr>
            </w:pPr>
            <w:r>
              <w:rPr>
                <w:rFonts w:ascii="Arial" w:cs="Arial" w:eastAsia="Arial" w:hAnsi="Arial"/>
                <w:sz w:val="14"/>
                <w:szCs w:val="14"/>
                <w:color w:val="231F20"/>
              </w:rPr>
              <w:t>—</w:t>
            </w:r>
          </w:p>
        </w:tc>
        <w:tc>
          <w:tcPr>
            <w:tcW w:w="1300" w:type="dxa"/>
            <w:vAlign w:val="bottom"/>
            <w:tcBorders>
              <w:bottom w:val="single" w:sz="8" w:color="231F20"/>
            </w:tcBorders>
          </w:tcPr>
          <w:p>
            <w:pPr>
              <w:jc w:val="right"/>
              <w:ind w:right="88"/>
              <w:spacing w:after="0" w:line="146" w:lineRule="exact"/>
              <w:rPr>
                <w:sz w:val="20"/>
                <w:szCs w:val="20"/>
                <w:color w:val="auto"/>
              </w:rPr>
            </w:pPr>
            <w:r>
              <w:rPr>
                <w:rFonts w:ascii="Arial" w:cs="Arial" w:eastAsia="Arial" w:hAnsi="Arial"/>
                <w:sz w:val="14"/>
                <w:szCs w:val="14"/>
                <w:color w:val="231F20"/>
              </w:rPr>
              <w:t>20,117</w:t>
            </w:r>
          </w:p>
        </w:tc>
        <w:tc>
          <w:tcPr>
            <w:tcW w:w="1580" w:type="dxa"/>
            <w:vAlign w:val="bottom"/>
            <w:tcBorders>
              <w:bottom w:val="single" w:sz="8" w:color="231F20"/>
            </w:tcBorders>
          </w:tcPr>
          <w:p>
            <w:pPr>
              <w:jc w:val="right"/>
              <w:ind w:right="8"/>
              <w:spacing w:after="0" w:line="146" w:lineRule="exact"/>
              <w:rPr>
                <w:sz w:val="20"/>
                <w:szCs w:val="20"/>
                <w:color w:val="auto"/>
              </w:rPr>
            </w:pPr>
            <w:r>
              <w:rPr>
                <w:rFonts w:ascii="Arial" w:cs="Arial" w:eastAsia="Arial" w:hAnsi="Arial"/>
                <w:sz w:val="14"/>
                <w:szCs w:val="14"/>
                <w:color w:val="231F20"/>
              </w:rPr>
              <w:t>*</w:t>
            </w:r>
          </w:p>
        </w:tc>
        <w:tc>
          <w:tcPr>
            <w:tcW w:w="0" w:type="dxa"/>
            <w:vAlign w:val="bottom"/>
          </w:tcPr>
          <w:p>
            <w:pPr>
              <w:spacing w:after="0"/>
              <w:rPr>
                <w:sz w:val="1"/>
                <w:szCs w:val="1"/>
                <w:color w:val="auto"/>
              </w:rPr>
            </w:pPr>
          </w:p>
        </w:tc>
      </w:tr>
      <w:tr>
        <w:trPr>
          <w:trHeight w:val="146"/>
        </w:trPr>
        <w:tc>
          <w:tcPr>
            <w:tcW w:w="4340" w:type="dxa"/>
            <w:vAlign w:val="bottom"/>
            <w:tcBorders>
              <w:bottom w:val="single" w:sz="8" w:color="231F20"/>
            </w:tcBorders>
          </w:tcPr>
          <w:p>
            <w:pPr>
              <w:spacing w:after="0" w:line="146" w:lineRule="exact"/>
              <w:rPr>
                <w:sz w:val="20"/>
                <w:szCs w:val="20"/>
                <w:color w:val="auto"/>
              </w:rPr>
            </w:pPr>
            <w:r>
              <w:rPr>
                <w:rFonts w:ascii="Arial" w:cs="Arial" w:eastAsia="Arial" w:hAnsi="Arial"/>
                <w:sz w:val="14"/>
                <w:szCs w:val="14"/>
                <w:color w:val="231F20"/>
              </w:rPr>
              <w:t>Francis O. Idehen</w:t>
            </w:r>
          </w:p>
        </w:tc>
        <w:tc>
          <w:tcPr>
            <w:tcW w:w="2120" w:type="dxa"/>
            <w:vAlign w:val="bottom"/>
            <w:tcBorders>
              <w:bottom w:val="single" w:sz="8" w:color="231F20"/>
            </w:tcBorders>
          </w:tcPr>
          <w:p>
            <w:pPr>
              <w:jc w:val="right"/>
              <w:ind w:right="8"/>
              <w:spacing w:after="0" w:line="146" w:lineRule="exact"/>
              <w:rPr>
                <w:sz w:val="20"/>
                <w:szCs w:val="20"/>
                <w:color w:val="auto"/>
              </w:rPr>
            </w:pPr>
            <w:r>
              <w:rPr>
                <w:rFonts w:ascii="Arial" w:cs="Arial" w:eastAsia="Arial" w:hAnsi="Arial"/>
                <w:sz w:val="14"/>
                <w:szCs w:val="14"/>
                <w:color w:val="231F20"/>
              </w:rPr>
              <w:t>3,895</w:t>
            </w:r>
          </w:p>
        </w:tc>
        <w:tc>
          <w:tcPr>
            <w:tcW w:w="1900" w:type="dxa"/>
            <w:vAlign w:val="bottom"/>
            <w:tcBorders>
              <w:bottom w:val="single" w:sz="8" w:color="231F20"/>
            </w:tcBorders>
          </w:tcPr>
          <w:p>
            <w:pPr>
              <w:jc w:val="right"/>
              <w:ind w:right="348"/>
              <w:spacing w:after="0" w:line="146" w:lineRule="exact"/>
              <w:rPr>
                <w:sz w:val="20"/>
                <w:szCs w:val="20"/>
                <w:color w:val="auto"/>
              </w:rPr>
            </w:pPr>
            <w:r>
              <w:rPr>
                <w:rFonts w:ascii="Arial" w:cs="Arial" w:eastAsia="Arial" w:hAnsi="Arial"/>
                <w:sz w:val="14"/>
                <w:szCs w:val="14"/>
                <w:color w:val="231F20"/>
              </w:rPr>
              <w:t>—</w:t>
            </w:r>
          </w:p>
        </w:tc>
        <w:tc>
          <w:tcPr>
            <w:tcW w:w="1300" w:type="dxa"/>
            <w:vAlign w:val="bottom"/>
            <w:tcBorders>
              <w:bottom w:val="single" w:sz="8" w:color="231F20"/>
            </w:tcBorders>
          </w:tcPr>
          <w:p>
            <w:pPr>
              <w:jc w:val="right"/>
              <w:ind w:right="88"/>
              <w:spacing w:after="0" w:line="146" w:lineRule="exact"/>
              <w:rPr>
                <w:sz w:val="20"/>
                <w:szCs w:val="20"/>
                <w:color w:val="auto"/>
              </w:rPr>
            </w:pPr>
            <w:r>
              <w:rPr>
                <w:rFonts w:ascii="Arial" w:cs="Arial" w:eastAsia="Arial" w:hAnsi="Arial"/>
                <w:sz w:val="14"/>
                <w:szCs w:val="14"/>
                <w:color w:val="231F20"/>
              </w:rPr>
              <w:t>3,895</w:t>
            </w:r>
          </w:p>
        </w:tc>
        <w:tc>
          <w:tcPr>
            <w:tcW w:w="1580" w:type="dxa"/>
            <w:vAlign w:val="bottom"/>
            <w:tcBorders>
              <w:bottom w:val="single" w:sz="8" w:color="231F20"/>
            </w:tcBorders>
          </w:tcPr>
          <w:p>
            <w:pPr>
              <w:jc w:val="right"/>
              <w:ind w:right="8"/>
              <w:spacing w:after="0" w:line="146" w:lineRule="exact"/>
              <w:rPr>
                <w:sz w:val="20"/>
                <w:szCs w:val="20"/>
                <w:color w:val="auto"/>
              </w:rPr>
            </w:pPr>
            <w:r>
              <w:rPr>
                <w:rFonts w:ascii="Arial" w:cs="Arial" w:eastAsia="Arial" w:hAnsi="Arial"/>
                <w:sz w:val="14"/>
                <w:szCs w:val="14"/>
                <w:color w:val="231F20"/>
              </w:rPr>
              <w:t>*</w:t>
            </w:r>
          </w:p>
        </w:tc>
        <w:tc>
          <w:tcPr>
            <w:tcW w:w="0" w:type="dxa"/>
            <w:vAlign w:val="bottom"/>
          </w:tcPr>
          <w:p>
            <w:pPr>
              <w:spacing w:after="0"/>
              <w:rPr>
                <w:sz w:val="1"/>
                <w:szCs w:val="1"/>
                <w:color w:val="auto"/>
              </w:rPr>
            </w:pPr>
          </w:p>
        </w:tc>
      </w:tr>
      <w:tr>
        <w:trPr>
          <w:trHeight w:val="184"/>
        </w:trPr>
        <w:tc>
          <w:tcPr>
            <w:tcW w:w="4340" w:type="dxa"/>
            <w:vAlign w:val="bottom"/>
            <w:tcBorders>
              <w:bottom w:val="single" w:sz="8" w:color="231F20"/>
            </w:tcBorders>
          </w:tcPr>
          <w:p>
            <w:pPr>
              <w:spacing w:after="0" w:line="185" w:lineRule="exact"/>
              <w:rPr>
                <w:sz w:val="20"/>
                <w:szCs w:val="20"/>
                <w:color w:val="auto"/>
              </w:rPr>
            </w:pPr>
            <w:r>
              <w:rPr>
                <w:rFonts w:ascii="Arial" w:cs="Arial" w:eastAsia="Arial" w:hAnsi="Arial"/>
                <w:sz w:val="13"/>
                <w:szCs w:val="13"/>
                <w:color w:val="231F20"/>
              </w:rPr>
              <w:t>Edwina Kelly</w:t>
            </w:r>
            <w:r>
              <w:rPr>
                <w:rFonts w:ascii="Arial" w:cs="Arial" w:eastAsia="Arial" w:hAnsi="Arial"/>
                <w:sz w:val="21"/>
                <w:szCs w:val="21"/>
                <w:color w:val="231F20"/>
                <w:vertAlign w:val="superscript"/>
              </w:rPr>
              <w:t>(6)</w:t>
            </w:r>
          </w:p>
        </w:tc>
        <w:tc>
          <w:tcPr>
            <w:tcW w:w="2120" w:type="dxa"/>
            <w:vAlign w:val="bottom"/>
            <w:tcBorders>
              <w:bottom w:val="single" w:sz="8" w:color="231F20"/>
            </w:tcBorders>
          </w:tcPr>
          <w:p>
            <w:pPr>
              <w:jc w:val="right"/>
              <w:ind w:right="8"/>
              <w:spacing w:after="0"/>
              <w:rPr>
                <w:sz w:val="20"/>
                <w:szCs w:val="20"/>
                <w:color w:val="auto"/>
              </w:rPr>
            </w:pPr>
            <w:r>
              <w:rPr>
                <w:rFonts w:ascii="Arial" w:cs="Arial" w:eastAsia="Arial" w:hAnsi="Arial"/>
                <w:sz w:val="14"/>
                <w:szCs w:val="14"/>
                <w:color w:val="231F20"/>
              </w:rPr>
              <w:t>—</w:t>
            </w:r>
          </w:p>
        </w:tc>
        <w:tc>
          <w:tcPr>
            <w:tcW w:w="1900" w:type="dxa"/>
            <w:vAlign w:val="bottom"/>
            <w:tcBorders>
              <w:bottom w:val="single" w:sz="8" w:color="231F20"/>
            </w:tcBorders>
          </w:tcPr>
          <w:p>
            <w:pPr>
              <w:jc w:val="right"/>
              <w:ind w:right="348"/>
              <w:spacing w:after="0"/>
              <w:rPr>
                <w:sz w:val="20"/>
                <w:szCs w:val="20"/>
                <w:color w:val="auto"/>
              </w:rPr>
            </w:pPr>
            <w:r>
              <w:rPr>
                <w:rFonts w:ascii="Arial" w:cs="Arial" w:eastAsia="Arial" w:hAnsi="Arial"/>
                <w:sz w:val="14"/>
                <w:szCs w:val="14"/>
                <w:color w:val="231F20"/>
              </w:rPr>
              <w:t>—</w:t>
            </w:r>
          </w:p>
        </w:tc>
        <w:tc>
          <w:tcPr>
            <w:tcW w:w="1300" w:type="dxa"/>
            <w:vAlign w:val="bottom"/>
            <w:tcBorders>
              <w:bottom w:val="single" w:sz="8" w:color="231F20"/>
            </w:tcBorders>
          </w:tcPr>
          <w:p>
            <w:pPr>
              <w:jc w:val="right"/>
              <w:ind w:right="88"/>
              <w:spacing w:after="0"/>
              <w:rPr>
                <w:sz w:val="20"/>
                <w:szCs w:val="20"/>
                <w:color w:val="auto"/>
              </w:rPr>
            </w:pPr>
            <w:r>
              <w:rPr>
                <w:rFonts w:ascii="Arial" w:cs="Arial" w:eastAsia="Arial" w:hAnsi="Arial"/>
                <w:sz w:val="14"/>
                <w:szCs w:val="14"/>
                <w:color w:val="231F20"/>
              </w:rPr>
              <w:t>—</w:t>
            </w:r>
          </w:p>
        </w:tc>
        <w:tc>
          <w:tcPr>
            <w:tcW w:w="1580" w:type="dxa"/>
            <w:vAlign w:val="bottom"/>
            <w:tcBorders>
              <w:bottom w:val="single" w:sz="8" w:color="231F20"/>
            </w:tcBorders>
          </w:tcPr>
          <w:p>
            <w:pPr>
              <w:spacing w:after="0"/>
              <w:rPr>
                <w:sz w:val="16"/>
                <w:szCs w:val="16"/>
                <w:color w:val="auto"/>
              </w:rPr>
            </w:pPr>
          </w:p>
        </w:tc>
        <w:tc>
          <w:tcPr>
            <w:tcW w:w="0" w:type="dxa"/>
            <w:vAlign w:val="bottom"/>
          </w:tcPr>
          <w:p>
            <w:pPr>
              <w:spacing w:after="0"/>
              <w:rPr>
                <w:sz w:val="1"/>
                <w:szCs w:val="1"/>
                <w:color w:val="auto"/>
              </w:rPr>
            </w:pPr>
          </w:p>
        </w:tc>
      </w:tr>
      <w:tr>
        <w:trPr>
          <w:trHeight w:val="146"/>
        </w:trPr>
        <w:tc>
          <w:tcPr>
            <w:tcW w:w="4340" w:type="dxa"/>
            <w:vAlign w:val="bottom"/>
            <w:tcBorders>
              <w:bottom w:val="single" w:sz="8" w:color="231F20"/>
            </w:tcBorders>
          </w:tcPr>
          <w:p>
            <w:pPr>
              <w:spacing w:after="0" w:line="146" w:lineRule="exact"/>
              <w:rPr>
                <w:sz w:val="20"/>
                <w:szCs w:val="20"/>
                <w:color w:val="auto"/>
              </w:rPr>
            </w:pPr>
            <w:r>
              <w:rPr>
                <w:rFonts w:ascii="Arial" w:cs="Arial" w:eastAsia="Arial" w:hAnsi="Arial"/>
                <w:sz w:val="14"/>
                <w:szCs w:val="14"/>
                <w:color w:val="231F20"/>
              </w:rPr>
              <w:t>Christopher P. Luning</w:t>
            </w:r>
          </w:p>
        </w:tc>
        <w:tc>
          <w:tcPr>
            <w:tcW w:w="2120" w:type="dxa"/>
            <w:vAlign w:val="bottom"/>
            <w:tcBorders>
              <w:bottom w:val="single" w:sz="8" w:color="231F20"/>
            </w:tcBorders>
          </w:tcPr>
          <w:p>
            <w:pPr>
              <w:jc w:val="right"/>
              <w:ind w:right="8"/>
              <w:spacing w:after="0" w:line="146" w:lineRule="exact"/>
              <w:rPr>
                <w:sz w:val="20"/>
                <w:szCs w:val="20"/>
                <w:color w:val="auto"/>
              </w:rPr>
            </w:pPr>
            <w:r>
              <w:rPr>
                <w:rFonts w:ascii="Arial" w:cs="Arial" w:eastAsia="Arial" w:hAnsi="Arial"/>
                <w:sz w:val="14"/>
                <w:szCs w:val="14"/>
                <w:color w:val="231F20"/>
              </w:rPr>
              <w:t>43,932</w:t>
            </w:r>
          </w:p>
        </w:tc>
        <w:tc>
          <w:tcPr>
            <w:tcW w:w="1900" w:type="dxa"/>
            <w:vAlign w:val="bottom"/>
            <w:tcBorders>
              <w:bottom w:val="single" w:sz="8" w:color="231F20"/>
            </w:tcBorders>
          </w:tcPr>
          <w:p>
            <w:pPr>
              <w:jc w:val="right"/>
              <w:ind w:right="348"/>
              <w:spacing w:after="0" w:line="146" w:lineRule="exact"/>
              <w:rPr>
                <w:sz w:val="20"/>
                <w:szCs w:val="20"/>
                <w:color w:val="auto"/>
              </w:rPr>
            </w:pPr>
            <w:r>
              <w:rPr>
                <w:rFonts w:ascii="Arial" w:cs="Arial" w:eastAsia="Arial" w:hAnsi="Arial"/>
                <w:sz w:val="14"/>
                <w:szCs w:val="14"/>
                <w:color w:val="231F20"/>
              </w:rPr>
              <w:t>—</w:t>
            </w:r>
          </w:p>
        </w:tc>
        <w:tc>
          <w:tcPr>
            <w:tcW w:w="1300" w:type="dxa"/>
            <w:vAlign w:val="bottom"/>
            <w:tcBorders>
              <w:bottom w:val="single" w:sz="8" w:color="231F20"/>
            </w:tcBorders>
          </w:tcPr>
          <w:p>
            <w:pPr>
              <w:jc w:val="right"/>
              <w:ind w:right="88"/>
              <w:spacing w:after="0" w:line="146" w:lineRule="exact"/>
              <w:rPr>
                <w:sz w:val="20"/>
                <w:szCs w:val="20"/>
                <w:color w:val="auto"/>
              </w:rPr>
            </w:pPr>
            <w:r>
              <w:rPr>
                <w:rFonts w:ascii="Arial" w:cs="Arial" w:eastAsia="Arial" w:hAnsi="Arial"/>
                <w:sz w:val="14"/>
                <w:szCs w:val="14"/>
                <w:color w:val="231F20"/>
              </w:rPr>
              <w:t>43,932</w:t>
            </w:r>
          </w:p>
        </w:tc>
        <w:tc>
          <w:tcPr>
            <w:tcW w:w="1580" w:type="dxa"/>
            <w:vAlign w:val="bottom"/>
            <w:tcBorders>
              <w:bottom w:val="single" w:sz="8" w:color="231F20"/>
            </w:tcBorders>
          </w:tcPr>
          <w:p>
            <w:pPr>
              <w:jc w:val="right"/>
              <w:ind w:right="8"/>
              <w:spacing w:after="0" w:line="146" w:lineRule="exact"/>
              <w:rPr>
                <w:sz w:val="20"/>
                <w:szCs w:val="20"/>
                <w:color w:val="auto"/>
              </w:rPr>
            </w:pPr>
            <w:r>
              <w:rPr>
                <w:rFonts w:ascii="Arial" w:cs="Arial" w:eastAsia="Arial" w:hAnsi="Arial"/>
                <w:sz w:val="14"/>
                <w:szCs w:val="14"/>
                <w:color w:val="231F20"/>
              </w:rPr>
              <w:t>*</w:t>
            </w:r>
          </w:p>
        </w:tc>
        <w:tc>
          <w:tcPr>
            <w:tcW w:w="0" w:type="dxa"/>
            <w:vAlign w:val="bottom"/>
          </w:tcPr>
          <w:p>
            <w:pPr>
              <w:spacing w:after="0"/>
              <w:rPr>
                <w:sz w:val="1"/>
                <w:szCs w:val="1"/>
                <w:color w:val="auto"/>
              </w:rPr>
            </w:pPr>
          </w:p>
        </w:tc>
      </w:tr>
      <w:tr>
        <w:trPr>
          <w:trHeight w:val="146"/>
        </w:trPr>
        <w:tc>
          <w:tcPr>
            <w:tcW w:w="4340" w:type="dxa"/>
            <w:vAlign w:val="bottom"/>
            <w:tcBorders>
              <w:bottom w:val="single" w:sz="8" w:color="231F20"/>
            </w:tcBorders>
          </w:tcPr>
          <w:p>
            <w:pPr>
              <w:spacing w:after="0" w:line="146" w:lineRule="exact"/>
              <w:rPr>
                <w:sz w:val="20"/>
                <w:szCs w:val="20"/>
                <w:color w:val="auto"/>
              </w:rPr>
            </w:pPr>
            <w:r>
              <w:rPr>
                <w:rFonts w:ascii="Arial" w:cs="Arial" w:eastAsia="Arial" w:hAnsi="Arial"/>
                <w:sz w:val="14"/>
                <w:szCs w:val="14"/>
                <w:color w:val="231F20"/>
              </w:rPr>
              <w:t>Matthew R. Rhodes</w:t>
            </w:r>
          </w:p>
        </w:tc>
        <w:tc>
          <w:tcPr>
            <w:tcW w:w="2120" w:type="dxa"/>
            <w:vAlign w:val="bottom"/>
            <w:tcBorders>
              <w:bottom w:val="single" w:sz="8" w:color="231F20"/>
            </w:tcBorders>
          </w:tcPr>
          <w:p>
            <w:pPr>
              <w:jc w:val="right"/>
              <w:ind w:right="8"/>
              <w:spacing w:after="0" w:line="146" w:lineRule="exact"/>
              <w:rPr>
                <w:sz w:val="20"/>
                <w:szCs w:val="20"/>
                <w:color w:val="auto"/>
              </w:rPr>
            </w:pPr>
            <w:r>
              <w:rPr>
                <w:rFonts w:ascii="Arial" w:cs="Arial" w:eastAsia="Arial" w:hAnsi="Arial"/>
                <w:sz w:val="14"/>
                <w:szCs w:val="14"/>
                <w:color w:val="231F20"/>
              </w:rPr>
              <w:t>14,167</w:t>
            </w:r>
          </w:p>
        </w:tc>
        <w:tc>
          <w:tcPr>
            <w:tcW w:w="1900" w:type="dxa"/>
            <w:vAlign w:val="bottom"/>
            <w:tcBorders>
              <w:bottom w:val="single" w:sz="8" w:color="231F20"/>
            </w:tcBorders>
          </w:tcPr>
          <w:p>
            <w:pPr>
              <w:jc w:val="right"/>
              <w:ind w:right="348"/>
              <w:spacing w:after="0" w:line="146" w:lineRule="exact"/>
              <w:rPr>
                <w:sz w:val="20"/>
                <w:szCs w:val="20"/>
                <w:color w:val="auto"/>
              </w:rPr>
            </w:pPr>
            <w:r>
              <w:rPr>
                <w:rFonts w:ascii="Arial" w:cs="Arial" w:eastAsia="Arial" w:hAnsi="Arial"/>
                <w:sz w:val="14"/>
                <w:szCs w:val="14"/>
                <w:color w:val="231F20"/>
              </w:rPr>
              <w:t>—</w:t>
            </w:r>
          </w:p>
        </w:tc>
        <w:tc>
          <w:tcPr>
            <w:tcW w:w="1300" w:type="dxa"/>
            <w:vAlign w:val="bottom"/>
            <w:tcBorders>
              <w:bottom w:val="single" w:sz="8" w:color="231F20"/>
            </w:tcBorders>
          </w:tcPr>
          <w:p>
            <w:pPr>
              <w:jc w:val="right"/>
              <w:ind w:right="88"/>
              <w:spacing w:after="0" w:line="146" w:lineRule="exact"/>
              <w:rPr>
                <w:sz w:val="20"/>
                <w:szCs w:val="20"/>
                <w:color w:val="auto"/>
              </w:rPr>
            </w:pPr>
            <w:r>
              <w:rPr>
                <w:rFonts w:ascii="Arial" w:cs="Arial" w:eastAsia="Arial" w:hAnsi="Arial"/>
                <w:sz w:val="14"/>
                <w:szCs w:val="14"/>
                <w:color w:val="231F20"/>
              </w:rPr>
              <w:t>14,167</w:t>
            </w:r>
          </w:p>
        </w:tc>
        <w:tc>
          <w:tcPr>
            <w:tcW w:w="1580" w:type="dxa"/>
            <w:vAlign w:val="bottom"/>
            <w:tcBorders>
              <w:bottom w:val="single" w:sz="8" w:color="231F20"/>
            </w:tcBorders>
          </w:tcPr>
          <w:p>
            <w:pPr>
              <w:jc w:val="right"/>
              <w:ind w:right="8"/>
              <w:spacing w:after="0" w:line="146" w:lineRule="exact"/>
              <w:rPr>
                <w:sz w:val="20"/>
                <w:szCs w:val="20"/>
                <w:color w:val="auto"/>
              </w:rPr>
            </w:pPr>
            <w:r>
              <w:rPr>
                <w:rFonts w:ascii="Arial" w:cs="Arial" w:eastAsia="Arial" w:hAnsi="Arial"/>
                <w:sz w:val="14"/>
                <w:szCs w:val="14"/>
                <w:color w:val="231F20"/>
              </w:rPr>
              <w:t>*</w:t>
            </w:r>
          </w:p>
        </w:tc>
        <w:tc>
          <w:tcPr>
            <w:tcW w:w="0" w:type="dxa"/>
            <w:vAlign w:val="bottom"/>
          </w:tcPr>
          <w:p>
            <w:pPr>
              <w:spacing w:after="0"/>
              <w:rPr>
                <w:sz w:val="1"/>
                <w:szCs w:val="1"/>
                <w:color w:val="auto"/>
              </w:rPr>
            </w:pPr>
          </w:p>
        </w:tc>
      </w:tr>
      <w:tr>
        <w:trPr>
          <w:trHeight w:val="146"/>
        </w:trPr>
        <w:tc>
          <w:tcPr>
            <w:tcW w:w="4340" w:type="dxa"/>
            <w:vAlign w:val="bottom"/>
            <w:tcBorders>
              <w:bottom w:val="single" w:sz="8" w:color="231F20"/>
            </w:tcBorders>
          </w:tcPr>
          <w:p>
            <w:pPr>
              <w:spacing w:after="0" w:line="146" w:lineRule="exact"/>
              <w:rPr>
                <w:sz w:val="20"/>
                <w:szCs w:val="20"/>
                <w:color w:val="auto"/>
              </w:rPr>
            </w:pPr>
            <w:r>
              <w:rPr>
                <w:rFonts w:ascii="Arial" w:cs="Arial" w:eastAsia="Arial" w:hAnsi="Arial"/>
                <w:sz w:val="14"/>
                <w:szCs w:val="14"/>
                <w:color w:val="231F20"/>
              </w:rPr>
              <w:t>Ellen T. Ruff</w:t>
            </w:r>
          </w:p>
        </w:tc>
        <w:tc>
          <w:tcPr>
            <w:tcW w:w="2120" w:type="dxa"/>
            <w:vAlign w:val="bottom"/>
            <w:tcBorders>
              <w:bottom w:val="single" w:sz="8" w:color="231F20"/>
            </w:tcBorders>
          </w:tcPr>
          <w:p>
            <w:pPr>
              <w:jc w:val="right"/>
              <w:ind w:right="8"/>
              <w:spacing w:after="0" w:line="146" w:lineRule="exact"/>
              <w:rPr>
                <w:sz w:val="20"/>
                <w:szCs w:val="20"/>
                <w:color w:val="auto"/>
              </w:rPr>
            </w:pPr>
            <w:r>
              <w:rPr>
                <w:rFonts w:ascii="Arial" w:cs="Arial" w:eastAsia="Arial" w:hAnsi="Arial"/>
                <w:sz w:val="14"/>
                <w:szCs w:val="14"/>
                <w:color w:val="231F20"/>
              </w:rPr>
              <w:t>31,637</w:t>
            </w:r>
          </w:p>
        </w:tc>
        <w:tc>
          <w:tcPr>
            <w:tcW w:w="1900" w:type="dxa"/>
            <w:vAlign w:val="bottom"/>
            <w:tcBorders>
              <w:bottom w:val="single" w:sz="8" w:color="231F20"/>
            </w:tcBorders>
          </w:tcPr>
          <w:p>
            <w:pPr>
              <w:jc w:val="right"/>
              <w:ind w:right="348"/>
              <w:spacing w:after="0" w:line="146" w:lineRule="exact"/>
              <w:rPr>
                <w:sz w:val="20"/>
                <w:szCs w:val="20"/>
                <w:color w:val="auto"/>
              </w:rPr>
            </w:pPr>
            <w:r>
              <w:rPr>
                <w:rFonts w:ascii="Arial" w:cs="Arial" w:eastAsia="Arial" w:hAnsi="Arial"/>
                <w:sz w:val="14"/>
                <w:szCs w:val="14"/>
                <w:color w:val="231F20"/>
              </w:rPr>
              <w:t>—</w:t>
            </w:r>
          </w:p>
        </w:tc>
        <w:tc>
          <w:tcPr>
            <w:tcW w:w="1300" w:type="dxa"/>
            <w:vAlign w:val="bottom"/>
            <w:tcBorders>
              <w:bottom w:val="single" w:sz="8" w:color="231F20"/>
            </w:tcBorders>
          </w:tcPr>
          <w:p>
            <w:pPr>
              <w:jc w:val="right"/>
              <w:ind w:right="88"/>
              <w:spacing w:after="0" w:line="146" w:lineRule="exact"/>
              <w:rPr>
                <w:sz w:val="20"/>
                <w:szCs w:val="20"/>
                <w:color w:val="auto"/>
              </w:rPr>
            </w:pPr>
            <w:r>
              <w:rPr>
                <w:rFonts w:ascii="Arial" w:cs="Arial" w:eastAsia="Arial" w:hAnsi="Arial"/>
                <w:sz w:val="14"/>
                <w:szCs w:val="14"/>
                <w:color w:val="231F20"/>
              </w:rPr>
              <w:t>31,637</w:t>
            </w:r>
          </w:p>
        </w:tc>
        <w:tc>
          <w:tcPr>
            <w:tcW w:w="1580" w:type="dxa"/>
            <w:vAlign w:val="bottom"/>
            <w:tcBorders>
              <w:bottom w:val="single" w:sz="8" w:color="231F20"/>
            </w:tcBorders>
          </w:tcPr>
          <w:p>
            <w:pPr>
              <w:jc w:val="right"/>
              <w:ind w:right="8"/>
              <w:spacing w:after="0" w:line="146" w:lineRule="exact"/>
              <w:rPr>
                <w:sz w:val="20"/>
                <w:szCs w:val="20"/>
                <w:color w:val="auto"/>
              </w:rPr>
            </w:pPr>
            <w:r>
              <w:rPr>
                <w:rFonts w:ascii="Arial" w:cs="Arial" w:eastAsia="Arial" w:hAnsi="Arial"/>
                <w:sz w:val="14"/>
                <w:szCs w:val="14"/>
                <w:color w:val="231F20"/>
              </w:rPr>
              <w:t>*</w:t>
            </w:r>
          </w:p>
        </w:tc>
        <w:tc>
          <w:tcPr>
            <w:tcW w:w="0" w:type="dxa"/>
            <w:vAlign w:val="bottom"/>
          </w:tcPr>
          <w:p>
            <w:pPr>
              <w:spacing w:after="0"/>
              <w:rPr>
                <w:sz w:val="1"/>
                <w:szCs w:val="1"/>
                <w:color w:val="auto"/>
              </w:rPr>
            </w:pPr>
          </w:p>
        </w:tc>
      </w:tr>
      <w:tr>
        <w:trPr>
          <w:trHeight w:val="146"/>
        </w:trPr>
        <w:tc>
          <w:tcPr>
            <w:tcW w:w="4340" w:type="dxa"/>
            <w:vAlign w:val="bottom"/>
            <w:tcBorders>
              <w:bottom w:val="single" w:sz="8" w:color="231F20"/>
            </w:tcBorders>
          </w:tcPr>
          <w:p>
            <w:pPr>
              <w:spacing w:after="0" w:line="146" w:lineRule="exact"/>
              <w:rPr>
                <w:sz w:val="20"/>
                <w:szCs w:val="20"/>
                <w:color w:val="auto"/>
              </w:rPr>
            </w:pPr>
            <w:r>
              <w:rPr>
                <w:rFonts w:ascii="Arial" w:cs="Arial" w:eastAsia="Arial" w:hAnsi="Arial"/>
                <w:sz w:val="14"/>
                <w:szCs w:val="14"/>
                <w:color w:val="231F20"/>
              </w:rPr>
              <w:t>Daniel J. Schuller</w:t>
            </w:r>
          </w:p>
        </w:tc>
        <w:tc>
          <w:tcPr>
            <w:tcW w:w="2120" w:type="dxa"/>
            <w:vAlign w:val="bottom"/>
            <w:tcBorders>
              <w:bottom w:val="single" w:sz="8" w:color="231F20"/>
            </w:tcBorders>
          </w:tcPr>
          <w:p>
            <w:pPr>
              <w:jc w:val="right"/>
              <w:ind w:right="8"/>
              <w:spacing w:after="0" w:line="146" w:lineRule="exact"/>
              <w:rPr>
                <w:sz w:val="20"/>
                <w:szCs w:val="20"/>
                <w:color w:val="auto"/>
              </w:rPr>
            </w:pPr>
            <w:r>
              <w:rPr>
                <w:rFonts w:ascii="Arial" w:cs="Arial" w:eastAsia="Arial" w:hAnsi="Arial"/>
                <w:sz w:val="14"/>
                <w:szCs w:val="14"/>
                <w:color w:val="231F20"/>
              </w:rPr>
              <w:t>30,508</w:t>
            </w:r>
          </w:p>
        </w:tc>
        <w:tc>
          <w:tcPr>
            <w:tcW w:w="1900" w:type="dxa"/>
            <w:vAlign w:val="bottom"/>
            <w:tcBorders>
              <w:bottom w:val="single" w:sz="8" w:color="231F20"/>
            </w:tcBorders>
          </w:tcPr>
          <w:p>
            <w:pPr>
              <w:jc w:val="right"/>
              <w:ind w:right="348"/>
              <w:spacing w:after="0" w:line="146" w:lineRule="exact"/>
              <w:rPr>
                <w:sz w:val="20"/>
                <w:szCs w:val="20"/>
                <w:color w:val="auto"/>
              </w:rPr>
            </w:pPr>
            <w:r>
              <w:rPr>
                <w:rFonts w:ascii="Arial" w:cs="Arial" w:eastAsia="Arial" w:hAnsi="Arial"/>
                <w:sz w:val="14"/>
                <w:szCs w:val="14"/>
                <w:color w:val="231F20"/>
              </w:rPr>
              <w:t>—</w:t>
            </w:r>
          </w:p>
        </w:tc>
        <w:tc>
          <w:tcPr>
            <w:tcW w:w="1300" w:type="dxa"/>
            <w:vAlign w:val="bottom"/>
            <w:tcBorders>
              <w:bottom w:val="single" w:sz="8" w:color="231F20"/>
            </w:tcBorders>
          </w:tcPr>
          <w:p>
            <w:pPr>
              <w:jc w:val="right"/>
              <w:ind w:right="88"/>
              <w:spacing w:after="0" w:line="146" w:lineRule="exact"/>
              <w:rPr>
                <w:sz w:val="20"/>
                <w:szCs w:val="20"/>
                <w:color w:val="auto"/>
              </w:rPr>
            </w:pPr>
            <w:r>
              <w:rPr>
                <w:rFonts w:ascii="Arial" w:cs="Arial" w:eastAsia="Arial" w:hAnsi="Arial"/>
                <w:sz w:val="14"/>
                <w:szCs w:val="14"/>
                <w:color w:val="231F20"/>
              </w:rPr>
              <w:t>30,508</w:t>
            </w:r>
          </w:p>
        </w:tc>
        <w:tc>
          <w:tcPr>
            <w:tcW w:w="1580" w:type="dxa"/>
            <w:vAlign w:val="bottom"/>
            <w:tcBorders>
              <w:bottom w:val="single" w:sz="8" w:color="231F20"/>
            </w:tcBorders>
          </w:tcPr>
          <w:p>
            <w:pPr>
              <w:jc w:val="right"/>
              <w:ind w:right="8"/>
              <w:spacing w:after="0" w:line="146" w:lineRule="exact"/>
              <w:rPr>
                <w:sz w:val="20"/>
                <w:szCs w:val="20"/>
                <w:color w:val="auto"/>
              </w:rPr>
            </w:pPr>
            <w:r>
              <w:rPr>
                <w:rFonts w:ascii="Arial" w:cs="Arial" w:eastAsia="Arial" w:hAnsi="Arial"/>
                <w:sz w:val="14"/>
                <w:szCs w:val="14"/>
                <w:color w:val="231F20"/>
              </w:rPr>
              <w:t>*</w:t>
            </w:r>
          </w:p>
        </w:tc>
        <w:tc>
          <w:tcPr>
            <w:tcW w:w="0" w:type="dxa"/>
            <w:vAlign w:val="bottom"/>
          </w:tcPr>
          <w:p>
            <w:pPr>
              <w:spacing w:after="0"/>
              <w:rPr>
                <w:sz w:val="1"/>
                <w:szCs w:val="1"/>
                <w:color w:val="auto"/>
              </w:rPr>
            </w:pPr>
          </w:p>
        </w:tc>
      </w:tr>
      <w:tr>
        <w:trPr>
          <w:trHeight w:val="146"/>
        </w:trPr>
        <w:tc>
          <w:tcPr>
            <w:tcW w:w="4340" w:type="dxa"/>
            <w:vAlign w:val="bottom"/>
            <w:tcBorders>
              <w:bottom w:val="single" w:sz="8" w:color="231F20"/>
            </w:tcBorders>
          </w:tcPr>
          <w:p>
            <w:pPr>
              <w:spacing w:after="0" w:line="146" w:lineRule="exact"/>
              <w:rPr>
                <w:sz w:val="20"/>
                <w:szCs w:val="20"/>
                <w:color w:val="auto"/>
              </w:rPr>
            </w:pPr>
            <w:r>
              <w:rPr>
                <w:rFonts w:ascii="Arial" w:cs="Arial" w:eastAsia="Arial" w:hAnsi="Arial"/>
                <w:sz w:val="14"/>
                <w:szCs w:val="14"/>
                <w:color w:val="231F20"/>
              </w:rPr>
              <w:t>Lee C. Stewart</w:t>
            </w:r>
          </w:p>
        </w:tc>
        <w:tc>
          <w:tcPr>
            <w:tcW w:w="2120" w:type="dxa"/>
            <w:vAlign w:val="bottom"/>
            <w:tcBorders>
              <w:bottom w:val="single" w:sz="8" w:color="231F20"/>
            </w:tcBorders>
          </w:tcPr>
          <w:p>
            <w:pPr>
              <w:jc w:val="right"/>
              <w:ind w:right="8"/>
              <w:spacing w:after="0" w:line="146" w:lineRule="exact"/>
              <w:rPr>
                <w:sz w:val="20"/>
                <w:szCs w:val="20"/>
                <w:color w:val="auto"/>
              </w:rPr>
            </w:pPr>
            <w:r>
              <w:rPr>
                <w:rFonts w:ascii="Arial" w:cs="Arial" w:eastAsia="Arial" w:hAnsi="Arial"/>
                <w:sz w:val="14"/>
                <w:szCs w:val="14"/>
                <w:color w:val="231F20"/>
              </w:rPr>
              <w:t>15,642</w:t>
            </w:r>
          </w:p>
        </w:tc>
        <w:tc>
          <w:tcPr>
            <w:tcW w:w="1900" w:type="dxa"/>
            <w:vAlign w:val="bottom"/>
            <w:tcBorders>
              <w:bottom w:val="single" w:sz="8" w:color="231F20"/>
            </w:tcBorders>
          </w:tcPr>
          <w:p>
            <w:pPr>
              <w:jc w:val="right"/>
              <w:ind w:right="348"/>
              <w:spacing w:after="0" w:line="146" w:lineRule="exact"/>
              <w:rPr>
                <w:sz w:val="20"/>
                <w:szCs w:val="20"/>
                <w:color w:val="auto"/>
              </w:rPr>
            </w:pPr>
            <w:r>
              <w:rPr>
                <w:rFonts w:ascii="Arial" w:cs="Arial" w:eastAsia="Arial" w:hAnsi="Arial"/>
                <w:sz w:val="14"/>
                <w:szCs w:val="14"/>
                <w:color w:val="231F20"/>
              </w:rPr>
              <w:t>—</w:t>
            </w:r>
          </w:p>
        </w:tc>
        <w:tc>
          <w:tcPr>
            <w:tcW w:w="1300" w:type="dxa"/>
            <w:vAlign w:val="bottom"/>
            <w:tcBorders>
              <w:bottom w:val="single" w:sz="8" w:color="231F20"/>
            </w:tcBorders>
          </w:tcPr>
          <w:p>
            <w:pPr>
              <w:jc w:val="right"/>
              <w:ind w:right="88"/>
              <w:spacing w:after="0" w:line="146" w:lineRule="exact"/>
              <w:rPr>
                <w:sz w:val="20"/>
                <w:szCs w:val="20"/>
                <w:color w:val="auto"/>
              </w:rPr>
            </w:pPr>
            <w:r>
              <w:rPr>
                <w:rFonts w:ascii="Arial" w:cs="Arial" w:eastAsia="Arial" w:hAnsi="Arial"/>
                <w:sz w:val="14"/>
                <w:szCs w:val="14"/>
                <w:color w:val="231F20"/>
              </w:rPr>
              <w:t>15,642</w:t>
            </w:r>
          </w:p>
        </w:tc>
        <w:tc>
          <w:tcPr>
            <w:tcW w:w="1580" w:type="dxa"/>
            <w:vAlign w:val="bottom"/>
            <w:tcBorders>
              <w:bottom w:val="single" w:sz="8" w:color="231F20"/>
            </w:tcBorders>
          </w:tcPr>
          <w:p>
            <w:pPr>
              <w:jc w:val="right"/>
              <w:ind w:right="8"/>
              <w:spacing w:after="0" w:line="146" w:lineRule="exact"/>
              <w:rPr>
                <w:sz w:val="20"/>
                <w:szCs w:val="20"/>
                <w:color w:val="auto"/>
              </w:rPr>
            </w:pPr>
            <w:r>
              <w:rPr>
                <w:rFonts w:ascii="Arial" w:cs="Arial" w:eastAsia="Arial" w:hAnsi="Arial"/>
                <w:sz w:val="14"/>
                <w:szCs w:val="14"/>
                <w:color w:val="231F20"/>
              </w:rPr>
              <w:t>*</w:t>
            </w:r>
          </w:p>
        </w:tc>
        <w:tc>
          <w:tcPr>
            <w:tcW w:w="0" w:type="dxa"/>
            <w:vAlign w:val="bottom"/>
          </w:tcPr>
          <w:p>
            <w:pPr>
              <w:spacing w:after="0"/>
              <w:rPr>
                <w:sz w:val="1"/>
                <w:szCs w:val="1"/>
                <w:color w:val="auto"/>
              </w:rPr>
            </w:pPr>
          </w:p>
        </w:tc>
      </w:tr>
      <w:tr>
        <w:trPr>
          <w:trHeight w:val="155"/>
        </w:trPr>
        <w:tc>
          <w:tcPr>
            <w:tcW w:w="4340" w:type="dxa"/>
            <w:vAlign w:val="bottom"/>
          </w:tcPr>
          <w:p>
            <w:pPr>
              <w:spacing w:after="0" w:line="155" w:lineRule="exact"/>
              <w:rPr>
                <w:sz w:val="20"/>
                <w:szCs w:val="20"/>
                <w:color w:val="auto"/>
              </w:rPr>
            </w:pPr>
            <w:r>
              <w:rPr>
                <w:rFonts w:ascii="Arial" w:cs="Arial" w:eastAsia="Arial" w:hAnsi="Arial"/>
                <w:sz w:val="14"/>
                <w:szCs w:val="14"/>
                <w:color w:val="231F20"/>
              </w:rPr>
              <w:t>Christopher C. Womack</w:t>
            </w:r>
          </w:p>
        </w:tc>
        <w:tc>
          <w:tcPr>
            <w:tcW w:w="2120" w:type="dxa"/>
            <w:vAlign w:val="bottom"/>
          </w:tcPr>
          <w:p>
            <w:pPr>
              <w:jc w:val="right"/>
              <w:ind w:right="8"/>
              <w:spacing w:after="0" w:line="155" w:lineRule="exact"/>
              <w:rPr>
                <w:sz w:val="20"/>
                <w:szCs w:val="20"/>
                <w:color w:val="auto"/>
              </w:rPr>
            </w:pPr>
            <w:r>
              <w:rPr>
                <w:rFonts w:ascii="Arial" w:cs="Arial" w:eastAsia="Arial" w:hAnsi="Arial"/>
                <w:sz w:val="14"/>
                <w:szCs w:val="14"/>
                <w:color w:val="231F20"/>
              </w:rPr>
              <w:t>3,895</w:t>
            </w:r>
          </w:p>
        </w:tc>
        <w:tc>
          <w:tcPr>
            <w:tcW w:w="1900" w:type="dxa"/>
            <w:vAlign w:val="bottom"/>
          </w:tcPr>
          <w:p>
            <w:pPr>
              <w:jc w:val="right"/>
              <w:ind w:right="348"/>
              <w:spacing w:after="0" w:line="155" w:lineRule="exact"/>
              <w:rPr>
                <w:sz w:val="20"/>
                <w:szCs w:val="20"/>
                <w:color w:val="auto"/>
              </w:rPr>
            </w:pPr>
            <w:r>
              <w:rPr>
                <w:rFonts w:ascii="Arial" w:cs="Arial" w:eastAsia="Arial" w:hAnsi="Arial"/>
                <w:sz w:val="14"/>
                <w:szCs w:val="14"/>
                <w:color w:val="231F20"/>
              </w:rPr>
              <w:t>—</w:t>
            </w:r>
          </w:p>
        </w:tc>
        <w:tc>
          <w:tcPr>
            <w:tcW w:w="1300" w:type="dxa"/>
            <w:vAlign w:val="bottom"/>
          </w:tcPr>
          <w:p>
            <w:pPr>
              <w:jc w:val="right"/>
              <w:ind w:right="88"/>
              <w:spacing w:after="0" w:line="155" w:lineRule="exact"/>
              <w:rPr>
                <w:sz w:val="20"/>
                <w:szCs w:val="20"/>
                <w:color w:val="auto"/>
              </w:rPr>
            </w:pPr>
            <w:r>
              <w:rPr>
                <w:rFonts w:ascii="Arial" w:cs="Arial" w:eastAsia="Arial" w:hAnsi="Arial"/>
                <w:sz w:val="14"/>
                <w:szCs w:val="14"/>
                <w:color w:val="231F20"/>
              </w:rPr>
              <w:t>3,895</w:t>
            </w:r>
          </w:p>
        </w:tc>
        <w:tc>
          <w:tcPr>
            <w:tcW w:w="1580" w:type="dxa"/>
            <w:vAlign w:val="bottom"/>
          </w:tcPr>
          <w:p>
            <w:pPr>
              <w:jc w:val="right"/>
              <w:ind w:right="8"/>
              <w:spacing w:after="0" w:line="155" w:lineRule="exact"/>
              <w:rPr>
                <w:sz w:val="20"/>
                <w:szCs w:val="20"/>
                <w:color w:val="auto"/>
              </w:rPr>
            </w:pPr>
            <w:r>
              <w:rPr>
                <w:rFonts w:ascii="Arial" w:cs="Arial" w:eastAsia="Arial" w:hAnsi="Arial"/>
                <w:sz w:val="14"/>
                <w:szCs w:val="14"/>
                <w:color w:val="231F20"/>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-5715</wp:posOffset>
            </wp:positionV>
            <wp:extent cx="7139940"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39940" cy="8255"/>
                    </a:xfrm>
                    <a:prstGeom prst="rect">
                      <a:avLst/>
                    </a:prstGeom>
                    <a:noFill/>
                  </pic:spPr>
                </pic:pic>
              </a:graphicData>
            </a:graphic>
          </wp:anchor>
        </w:drawing>
      </w:r>
    </w:p>
    <w:p>
      <w:pPr>
        <w:spacing w:after="0"/>
        <w:rPr>
          <w:sz w:val="20"/>
          <w:szCs w:val="20"/>
          <w:color w:val="auto"/>
        </w:rPr>
      </w:pPr>
      <w:r>
        <w:rPr>
          <w:rFonts w:ascii="Arial" w:cs="Arial" w:eastAsia="Arial" w:hAnsi="Arial"/>
          <w:sz w:val="14"/>
          <w:szCs w:val="14"/>
          <w:b w:val="1"/>
          <w:bCs w:val="1"/>
          <w:color w:val="455986"/>
        </w:rPr>
        <w:t>All Directors, Nominees and Named Executive Officers as a Group (15 persons)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-2540</wp:posOffset>
            </wp:positionV>
            <wp:extent cx="7139940"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39940" cy="8255"/>
                    </a:xfrm>
                    <a:prstGeom prst="rect">
                      <a:avLst/>
                    </a:prstGeom>
                    <a:noFill/>
                  </pic:spPr>
                </pic:pic>
              </a:graphicData>
            </a:graphic>
          </wp:anchor>
        </w:drawing>
      </w:r>
    </w:p>
    <w:p>
      <w:pPr>
        <w:ind w:left="5860"/>
        <w:spacing w:after="0"/>
        <w:tabs>
          <w:tab w:leader="none" w:pos="7500" w:val="left"/>
          <w:tab w:leader="none" w:pos="8960" w:val="left"/>
        </w:tabs>
        <w:rPr>
          <w:sz w:val="20"/>
          <w:szCs w:val="20"/>
          <w:color w:val="auto"/>
        </w:rPr>
      </w:pPr>
      <w:r>
        <w:rPr>
          <w:rFonts w:ascii="Arial" w:cs="Arial" w:eastAsia="Arial" w:hAnsi="Arial"/>
          <w:sz w:val="13"/>
          <w:szCs w:val="13"/>
          <w:color w:val="231F20"/>
        </w:rPr>
        <w:t>413,218</w:t>
      </w:r>
      <w:r>
        <w:rPr>
          <w:sz w:val="20"/>
          <w:szCs w:val="20"/>
          <w:color w:val="auto"/>
        </w:rPr>
        <w:tab/>
      </w:r>
      <w:r>
        <w:rPr>
          <w:rFonts w:ascii="Arial" w:cs="Arial" w:eastAsia="Arial" w:hAnsi="Arial"/>
          <w:sz w:val="25"/>
          <w:szCs w:val="25"/>
          <w:color w:val="231F20"/>
          <w:vertAlign w:val="subscript"/>
        </w:rPr>
        <w:t>26,995</w:t>
      </w:r>
      <w:r>
        <w:rPr>
          <w:rFonts w:ascii="Arial" w:cs="Arial" w:eastAsia="Arial" w:hAnsi="Arial"/>
          <w:sz w:val="11"/>
          <w:szCs w:val="11"/>
          <w:color w:val="231F20"/>
        </w:rPr>
        <w:t>(7)</w:t>
      </w:r>
      <w:r>
        <w:rPr>
          <w:sz w:val="20"/>
          <w:szCs w:val="20"/>
          <w:color w:val="auto"/>
        </w:rPr>
        <w:tab/>
      </w:r>
      <w:r>
        <w:rPr>
          <w:rFonts w:ascii="Arial" w:cs="Arial" w:eastAsia="Arial" w:hAnsi="Arial"/>
          <w:sz w:val="14"/>
          <w:szCs w:val="14"/>
          <w:color w:val="231F20"/>
        </w:rPr>
        <w:t>440,213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-12065</wp:posOffset>
            </wp:positionV>
            <wp:extent cx="7139940"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39940" cy="8255"/>
                    </a:xfrm>
                    <a:prstGeom prst="rect">
                      <a:avLst/>
                    </a:prstGeom>
                    <a:noFill/>
                  </pic:spPr>
                </pic:pic>
              </a:graphicData>
            </a:graphic>
          </wp:anchor>
        </w:drawing>
      </w:r>
    </w:p>
    <w:p>
      <w:pPr>
        <w:spacing w:after="0" w:line="46" w:lineRule="exact"/>
        <w:rPr>
          <w:sz w:val="20"/>
          <w:szCs w:val="20"/>
          <w:color w:val="auto"/>
        </w:rPr>
      </w:pPr>
    </w:p>
    <w:p>
      <w:pPr>
        <w:ind w:left="200" w:hanging="198"/>
        <w:spacing w:after="0"/>
        <w:tabs>
          <w:tab w:leader="none" w:pos="200" w:val="left"/>
        </w:tabs>
        <w:numPr>
          <w:ilvl w:val="0"/>
          <w:numId w:val="79"/>
        </w:numPr>
        <w:rPr>
          <w:rFonts w:ascii="Arial" w:cs="Arial" w:eastAsia="Arial" w:hAnsi="Arial"/>
          <w:sz w:val="13"/>
          <w:szCs w:val="13"/>
          <w:color w:val="231F20"/>
        </w:rPr>
      </w:pPr>
      <w:r>
        <w:rPr>
          <w:rFonts w:ascii="Arial" w:cs="Arial" w:eastAsia="Arial" w:hAnsi="Arial"/>
          <w:sz w:val="13"/>
          <w:szCs w:val="13"/>
          <w:color w:val="231F20"/>
        </w:rPr>
        <w:t>less than one percent.</w:t>
      </w:r>
    </w:p>
    <w:p>
      <w:pPr>
        <w:spacing w:after="0" w:line="67" w:lineRule="exact"/>
        <w:rPr>
          <w:sz w:val="20"/>
          <w:szCs w:val="20"/>
          <w:color w:val="auto"/>
        </w:rPr>
      </w:pPr>
    </w:p>
    <w:p>
      <w:pPr>
        <w:ind w:left="200" w:hanging="198"/>
        <w:spacing w:after="0"/>
        <w:tabs>
          <w:tab w:leader="none" w:pos="200" w:val="left"/>
        </w:tabs>
        <w:numPr>
          <w:ilvl w:val="0"/>
          <w:numId w:val="80"/>
        </w:numPr>
        <w:rPr>
          <w:rFonts w:ascii="Arial" w:cs="Arial" w:eastAsia="Arial" w:hAnsi="Arial"/>
          <w:sz w:val="13"/>
          <w:szCs w:val="13"/>
          <w:color w:val="231F20"/>
        </w:rPr>
      </w:pPr>
      <w:r>
        <w:rPr>
          <w:rFonts w:ascii="Arial" w:cs="Arial" w:eastAsia="Arial" w:hAnsi="Arial"/>
          <w:sz w:val="13"/>
          <w:szCs w:val="13"/>
          <w:color w:val="231F20"/>
        </w:rPr>
        <w:t>Includes shares held under the Company 401(k) plan.</w:t>
      </w:r>
    </w:p>
    <w:p>
      <w:pPr>
        <w:spacing w:after="0" w:line="80" w:lineRule="exact"/>
        <w:rPr>
          <w:rFonts w:ascii="Arial" w:cs="Arial" w:eastAsia="Arial" w:hAnsi="Arial"/>
          <w:sz w:val="13"/>
          <w:szCs w:val="13"/>
          <w:color w:val="231F20"/>
        </w:rPr>
      </w:pPr>
    </w:p>
    <w:p>
      <w:pPr>
        <w:ind w:left="200" w:right="20" w:hanging="198"/>
        <w:spacing w:after="0" w:line="260" w:lineRule="auto"/>
        <w:tabs>
          <w:tab w:leader="none" w:pos="200" w:val="left"/>
        </w:tabs>
        <w:numPr>
          <w:ilvl w:val="0"/>
          <w:numId w:val="80"/>
        </w:numPr>
        <w:rPr>
          <w:rFonts w:ascii="Arial" w:cs="Arial" w:eastAsia="Arial" w:hAnsi="Arial"/>
          <w:sz w:val="13"/>
          <w:szCs w:val="13"/>
          <w:color w:val="231F20"/>
        </w:rPr>
      </w:pPr>
      <w:r>
        <w:rPr>
          <w:rFonts w:ascii="Arial" w:cs="Arial" w:eastAsia="Arial" w:hAnsi="Arial"/>
          <w:sz w:val="13"/>
          <w:szCs w:val="13"/>
          <w:color w:val="231F20"/>
        </w:rPr>
        <w:t>Percentage of ownership for each person or group based on 245,614,099 shares of Common Stock outstanding as of March 8, 2021 and includes all shares issuable to such person or group upon exercise of outstanding stock options exercisable, or other equity awards vesting, within 60 days of that date.</w:t>
      </w:r>
    </w:p>
    <w:p>
      <w:pPr>
        <w:spacing w:after="0" w:line="46" w:lineRule="exact"/>
        <w:rPr>
          <w:rFonts w:ascii="Arial" w:cs="Arial" w:eastAsia="Arial" w:hAnsi="Arial"/>
          <w:sz w:val="13"/>
          <w:szCs w:val="13"/>
          <w:color w:val="231F20"/>
        </w:rPr>
      </w:pPr>
    </w:p>
    <w:p>
      <w:pPr>
        <w:ind w:left="200" w:hanging="198"/>
        <w:spacing w:after="0"/>
        <w:tabs>
          <w:tab w:leader="none" w:pos="200" w:val="left"/>
        </w:tabs>
        <w:numPr>
          <w:ilvl w:val="0"/>
          <w:numId w:val="80"/>
        </w:numPr>
        <w:rPr>
          <w:rFonts w:ascii="Arial" w:cs="Arial" w:eastAsia="Arial" w:hAnsi="Arial"/>
          <w:sz w:val="13"/>
          <w:szCs w:val="13"/>
          <w:color w:val="231F20"/>
        </w:rPr>
      </w:pPr>
      <w:r>
        <w:rPr>
          <w:rFonts w:ascii="Arial" w:cs="Arial" w:eastAsia="Arial" w:hAnsi="Arial"/>
          <w:sz w:val="13"/>
          <w:szCs w:val="13"/>
          <w:color w:val="231F20"/>
        </w:rPr>
        <w:t>The information from The Vanguard Group was obtained from the Schedule 13G/A filed by The Vanguard Group with the SEC on February 8, 2021.</w:t>
      </w:r>
    </w:p>
    <w:p>
      <w:pPr>
        <w:spacing w:after="0" w:line="67" w:lineRule="exact"/>
        <w:rPr>
          <w:rFonts w:ascii="Arial" w:cs="Arial" w:eastAsia="Arial" w:hAnsi="Arial"/>
          <w:sz w:val="13"/>
          <w:szCs w:val="13"/>
          <w:color w:val="231F20"/>
        </w:rPr>
      </w:pPr>
    </w:p>
    <w:p>
      <w:pPr>
        <w:ind w:left="200" w:hanging="198"/>
        <w:spacing w:after="0"/>
        <w:tabs>
          <w:tab w:leader="none" w:pos="200" w:val="left"/>
        </w:tabs>
        <w:numPr>
          <w:ilvl w:val="0"/>
          <w:numId w:val="80"/>
        </w:numPr>
        <w:rPr>
          <w:rFonts w:ascii="Arial" w:cs="Arial" w:eastAsia="Arial" w:hAnsi="Arial"/>
          <w:sz w:val="13"/>
          <w:szCs w:val="13"/>
          <w:color w:val="231F20"/>
        </w:rPr>
      </w:pPr>
      <w:r>
        <w:rPr>
          <w:rFonts w:ascii="Arial" w:cs="Arial" w:eastAsia="Arial" w:hAnsi="Arial"/>
          <w:sz w:val="13"/>
          <w:szCs w:val="13"/>
          <w:color w:val="231F20"/>
        </w:rPr>
        <w:t>The information from BlackRock, Inc. was obtained from the Schedule 13G/A filed by BlackRock, Inc. with the SEC on February 5, 2021.</w:t>
      </w:r>
    </w:p>
    <w:p>
      <w:pPr>
        <w:spacing w:after="0" w:line="80" w:lineRule="exact"/>
        <w:rPr>
          <w:rFonts w:ascii="Arial" w:cs="Arial" w:eastAsia="Arial" w:hAnsi="Arial"/>
          <w:sz w:val="13"/>
          <w:szCs w:val="13"/>
          <w:color w:val="231F20"/>
        </w:rPr>
      </w:pPr>
    </w:p>
    <w:p>
      <w:pPr>
        <w:ind w:left="200" w:hanging="198"/>
        <w:spacing w:after="0"/>
        <w:tabs>
          <w:tab w:leader="none" w:pos="200" w:val="left"/>
        </w:tabs>
        <w:numPr>
          <w:ilvl w:val="0"/>
          <w:numId w:val="80"/>
        </w:numPr>
        <w:rPr>
          <w:rFonts w:ascii="Arial" w:cs="Arial" w:eastAsia="Arial" w:hAnsi="Arial"/>
          <w:sz w:val="13"/>
          <w:szCs w:val="13"/>
          <w:color w:val="231F20"/>
        </w:rPr>
      </w:pPr>
      <w:r>
        <w:rPr>
          <w:rFonts w:ascii="Arial" w:cs="Arial" w:eastAsia="Arial" w:hAnsi="Arial"/>
          <w:sz w:val="13"/>
          <w:szCs w:val="13"/>
          <w:color w:val="231F20"/>
        </w:rPr>
        <w:t>The information from Canada Pension Plan Investment Board (CPPIB) was obtained from the Schedule 13D filed by CPPIB with the SEC on March 24, 2020.</w:t>
      </w:r>
    </w:p>
    <w:p>
      <w:pPr>
        <w:spacing w:after="0" w:line="80" w:lineRule="exact"/>
        <w:rPr>
          <w:rFonts w:ascii="Arial" w:cs="Arial" w:eastAsia="Arial" w:hAnsi="Arial"/>
          <w:sz w:val="13"/>
          <w:szCs w:val="13"/>
          <w:color w:val="231F20"/>
        </w:rPr>
      </w:pPr>
    </w:p>
    <w:p>
      <w:pPr>
        <w:ind w:left="200" w:hanging="198"/>
        <w:spacing w:after="0"/>
        <w:tabs>
          <w:tab w:leader="none" w:pos="200" w:val="left"/>
        </w:tabs>
        <w:numPr>
          <w:ilvl w:val="0"/>
          <w:numId w:val="80"/>
        </w:numPr>
        <w:rPr>
          <w:rFonts w:ascii="Arial" w:cs="Arial" w:eastAsia="Arial" w:hAnsi="Arial"/>
          <w:sz w:val="13"/>
          <w:szCs w:val="13"/>
          <w:color w:val="231F20"/>
        </w:rPr>
      </w:pPr>
      <w:r>
        <w:rPr>
          <w:rFonts w:ascii="Arial" w:cs="Arial" w:eastAsia="Arial" w:hAnsi="Arial"/>
          <w:sz w:val="13"/>
          <w:szCs w:val="13"/>
          <w:color w:val="231F20"/>
        </w:rPr>
        <w:t>Ms. Kelly is nominated to the Board as designated by CPPIB under the terms of the Company’s private placement transaction with CPPIB.</w:t>
      </w:r>
    </w:p>
    <w:p>
      <w:pPr>
        <w:spacing w:after="0" w:line="67" w:lineRule="exact"/>
        <w:rPr>
          <w:rFonts w:ascii="Arial" w:cs="Arial" w:eastAsia="Arial" w:hAnsi="Arial"/>
          <w:sz w:val="13"/>
          <w:szCs w:val="13"/>
          <w:color w:val="231F20"/>
        </w:rPr>
      </w:pPr>
    </w:p>
    <w:p>
      <w:pPr>
        <w:ind w:left="200" w:hanging="198"/>
        <w:spacing w:after="0"/>
        <w:tabs>
          <w:tab w:leader="none" w:pos="200" w:val="left"/>
        </w:tabs>
        <w:numPr>
          <w:ilvl w:val="0"/>
          <w:numId w:val="80"/>
        </w:numPr>
        <w:rPr>
          <w:rFonts w:ascii="Arial" w:cs="Arial" w:eastAsia="Arial" w:hAnsi="Arial"/>
          <w:sz w:val="12"/>
          <w:szCs w:val="12"/>
          <w:color w:val="231F20"/>
        </w:rPr>
      </w:pPr>
      <w:r>
        <w:rPr>
          <w:rFonts w:ascii="Arial" w:cs="Arial" w:eastAsia="Arial" w:hAnsi="Arial"/>
          <w:sz w:val="12"/>
          <w:szCs w:val="12"/>
          <w:color w:val="231F20"/>
        </w:rPr>
        <w:t>The shareholdings indicated include 26,995 shares (i) held in joint ownership with spouses, (ii) held as custodian for minor children, (iii) owned by family members, or (iv) in trusts for adult children.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133350</wp:posOffset>
            </wp:positionV>
            <wp:extent cx="7139940"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39940" cy="8255"/>
                    </a:xfrm>
                    <a:prstGeom prst="rect">
                      <a:avLst/>
                    </a:prstGeom>
                    <a:noFill/>
                  </pic:spPr>
                </pic:pic>
              </a:graphicData>
            </a:graphic>
          </wp:anchor>
        </w:drawing>
      </w:r>
    </w:p>
    <w:p>
      <w:pPr>
        <w:spacing w:after="0" w:line="236" w:lineRule="exact"/>
        <w:rPr>
          <w:sz w:val="20"/>
          <w:szCs w:val="20"/>
          <w:color w:val="auto"/>
        </w:rPr>
      </w:pPr>
    </w:p>
    <w:p>
      <w:pPr>
        <w:jc w:val="right"/>
        <w:spacing w:after="0"/>
        <w:tabs>
          <w:tab w:leader="none" w:pos="140" w:val="left"/>
        </w:tabs>
        <w:rPr>
          <w:sz w:val="20"/>
          <w:szCs w:val="20"/>
          <w:color w:val="auto"/>
        </w:rPr>
      </w:pPr>
      <w:r>
        <w:rPr>
          <w:rFonts w:ascii="Arial" w:cs="Arial" w:eastAsia="Arial" w:hAnsi="Arial"/>
          <w:sz w:val="12"/>
          <w:szCs w:val="12"/>
          <w:color w:val="4395D4"/>
        </w:rPr>
        <w:t xml:space="preserve">ESSENTIAL UTILITIES, INC. </w:t>
      </w:r>
      <w:r>
        <w:rPr>
          <w:rFonts w:ascii="Arial" w:cs="Arial" w:eastAsia="Arial" w:hAnsi="Arial"/>
          <w:sz w:val="12"/>
          <w:szCs w:val="12"/>
          <w:color w:val="455986"/>
        </w:rPr>
        <w:t>2021 PROXY STATEMENT</w:t>
      </w:r>
      <w:r>
        <w:rPr>
          <w:sz w:val="20"/>
          <w:szCs w:val="20"/>
          <w:color w:val="auto"/>
        </w:rPr>
        <w:tab/>
      </w:r>
      <w:r>
        <w:rPr>
          <w:rFonts w:ascii="Arial" w:cs="Arial" w:eastAsia="Arial" w:hAnsi="Arial"/>
          <w:sz w:val="14"/>
          <w:szCs w:val="14"/>
          <w:color w:val="455986"/>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346710</wp:posOffset>
            </wp:positionV>
            <wp:extent cx="7139940" cy="2413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39940" cy="24130"/>
                    </a:xfrm>
                    <a:prstGeom prst="rect">
                      <a:avLst/>
                    </a:prstGeom>
                    <a:noFill/>
                  </pic:spPr>
                </pic:pic>
              </a:graphicData>
            </a:graphic>
          </wp:anchor>
        </w:drawing>
      </w:r>
    </w:p>
    <w:p>
      <w:pPr>
        <w:sectPr>
          <w:pgSz w:w="11900" w:h="16838" w:orient="portrait"/>
          <w:cols w:equalWidth="0" w:num="1">
            <w:col w:w="11240"/>
          </w:cols>
          <w:pgMar w:left="320" w:top="591" w:right="339" w:bottom="1440" w:gutter="0" w:footer="0" w:header="0"/>
        </w:sectPr>
      </w:pPr>
    </w:p>
    <w:bookmarkStart w:id="40" w:name="page41"/>
    <w:bookmarkEnd w:id="40"/>
    <w:p>
      <w:pPr>
        <w:spacing w:after="0"/>
        <w:rPr>
          <w:sz w:val="20"/>
          <w:szCs w:val="20"/>
          <w:color w:val="auto"/>
        </w:rPr>
      </w:pPr>
      <w:r>
        <w:rPr>
          <w:rFonts w:ascii="Arial" w:cs="Arial" w:eastAsia="Arial" w:hAnsi="Arial"/>
          <w:sz w:val="31"/>
          <w:szCs w:val="31"/>
          <w:color w:val="4395D4"/>
        </w:rPr>
        <w:t>Proposal 2:</w:t>
      </w:r>
    </w:p>
    <w:p>
      <w:pPr>
        <w:spacing w:after="0" w:line="41" w:lineRule="exact"/>
        <w:rPr>
          <w:sz w:val="20"/>
          <w:szCs w:val="20"/>
          <w:color w:val="auto"/>
        </w:rPr>
      </w:pPr>
    </w:p>
    <w:p>
      <w:pPr>
        <w:ind w:right="1440"/>
        <w:spacing w:after="0" w:line="263" w:lineRule="auto"/>
        <w:rPr>
          <w:sz w:val="20"/>
          <w:szCs w:val="20"/>
          <w:color w:val="auto"/>
        </w:rPr>
      </w:pPr>
      <w:r>
        <w:rPr>
          <w:rFonts w:ascii="Arial" w:cs="Arial" w:eastAsia="Arial" w:hAnsi="Arial"/>
          <w:sz w:val="31"/>
          <w:szCs w:val="31"/>
          <w:b w:val="1"/>
          <w:bCs w:val="1"/>
          <w:color w:val="455986"/>
        </w:rPr>
        <w:t>Ratification of the Appointment of PricewaterhouseCoopers LLP as Independent Registered Public Accounting Firm for Fiscal 2021</w:t>
      </w:r>
    </w:p>
    <w:p>
      <w:pPr>
        <w:spacing w:after="0" w:line="62" w:lineRule="exact"/>
        <w:rPr>
          <w:sz w:val="20"/>
          <w:szCs w:val="20"/>
          <w:color w:val="auto"/>
        </w:rPr>
      </w:pPr>
    </w:p>
    <w:p>
      <w:pPr>
        <w:jc w:val="both"/>
        <w:spacing w:after="0" w:line="258" w:lineRule="auto"/>
        <w:rPr>
          <w:sz w:val="20"/>
          <w:szCs w:val="20"/>
          <w:color w:val="auto"/>
        </w:rPr>
      </w:pPr>
      <w:r>
        <w:rPr>
          <w:rFonts w:ascii="Arial" w:cs="Arial" w:eastAsia="Arial" w:hAnsi="Arial"/>
          <w:sz w:val="14"/>
          <w:szCs w:val="14"/>
          <w:color w:val="231F20"/>
        </w:rPr>
        <w:t>The Audit Committee of the Board of Directors appointed PricewaterhouseCoopers LLP (PwC) as the independent registered public accounting firm for the Company for the 2021 fiscal year. PwC has been the Company’s independent registered public accountants since 2000. The Board of Directors recommends that shareholders ratify the appointment.</w:t>
      </w:r>
    </w:p>
    <w:p>
      <w:pPr>
        <w:spacing w:after="0" w:line="266" w:lineRule="exact"/>
        <w:rPr>
          <w:sz w:val="20"/>
          <w:szCs w:val="20"/>
          <w:color w:val="auto"/>
        </w:rPr>
      </w:pPr>
    </w:p>
    <w:p>
      <w:pPr>
        <w:ind w:right="40"/>
        <w:spacing w:after="0" w:line="238" w:lineRule="auto"/>
        <w:rPr>
          <w:sz w:val="20"/>
          <w:szCs w:val="20"/>
          <w:color w:val="auto"/>
        </w:rPr>
      </w:pPr>
      <w:r>
        <w:rPr>
          <w:rFonts w:ascii="Arial" w:cs="Arial" w:eastAsia="Arial" w:hAnsi="Arial"/>
          <w:sz w:val="14"/>
          <w:szCs w:val="14"/>
          <w:color w:val="231F20"/>
        </w:rPr>
        <w:t>Although shareholder ratification of the appointment of PwC is not required by law or the Company’s Bylaws, the Board of Directors believes that it is desirable to give our shareholders the opportunity to ratify the appointment. If the shareholders do not ratify the appointment of PwC, then the Audit Committee will take this into consideration and may or may not consider the appointment of another independent registered public accounting firm for the Company for future years. Even if the appointment of PwC is ratified, the Audit Committee may, in its discretion, direct the appointment of a different independent registered public accounting firm during the year if the Audit Committee determines such a change would be in the best interests of the Company. Representatives of PwC are expected to be present at the 2021 Annual Meeting, will have the opportunity to make a statement at the meeting if they desire to do so, and will be available to respond to appropriate questions.</w:t>
      </w:r>
    </w:p>
    <w:p>
      <w:pPr>
        <w:spacing w:after="0" w:line="114" w:lineRule="exact"/>
        <w:rPr>
          <w:sz w:val="20"/>
          <w:szCs w:val="20"/>
          <w:color w:val="auto"/>
        </w:rPr>
      </w:pPr>
    </w:p>
    <w:p>
      <w:pPr>
        <w:ind w:right="100"/>
        <w:spacing w:after="0" w:line="237" w:lineRule="auto"/>
        <w:rPr>
          <w:sz w:val="20"/>
          <w:szCs w:val="20"/>
          <w:color w:val="auto"/>
        </w:rPr>
      </w:pPr>
      <w:r>
        <w:rPr>
          <w:rFonts w:ascii="Arial" w:cs="Arial" w:eastAsia="Arial" w:hAnsi="Arial"/>
          <w:sz w:val="14"/>
          <w:szCs w:val="14"/>
          <w:color w:val="231F20"/>
        </w:rPr>
        <w:t>PwC has informed us that they are not aware of any independence-related relationships between their firm and the Company other than the professional services discussed in Services and Fees below. The Audit Committee is responsible for the appointment, compensation and oversight of the work of the independent registered public accounting firm. As a result, the Audit Committee is required to pre-approve the audit and non-audit services performed by the independent registered public accounting firm in order to assure that such services do not impair the auditor’s independence from the Company. The Audit Committee has established a procedure to pre-approve all auditing and non-auditing fees proposed to be provided by the Company’s independent registered public accounting firm prior to engaging the accountants for that purpose. Consideration and approval of such services occurs at the Audit Committee’s regularly scheduled meetings, or by unanimous consent of all the Audit Committee members between meetings. All fees and services were pre-approved by the Audit Committee for the 2020 fiscal year.</w:t>
      </w:r>
    </w:p>
    <w:p>
      <w:pPr>
        <w:spacing w:after="0" w:line="99" w:lineRule="exact"/>
        <w:rPr>
          <w:sz w:val="20"/>
          <w:szCs w:val="20"/>
          <w:color w:val="auto"/>
        </w:rPr>
      </w:pPr>
    </w:p>
    <w:p>
      <w:pPr>
        <w:spacing w:after="0"/>
        <w:rPr>
          <w:sz w:val="20"/>
          <w:szCs w:val="20"/>
          <w:color w:val="auto"/>
        </w:rPr>
      </w:pPr>
      <w:r>
        <w:rPr>
          <w:rFonts w:ascii="Arial" w:cs="Arial" w:eastAsia="Arial" w:hAnsi="Arial"/>
          <w:sz w:val="20"/>
          <w:szCs w:val="20"/>
          <w:b w:val="1"/>
          <w:bCs w:val="1"/>
          <w:color w:val="231F20"/>
        </w:rPr>
        <w:t>Services and Fees</w:t>
      </w:r>
    </w:p>
    <w:p>
      <w:pPr>
        <w:spacing w:after="0" w:line="166"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The following table presents the fees paid to PwC for professional services rendered with respect to the 2020 fiscal year and 2019 </w:t>
      </w:r>
      <w:r>
        <w:rPr>
          <w:rFonts w:ascii="Arial" w:cs="Arial" w:eastAsia="Arial" w:hAnsi="Arial"/>
          <w:sz w:val="14"/>
          <w:szCs w:val="14"/>
          <w:color w:val="231F20"/>
        </w:rPr>
        <w:t>fiscal years: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8320" w:type="dxa"/>
            <w:vAlign w:val="bottom"/>
          </w:tcPr>
          <w:p>
            <w:pPr>
              <w:spacing w:after="0"/>
              <w:rPr>
                <w:sz w:val="17"/>
                <w:szCs w:val="17"/>
                <w:color w:val="auto"/>
              </w:rPr>
            </w:pPr>
          </w:p>
        </w:tc>
        <w:tc>
          <w:tcPr>
            <w:tcW w:w="840" w:type="dxa"/>
            <w:vAlign w:val="bottom"/>
            <w:tcBorders>
              <w:bottom w:val="single" w:sz="8" w:color="455986"/>
            </w:tcBorders>
          </w:tcPr>
          <w:p>
            <w:pPr>
              <w:spacing w:after="0"/>
              <w:rPr>
                <w:sz w:val="17"/>
                <w:szCs w:val="17"/>
                <w:color w:val="auto"/>
              </w:rPr>
            </w:pPr>
          </w:p>
        </w:tc>
        <w:tc>
          <w:tcPr>
            <w:tcW w:w="1120" w:type="dxa"/>
            <w:vAlign w:val="bottom"/>
            <w:tcBorders>
              <w:bottom w:val="single" w:sz="8" w:color="455986"/>
            </w:tcBorders>
          </w:tcPr>
          <w:p>
            <w:pPr>
              <w:jc w:val="right"/>
              <w:ind w:right="68"/>
              <w:spacing w:after="0"/>
              <w:rPr>
                <w:sz w:val="20"/>
                <w:szCs w:val="20"/>
                <w:color w:val="auto"/>
              </w:rPr>
            </w:pPr>
            <w:r>
              <w:rPr>
                <w:rFonts w:ascii="Arial" w:cs="Arial" w:eastAsia="Arial" w:hAnsi="Arial"/>
                <w:sz w:val="14"/>
                <w:szCs w:val="14"/>
                <w:color w:val="455986"/>
              </w:rPr>
              <w:t>Fiscal Year</w:t>
            </w:r>
          </w:p>
        </w:tc>
        <w:tc>
          <w:tcPr>
            <w:tcW w:w="240" w:type="dxa"/>
            <w:vAlign w:val="bottom"/>
            <w:tcBorders>
              <w:bottom w:val="single" w:sz="8" w:color="455986"/>
            </w:tcBorders>
          </w:tcPr>
          <w:p>
            <w:pPr>
              <w:spacing w:after="0"/>
              <w:rPr>
                <w:sz w:val="17"/>
                <w:szCs w:val="17"/>
                <w:color w:val="auto"/>
              </w:rPr>
            </w:pPr>
          </w:p>
        </w:tc>
        <w:tc>
          <w:tcPr>
            <w:tcW w:w="720" w:type="dxa"/>
            <w:vAlign w:val="bottom"/>
            <w:tcBorders>
              <w:bottom w:val="single" w:sz="8" w:color="455986"/>
            </w:tcBorders>
          </w:tcPr>
          <w:p>
            <w:pPr>
              <w:spacing w:after="0"/>
              <w:rPr>
                <w:sz w:val="17"/>
                <w:szCs w:val="17"/>
                <w:color w:val="auto"/>
              </w:rPr>
            </w:pPr>
          </w:p>
        </w:tc>
      </w:tr>
      <w:tr>
        <w:trPr>
          <w:trHeight w:val="210"/>
        </w:trPr>
        <w:tc>
          <w:tcPr>
            <w:tcW w:w="8320" w:type="dxa"/>
            <w:vAlign w:val="bottom"/>
            <w:tcBorders>
              <w:bottom w:val="single" w:sz="8" w:color="4395D4"/>
            </w:tcBorders>
          </w:tcPr>
          <w:p>
            <w:pPr>
              <w:spacing w:after="0"/>
              <w:rPr>
                <w:sz w:val="18"/>
                <w:szCs w:val="18"/>
                <w:color w:val="auto"/>
              </w:rPr>
            </w:pPr>
          </w:p>
        </w:tc>
        <w:tc>
          <w:tcPr>
            <w:tcW w:w="840" w:type="dxa"/>
            <w:vAlign w:val="bottom"/>
            <w:tcBorders>
              <w:bottom w:val="single" w:sz="8" w:color="4395D4"/>
            </w:tcBorders>
          </w:tcPr>
          <w:p>
            <w:pPr>
              <w:spacing w:after="0"/>
              <w:rPr>
                <w:sz w:val="18"/>
                <w:szCs w:val="18"/>
                <w:color w:val="auto"/>
              </w:rPr>
            </w:pPr>
          </w:p>
        </w:tc>
        <w:tc>
          <w:tcPr>
            <w:tcW w:w="1120" w:type="dxa"/>
            <w:vAlign w:val="bottom"/>
            <w:tcBorders>
              <w:bottom w:val="single" w:sz="8" w:color="4395D4"/>
            </w:tcBorders>
          </w:tcPr>
          <w:p>
            <w:pPr>
              <w:jc w:val="right"/>
              <w:ind w:right="408"/>
              <w:spacing w:after="0"/>
              <w:rPr>
                <w:sz w:val="20"/>
                <w:szCs w:val="20"/>
                <w:color w:val="auto"/>
              </w:rPr>
            </w:pPr>
            <w:r>
              <w:rPr>
                <w:rFonts w:ascii="Arial" w:cs="Arial" w:eastAsia="Arial" w:hAnsi="Arial"/>
                <w:sz w:val="14"/>
                <w:szCs w:val="14"/>
                <w:color w:val="455986"/>
              </w:rPr>
              <w:t>2020</w:t>
            </w:r>
          </w:p>
        </w:tc>
        <w:tc>
          <w:tcPr>
            <w:tcW w:w="240" w:type="dxa"/>
            <w:vAlign w:val="bottom"/>
            <w:tcBorders>
              <w:bottom w:val="single" w:sz="8" w:color="4395D4"/>
            </w:tcBorders>
          </w:tcPr>
          <w:p>
            <w:pPr>
              <w:spacing w:after="0"/>
              <w:rPr>
                <w:sz w:val="18"/>
                <w:szCs w:val="18"/>
                <w:color w:val="auto"/>
              </w:rPr>
            </w:pPr>
          </w:p>
        </w:tc>
        <w:tc>
          <w:tcPr>
            <w:tcW w:w="720" w:type="dxa"/>
            <w:vAlign w:val="bottom"/>
            <w:tcBorders>
              <w:bottom w:val="single" w:sz="8" w:color="4395D4"/>
            </w:tcBorders>
          </w:tcPr>
          <w:p>
            <w:pPr>
              <w:jc w:val="right"/>
              <w:ind w:right="8"/>
              <w:spacing w:after="0"/>
              <w:rPr>
                <w:sz w:val="20"/>
                <w:szCs w:val="20"/>
                <w:color w:val="auto"/>
              </w:rPr>
            </w:pPr>
            <w:r>
              <w:rPr>
                <w:rFonts w:ascii="Arial" w:cs="Arial" w:eastAsia="Arial" w:hAnsi="Arial"/>
                <w:sz w:val="14"/>
                <w:szCs w:val="14"/>
                <w:color w:val="455986"/>
              </w:rPr>
              <w:t>2019</w:t>
            </w:r>
          </w:p>
        </w:tc>
      </w:tr>
      <w:tr>
        <w:trPr>
          <w:trHeight w:val="238"/>
        </w:trPr>
        <w:tc>
          <w:tcPr>
            <w:tcW w:w="8320" w:type="dxa"/>
            <w:vAlign w:val="bottom"/>
            <w:tcBorders>
              <w:bottom w:val="single" w:sz="8" w:color="231F20"/>
            </w:tcBorders>
          </w:tcPr>
          <w:p>
            <w:pPr>
              <w:spacing w:after="0" w:line="237" w:lineRule="exact"/>
              <w:rPr>
                <w:sz w:val="20"/>
                <w:szCs w:val="20"/>
                <w:color w:val="auto"/>
              </w:rPr>
            </w:pPr>
            <w:r>
              <w:rPr>
                <w:rFonts w:ascii="Arial" w:cs="Arial" w:eastAsia="Arial" w:hAnsi="Arial"/>
                <w:sz w:val="14"/>
                <w:szCs w:val="14"/>
                <w:b w:val="1"/>
                <w:bCs w:val="1"/>
                <w:color w:val="455986"/>
              </w:rPr>
              <w:t>Audit Fees</w:t>
            </w:r>
            <w:r>
              <w:rPr>
                <w:rFonts w:ascii="Arial" w:cs="Arial" w:eastAsia="Arial" w:hAnsi="Arial"/>
                <w:sz w:val="24"/>
                <w:szCs w:val="24"/>
                <w:b w:val="1"/>
                <w:bCs w:val="1"/>
                <w:color w:val="455986"/>
                <w:vertAlign w:val="superscript"/>
              </w:rPr>
              <w:t>(1)</w:t>
            </w:r>
          </w:p>
        </w:tc>
        <w:tc>
          <w:tcPr>
            <w:tcW w:w="840" w:type="dxa"/>
            <w:vAlign w:val="bottom"/>
            <w:tcBorders>
              <w:bottom w:val="single" w:sz="8" w:color="231F20"/>
            </w:tcBorders>
          </w:tcPr>
          <w:p>
            <w:pPr>
              <w:jc w:val="right"/>
              <w:spacing w:after="0"/>
              <w:rPr>
                <w:sz w:val="20"/>
                <w:szCs w:val="20"/>
                <w:color w:val="auto"/>
              </w:rPr>
            </w:pPr>
            <w:r>
              <w:rPr>
                <w:rFonts w:ascii="Arial" w:cs="Arial" w:eastAsia="Arial" w:hAnsi="Arial"/>
                <w:sz w:val="14"/>
                <w:szCs w:val="14"/>
                <w:color w:val="231F20"/>
              </w:rPr>
              <w:t>$</w:t>
            </w:r>
          </w:p>
        </w:tc>
        <w:tc>
          <w:tcPr>
            <w:tcW w:w="1120" w:type="dxa"/>
            <w:vAlign w:val="bottom"/>
            <w:tcBorders>
              <w:bottom w:val="single" w:sz="8" w:color="231F20"/>
            </w:tcBorders>
          </w:tcPr>
          <w:p>
            <w:pPr>
              <w:jc w:val="right"/>
              <w:ind w:right="408"/>
              <w:spacing w:after="0"/>
              <w:rPr>
                <w:sz w:val="20"/>
                <w:szCs w:val="20"/>
                <w:color w:val="auto"/>
              </w:rPr>
            </w:pPr>
            <w:r>
              <w:rPr>
                <w:rFonts w:ascii="Arial" w:cs="Arial" w:eastAsia="Arial" w:hAnsi="Arial"/>
                <w:sz w:val="14"/>
                <w:szCs w:val="14"/>
                <w:color w:val="231F20"/>
                <w:w w:val="99"/>
              </w:rPr>
              <w:t>2,911,500</w:t>
            </w:r>
          </w:p>
        </w:tc>
        <w:tc>
          <w:tcPr>
            <w:tcW w:w="240" w:type="dxa"/>
            <w:vAlign w:val="bottom"/>
            <w:tcBorders>
              <w:bottom w:val="single" w:sz="8" w:color="231F20"/>
            </w:tcBorders>
          </w:tcPr>
          <w:p>
            <w:pPr>
              <w:jc w:val="right"/>
              <w:spacing w:after="0"/>
              <w:rPr>
                <w:sz w:val="20"/>
                <w:szCs w:val="20"/>
                <w:color w:val="auto"/>
              </w:rPr>
            </w:pPr>
            <w:r>
              <w:rPr>
                <w:rFonts w:ascii="Arial" w:cs="Arial" w:eastAsia="Arial" w:hAnsi="Arial"/>
                <w:sz w:val="14"/>
                <w:szCs w:val="14"/>
                <w:color w:val="231F20"/>
              </w:rPr>
              <w:t>$</w:t>
            </w:r>
          </w:p>
        </w:tc>
        <w:tc>
          <w:tcPr>
            <w:tcW w:w="720" w:type="dxa"/>
            <w:vAlign w:val="bottom"/>
            <w:tcBorders>
              <w:bottom w:val="single" w:sz="8" w:color="231F20"/>
            </w:tcBorders>
          </w:tcPr>
          <w:p>
            <w:pPr>
              <w:jc w:val="right"/>
              <w:ind w:right="8"/>
              <w:spacing w:after="0"/>
              <w:rPr>
                <w:sz w:val="20"/>
                <w:szCs w:val="20"/>
                <w:color w:val="auto"/>
              </w:rPr>
            </w:pPr>
            <w:r>
              <w:rPr>
                <w:rFonts w:ascii="Arial" w:cs="Arial" w:eastAsia="Arial" w:hAnsi="Arial"/>
                <w:sz w:val="14"/>
                <w:szCs w:val="14"/>
                <w:color w:val="231F20"/>
                <w:w w:val="99"/>
              </w:rPr>
              <w:t>2,032,000</w:t>
            </w:r>
          </w:p>
        </w:tc>
      </w:tr>
      <w:tr>
        <w:trPr>
          <w:trHeight w:val="235"/>
        </w:trPr>
        <w:tc>
          <w:tcPr>
            <w:tcW w:w="8320" w:type="dxa"/>
            <w:vAlign w:val="bottom"/>
            <w:tcBorders>
              <w:bottom w:val="single" w:sz="8" w:color="231F20"/>
            </w:tcBorders>
          </w:tcPr>
          <w:p>
            <w:pPr>
              <w:spacing w:after="0" w:line="235" w:lineRule="exact"/>
              <w:rPr>
                <w:sz w:val="20"/>
                <w:szCs w:val="20"/>
                <w:color w:val="auto"/>
              </w:rPr>
            </w:pPr>
            <w:r>
              <w:rPr>
                <w:rFonts w:ascii="Arial" w:cs="Arial" w:eastAsia="Arial" w:hAnsi="Arial"/>
                <w:sz w:val="14"/>
                <w:szCs w:val="14"/>
                <w:b w:val="1"/>
                <w:bCs w:val="1"/>
                <w:color w:val="455986"/>
              </w:rPr>
              <w:t>Audit-Related Fees</w:t>
            </w:r>
            <w:r>
              <w:rPr>
                <w:rFonts w:ascii="Arial" w:cs="Arial" w:eastAsia="Arial" w:hAnsi="Arial"/>
                <w:sz w:val="24"/>
                <w:szCs w:val="24"/>
                <w:b w:val="1"/>
                <w:bCs w:val="1"/>
                <w:color w:val="455986"/>
                <w:vertAlign w:val="superscript"/>
              </w:rPr>
              <w:t>(2)</w:t>
            </w:r>
          </w:p>
        </w:tc>
        <w:tc>
          <w:tcPr>
            <w:tcW w:w="840" w:type="dxa"/>
            <w:vAlign w:val="bottom"/>
            <w:tcBorders>
              <w:bottom w:val="single" w:sz="8" w:color="231F20"/>
            </w:tcBorders>
          </w:tcPr>
          <w:p>
            <w:pPr>
              <w:jc w:val="right"/>
              <w:spacing w:after="0"/>
              <w:rPr>
                <w:sz w:val="20"/>
                <w:szCs w:val="20"/>
                <w:color w:val="auto"/>
              </w:rPr>
            </w:pPr>
            <w:r>
              <w:rPr>
                <w:rFonts w:ascii="Arial" w:cs="Arial" w:eastAsia="Arial" w:hAnsi="Arial"/>
                <w:sz w:val="14"/>
                <w:szCs w:val="14"/>
                <w:color w:val="231F20"/>
              </w:rPr>
              <w:t>$</w:t>
            </w:r>
          </w:p>
        </w:tc>
        <w:tc>
          <w:tcPr>
            <w:tcW w:w="1120" w:type="dxa"/>
            <w:vAlign w:val="bottom"/>
            <w:tcBorders>
              <w:bottom w:val="single" w:sz="8" w:color="231F20"/>
            </w:tcBorders>
          </w:tcPr>
          <w:p>
            <w:pPr>
              <w:jc w:val="right"/>
              <w:ind w:right="408"/>
              <w:spacing w:after="0"/>
              <w:rPr>
                <w:sz w:val="20"/>
                <w:szCs w:val="20"/>
                <w:color w:val="auto"/>
              </w:rPr>
            </w:pPr>
            <w:r>
              <w:rPr>
                <w:rFonts w:ascii="Arial" w:cs="Arial" w:eastAsia="Arial" w:hAnsi="Arial"/>
                <w:sz w:val="14"/>
                <w:szCs w:val="14"/>
                <w:color w:val="231F20"/>
              </w:rPr>
              <w:t>25,000</w:t>
            </w:r>
          </w:p>
        </w:tc>
        <w:tc>
          <w:tcPr>
            <w:tcW w:w="240" w:type="dxa"/>
            <w:vAlign w:val="bottom"/>
            <w:tcBorders>
              <w:bottom w:val="single" w:sz="8" w:color="231F20"/>
            </w:tcBorders>
          </w:tcPr>
          <w:p>
            <w:pPr>
              <w:jc w:val="right"/>
              <w:spacing w:after="0"/>
              <w:rPr>
                <w:sz w:val="20"/>
                <w:szCs w:val="20"/>
                <w:color w:val="auto"/>
              </w:rPr>
            </w:pPr>
            <w:r>
              <w:rPr>
                <w:rFonts w:ascii="Arial" w:cs="Arial" w:eastAsia="Arial" w:hAnsi="Arial"/>
                <w:sz w:val="14"/>
                <w:szCs w:val="14"/>
                <w:color w:val="231F20"/>
              </w:rPr>
              <w:t>$</w:t>
            </w:r>
          </w:p>
        </w:tc>
        <w:tc>
          <w:tcPr>
            <w:tcW w:w="720" w:type="dxa"/>
            <w:vAlign w:val="bottom"/>
            <w:tcBorders>
              <w:bottom w:val="single" w:sz="8" w:color="231F20"/>
            </w:tcBorders>
          </w:tcPr>
          <w:p>
            <w:pPr>
              <w:jc w:val="right"/>
              <w:ind w:right="8"/>
              <w:spacing w:after="0"/>
              <w:rPr>
                <w:sz w:val="20"/>
                <w:szCs w:val="20"/>
                <w:color w:val="auto"/>
              </w:rPr>
            </w:pPr>
            <w:r>
              <w:rPr>
                <w:rFonts w:ascii="Arial" w:cs="Arial" w:eastAsia="Arial" w:hAnsi="Arial"/>
                <w:sz w:val="14"/>
                <w:szCs w:val="14"/>
                <w:color w:val="231F20"/>
              </w:rPr>
              <w:t>50,000</w:t>
            </w:r>
          </w:p>
        </w:tc>
      </w:tr>
      <w:tr>
        <w:trPr>
          <w:trHeight w:val="235"/>
        </w:trPr>
        <w:tc>
          <w:tcPr>
            <w:tcW w:w="8320" w:type="dxa"/>
            <w:vAlign w:val="bottom"/>
            <w:tcBorders>
              <w:bottom w:val="single" w:sz="8" w:color="231F20"/>
            </w:tcBorders>
          </w:tcPr>
          <w:p>
            <w:pPr>
              <w:spacing w:after="0" w:line="235" w:lineRule="exact"/>
              <w:rPr>
                <w:sz w:val="20"/>
                <w:szCs w:val="20"/>
                <w:color w:val="auto"/>
              </w:rPr>
            </w:pPr>
            <w:r>
              <w:rPr>
                <w:rFonts w:ascii="Arial" w:cs="Arial" w:eastAsia="Arial" w:hAnsi="Arial"/>
                <w:sz w:val="14"/>
                <w:szCs w:val="14"/>
                <w:b w:val="1"/>
                <w:bCs w:val="1"/>
                <w:color w:val="455986"/>
              </w:rPr>
              <w:t>Tax Fees</w:t>
            </w:r>
            <w:r>
              <w:rPr>
                <w:rFonts w:ascii="Arial" w:cs="Arial" w:eastAsia="Arial" w:hAnsi="Arial"/>
                <w:sz w:val="24"/>
                <w:szCs w:val="24"/>
                <w:b w:val="1"/>
                <w:bCs w:val="1"/>
                <w:color w:val="455986"/>
                <w:vertAlign w:val="superscript"/>
              </w:rPr>
              <w:t>(3)</w:t>
            </w:r>
          </w:p>
        </w:tc>
        <w:tc>
          <w:tcPr>
            <w:tcW w:w="840" w:type="dxa"/>
            <w:vAlign w:val="bottom"/>
            <w:tcBorders>
              <w:bottom w:val="single" w:sz="8" w:color="231F20"/>
            </w:tcBorders>
          </w:tcPr>
          <w:p>
            <w:pPr>
              <w:jc w:val="right"/>
              <w:spacing w:after="0"/>
              <w:rPr>
                <w:sz w:val="20"/>
                <w:szCs w:val="20"/>
                <w:color w:val="auto"/>
              </w:rPr>
            </w:pPr>
            <w:r>
              <w:rPr>
                <w:rFonts w:ascii="Arial" w:cs="Arial" w:eastAsia="Arial" w:hAnsi="Arial"/>
                <w:sz w:val="14"/>
                <w:szCs w:val="14"/>
                <w:color w:val="231F20"/>
              </w:rPr>
              <w:t>$</w:t>
            </w:r>
          </w:p>
        </w:tc>
        <w:tc>
          <w:tcPr>
            <w:tcW w:w="1120" w:type="dxa"/>
            <w:vAlign w:val="bottom"/>
            <w:tcBorders>
              <w:bottom w:val="single" w:sz="8" w:color="231F20"/>
            </w:tcBorders>
          </w:tcPr>
          <w:p>
            <w:pPr>
              <w:jc w:val="right"/>
              <w:ind w:right="408"/>
              <w:spacing w:after="0"/>
              <w:rPr>
                <w:sz w:val="20"/>
                <w:szCs w:val="20"/>
                <w:color w:val="auto"/>
              </w:rPr>
            </w:pPr>
            <w:r>
              <w:rPr>
                <w:rFonts w:ascii="Arial" w:cs="Arial" w:eastAsia="Arial" w:hAnsi="Arial"/>
                <w:sz w:val="14"/>
                <w:szCs w:val="14"/>
                <w:color w:val="231F20"/>
              </w:rPr>
              <w:t>70,000</w:t>
            </w:r>
          </w:p>
        </w:tc>
        <w:tc>
          <w:tcPr>
            <w:tcW w:w="240" w:type="dxa"/>
            <w:vAlign w:val="bottom"/>
            <w:tcBorders>
              <w:bottom w:val="single" w:sz="8" w:color="231F20"/>
            </w:tcBorders>
          </w:tcPr>
          <w:p>
            <w:pPr>
              <w:jc w:val="right"/>
              <w:spacing w:after="0"/>
              <w:rPr>
                <w:sz w:val="20"/>
                <w:szCs w:val="20"/>
                <w:color w:val="auto"/>
              </w:rPr>
            </w:pPr>
            <w:r>
              <w:rPr>
                <w:rFonts w:ascii="Arial" w:cs="Arial" w:eastAsia="Arial" w:hAnsi="Arial"/>
                <w:sz w:val="14"/>
                <w:szCs w:val="14"/>
                <w:color w:val="231F20"/>
              </w:rPr>
              <w:t>$</w:t>
            </w:r>
          </w:p>
        </w:tc>
        <w:tc>
          <w:tcPr>
            <w:tcW w:w="720" w:type="dxa"/>
            <w:vAlign w:val="bottom"/>
            <w:tcBorders>
              <w:bottom w:val="single" w:sz="8" w:color="231F20"/>
            </w:tcBorders>
          </w:tcPr>
          <w:p>
            <w:pPr>
              <w:jc w:val="right"/>
              <w:ind w:right="8"/>
              <w:spacing w:after="0"/>
              <w:rPr>
                <w:sz w:val="20"/>
                <w:szCs w:val="20"/>
                <w:color w:val="auto"/>
              </w:rPr>
            </w:pPr>
            <w:r>
              <w:rPr>
                <w:rFonts w:ascii="Arial" w:cs="Arial" w:eastAsia="Arial" w:hAnsi="Arial"/>
                <w:sz w:val="14"/>
                <w:szCs w:val="14"/>
                <w:color w:val="231F20"/>
              </w:rPr>
              <w:t>35,752</w:t>
            </w:r>
          </w:p>
        </w:tc>
      </w:tr>
      <w:tr>
        <w:trPr>
          <w:trHeight w:val="235"/>
        </w:trPr>
        <w:tc>
          <w:tcPr>
            <w:tcW w:w="8320" w:type="dxa"/>
            <w:vAlign w:val="bottom"/>
            <w:tcBorders>
              <w:bottom w:val="single" w:sz="8" w:color="231F20"/>
            </w:tcBorders>
          </w:tcPr>
          <w:p>
            <w:pPr>
              <w:spacing w:after="0" w:line="235" w:lineRule="exact"/>
              <w:rPr>
                <w:sz w:val="20"/>
                <w:szCs w:val="20"/>
                <w:color w:val="auto"/>
              </w:rPr>
            </w:pPr>
            <w:r>
              <w:rPr>
                <w:rFonts w:ascii="Arial" w:cs="Arial" w:eastAsia="Arial" w:hAnsi="Arial"/>
                <w:sz w:val="14"/>
                <w:szCs w:val="14"/>
                <w:b w:val="1"/>
                <w:bCs w:val="1"/>
                <w:color w:val="455986"/>
              </w:rPr>
              <w:t>All Other Fees</w:t>
            </w:r>
            <w:r>
              <w:rPr>
                <w:rFonts w:ascii="Arial" w:cs="Arial" w:eastAsia="Arial" w:hAnsi="Arial"/>
                <w:sz w:val="24"/>
                <w:szCs w:val="24"/>
                <w:b w:val="1"/>
                <w:bCs w:val="1"/>
                <w:color w:val="455986"/>
                <w:vertAlign w:val="superscript"/>
              </w:rPr>
              <w:t>(4)</w:t>
            </w:r>
          </w:p>
        </w:tc>
        <w:tc>
          <w:tcPr>
            <w:tcW w:w="840" w:type="dxa"/>
            <w:vAlign w:val="bottom"/>
            <w:tcBorders>
              <w:bottom w:val="single" w:sz="8" w:color="231F20"/>
            </w:tcBorders>
          </w:tcPr>
          <w:p>
            <w:pPr>
              <w:jc w:val="right"/>
              <w:spacing w:after="0"/>
              <w:rPr>
                <w:sz w:val="20"/>
                <w:szCs w:val="20"/>
                <w:color w:val="auto"/>
              </w:rPr>
            </w:pPr>
            <w:r>
              <w:rPr>
                <w:rFonts w:ascii="Arial" w:cs="Arial" w:eastAsia="Arial" w:hAnsi="Arial"/>
                <w:sz w:val="14"/>
                <w:szCs w:val="14"/>
                <w:color w:val="231F20"/>
              </w:rPr>
              <w:t>$</w:t>
            </w:r>
          </w:p>
        </w:tc>
        <w:tc>
          <w:tcPr>
            <w:tcW w:w="1120" w:type="dxa"/>
            <w:vAlign w:val="bottom"/>
            <w:tcBorders>
              <w:bottom w:val="single" w:sz="8" w:color="231F20"/>
            </w:tcBorders>
          </w:tcPr>
          <w:p>
            <w:pPr>
              <w:jc w:val="right"/>
              <w:ind w:right="408"/>
              <w:spacing w:after="0"/>
              <w:rPr>
                <w:sz w:val="20"/>
                <w:szCs w:val="20"/>
                <w:color w:val="auto"/>
              </w:rPr>
            </w:pPr>
            <w:r>
              <w:rPr>
                <w:rFonts w:ascii="Arial" w:cs="Arial" w:eastAsia="Arial" w:hAnsi="Arial"/>
                <w:sz w:val="14"/>
                <w:szCs w:val="14"/>
                <w:color w:val="231F20"/>
              </w:rPr>
              <w:t>10,000</w:t>
            </w:r>
          </w:p>
        </w:tc>
        <w:tc>
          <w:tcPr>
            <w:tcW w:w="240" w:type="dxa"/>
            <w:vAlign w:val="bottom"/>
            <w:tcBorders>
              <w:bottom w:val="single" w:sz="8" w:color="231F20"/>
            </w:tcBorders>
          </w:tcPr>
          <w:p>
            <w:pPr>
              <w:jc w:val="right"/>
              <w:spacing w:after="0"/>
              <w:rPr>
                <w:sz w:val="20"/>
                <w:szCs w:val="20"/>
                <w:color w:val="auto"/>
              </w:rPr>
            </w:pPr>
            <w:r>
              <w:rPr>
                <w:rFonts w:ascii="Arial" w:cs="Arial" w:eastAsia="Arial" w:hAnsi="Arial"/>
                <w:sz w:val="14"/>
                <w:szCs w:val="14"/>
                <w:color w:val="231F20"/>
              </w:rPr>
              <w:t>$</w:t>
            </w:r>
          </w:p>
        </w:tc>
        <w:tc>
          <w:tcPr>
            <w:tcW w:w="720" w:type="dxa"/>
            <w:vAlign w:val="bottom"/>
            <w:tcBorders>
              <w:bottom w:val="single" w:sz="8" w:color="231F20"/>
            </w:tcBorders>
          </w:tcPr>
          <w:p>
            <w:pPr>
              <w:jc w:val="right"/>
              <w:ind w:right="8"/>
              <w:spacing w:after="0"/>
              <w:rPr>
                <w:sz w:val="20"/>
                <w:szCs w:val="20"/>
                <w:color w:val="auto"/>
              </w:rPr>
            </w:pPr>
            <w:r>
              <w:rPr>
                <w:rFonts w:ascii="Arial" w:cs="Arial" w:eastAsia="Arial" w:hAnsi="Arial"/>
                <w:sz w:val="14"/>
                <w:szCs w:val="14"/>
                <w:color w:val="231F20"/>
              </w:rPr>
              <w:t>5,000</w:t>
            </w:r>
          </w:p>
        </w:tc>
      </w:tr>
      <w:tr>
        <w:trPr>
          <w:trHeight w:val="197"/>
        </w:trPr>
        <w:tc>
          <w:tcPr>
            <w:tcW w:w="8320" w:type="dxa"/>
            <w:vAlign w:val="bottom"/>
            <w:tcBorders>
              <w:bottom w:val="single" w:sz="8" w:color="455986"/>
            </w:tcBorders>
          </w:tcPr>
          <w:p>
            <w:pPr>
              <w:spacing w:after="0"/>
              <w:rPr>
                <w:sz w:val="20"/>
                <w:szCs w:val="20"/>
                <w:color w:val="auto"/>
              </w:rPr>
            </w:pPr>
            <w:r>
              <w:rPr>
                <w:rFonts w:ascii="Arial" w:cs="Arial" w:eastAsia="Arial" w:hAnsi="Arial"/>
                <w:sz w:val="14"/>
                <w:szCs w:val="14"/>
                <w:b w:val="1"/>
                <w:bCs w:val="1"/>
                <w:color w:val="455986"/>
              </w:rPr>
              <w:t>TOTAL</w:t>
            </w:r>
          </w:p>
        </w:tc>
        <w:tc>
          <w:tcPr>
            <w:tcW w:w="1960" w:type="dxa"/>
            <w:vAlign w:val="bottom"/>
            <w:tcBorders>
              <w:bottom w:val="single" w:sz="8" w:color="455986"/>
            </w:tcBorders>
            <w:gridSpan w:val="2"/>
          </w:tcPr>
          <w:p>
            <w:pPr>
              <w:jc w:val="right"/>
              <w:ind w:right="408"/>
              <w:spacing w:after="0"/>
              <w:rPr>
                <w:sz w:val="20"/>
                <w:szCs w:val="20"/>
                <w:color w:val="auto"/>
              </w:rPr>
            </w:pPr>
            <w:r>
              <w:rPr>
                <w:rFonts w:ascii="Arial" w:cs="Arial" w:eastAsia="Arial" w:hAnsi="Arial"/>
                <w:sz w:val="14"/>
                <w:szCs w:val="14"/>
                <w:color w:val="231F20"/>
              </w:rPr>
              <w:t>$3,016,500</w:t>
            </w:r>
          </w:p>
        </w:tc>
        <w:tc>
          <w:tcPr>
            <w:tcW w:w="240" w:type="dxa"/>
            <w:vAlign w:val="bottom"/>
            <w:tcBorders>
              <w:bottom w:val="single" w:sz="8" w:color="455986"/>
            </w:tcBorders>
          </w:tcPr>
          <w:p>
            <w:pPr>
              <w:jc w:val="right"/>
              <w:spacing w:after="0"/>
              <w:rPr>
                <w:sz w:val="20"/>
                <w:szCs w:val="20"/>
                <w:color w:val="auto"/>
              </w:rPr>
            </w:pPr>
            <w:r>
              <w:rPr>
                <w:rFonts w:ascii="Arial" w:cs="Arial" w:eastAsia="Arial" w:hAnsi="Arial"/>
                <w:sz w:val="14"/>
                <w:szCs w:val="14"/>
                <w:color w:val="231F20"/>
              </w:rPr>
              <w:t>$</w:t>
            </w:r>
          </w:p>
        </w:tc>
        <w:tc>
          <w:tcPr>
            <w:tcW w:w="720" w:type="dxa"/>
            <w:vAlign w:val="bottom"/>
            <w:tcBorders>
              <w:bottom w:val="single" w:sz="8" w:color="455986"/>
            </w:tcBorders>
          </w:tcPr>
          <w:p>
            <w:pPr>
              <w:jc w:val="right"/>
              <w:ind w:right="8"/>
              <w:spacing w:after="0"/>
              <w:rPr>
                <w:sz w:val="20"/>
                <w:szCs w:val="20"/>
                <w:color w:val="auto"/>
              </w:rPr>
            </w:pPr>
            <w:r>
              <w:rPr>
                <w:rFonts w:ascii="Arial" w:cs="Arial" w:eastAsia="Arial" w:hAnsi="Arial"/>
                <w:sz w:val="14"/>
                <w:szCs w:val="14"/>
                <w:color w:val="231F20"/>
                <w:w w:val="99"/>
              </w:rPr>
              <w:t>2,122,752</w:t>
            </w:r>
          </w:p>
        </w:tc>
      </w:tr>
    </w:tbl>
    <w:p>
      <w:pPr>
        <w:spacing w:after="0" w:line="137" w:lineRule="exact"/>
        <w:rPr>
          <w:sz w:val="20"/>
          <w:szCs w:val="20"/>
          <w:color w:val="auto"/>
        </w:rPr>
      </w:pPr>
    </w:p>
    <w:p>
      <w:pPr>
        <w:ind w:left="200" w:right="20" w:hanging="198"/>
        <w:spacing w:after="0" w:line="243" w:lineRule="auto"/>
        <w:tabs>
          <w:tab w:leader="none" w:pos="200" w:val="left"/>
        </w:tabs>
        <w:numPr>
          <w:ilvl w:val="0"/>
          <w:numId w:val="81"/>
        </w:numPr>
        <w:rPr>
          <w:rFonts w:ascii="Arial" w:cs="Arial" w:eastAsia="Arial" w:hAnsi="Arial"/>
          <w:sz w:val="13"/>
          <w:szCs w:val="13"/>
          <w:color w:val="231F20"/>
        </w:rPr>
      </w:pPr>
      <w:r>
        <w:rPr>
          <w:rFonts w:ascii="Arial" w:cs="Arial" w:eastAsia="Arial" w:hAnsi="Arial"/>
          <w:sz w:val="13"/>
          <w:szCs w:val="13"/>
          <w:color w:val="231F20"/>
        </w:rPr>
        <w:t>Represents fees for any professional services provided in connection with the audit of the Company’s annual financial statements (including the audit of internal control over financial reporting), non-recurring audit fees of $622,500, reviews of the Company’s interim financial statements included in Form 10-Qs, audits of the Company’s subsidiaries, issuance of consents, and comfort letter procedures.</w:t>
      </w:r>
    </w:p>
    <w:p>
      <w:pPr>
        <w:spacing w:after="0" w:line="56" w:lineRule="exact"/>
        <w:rPr>
          <w:rFonts w:ascii="Arial" w:cs="Arial" w:eastAsia="Arial" w:hAnsi="Arial"/>
          <w:sz w:val="13"/>
          <w:szCs w:val="13"/>
          <w:color w:val="231F20"/>
        </w:rPr>
      </w:pPr>
    </w:p>
    <w:p>
      <w:pPr>
        <w:ind w:left="200" w:hanging="198"/>
        <w:spacing w:after="0"/>
        <w:tabs>
          <w:tab w:leader="none" w:pos="200" w:val="left"/>
        </w:tabs>
        <w:numPr>
          <w:ilvl w:val="0"/>
          <w:numId w:val="81"/>
        </w:numPr>
        <w:rPr>
          <w:rFonts w:ascii="Arial" w:cs="Arial" w:eastAsia="Arial" w:hAnsi="Arial"/>
          <w:sz w:val="12"/>
          <w:szCs w:val="12"/>
          <w:color w:val="231F20"/>
        </w:rPr>
      </w:pPr>
      <w:r>
        <w:rPr>
          <w:rFonts w:ascii="Arial" w:cs="Arial" w:eastAsia="Arial" w:hAnsi="Arial"/>
          <w:sz w:val="12"/>
          <w:szCs w:val="12"/>
          <w:color w:val="231F20"/>
        </w:rPr>
        <w:t>Represents fees for services in connection with accounting consultations of acquisitions, consultation concerning implementation of auditing standards and regulator required workpaper reviews.</w:t>
      </w:r>
    </w:p>
    <w:p>
      <w:pPr>
        <w:spacing w:after="0" w:line="78" w:lineRule="exact"/>
        <w:rPr>
          <w:rFonts w:ascii="Arial" w:cs="Arial" w:eastAsia="Arial" w:hAnsi="Arial"/>
          <w:sz w:val="12"/>
          <w:szCs w:val="12"/>
          <w:color w:val="231F20"/>
        </w:rPr>
      </w:pPr>
    </w:p>
    <w:p>
      <w:pPr>
        <w:ind w:left="200" w:hanging="198"/>
        <w:spacing w:after="0"/>
        <w:tabs>
          <w:tab w:leader="none" w:pos="200" w:val="left"/>
        </w:tabs>
        <w:numPr>
          <w:ilvl w:val="0"/>
          <w:numId w:val="81"/>
        </w:numPr>
        <w:rPr>
          <w:rFonts w:ascii="Arial" w:cs="Arial" w:eastAsia="Arial" w:hAnsi="Arial"/>
          <w:sz w:val="13"/>
          <w:szCs w:val="13"/>
          <w:color w:val="231F20"/>
        </w:rPr>
      </w:pPr>
      <w:r>
        <w:rPr>
          <w:rFonts w:ascii="Arial" w:cs="Arial" w:eastAsia="Arial" w:hAnsi="Arial"/>
          <w:sz w:val="13"/>
          <w:szCs w:val="13"/>
          <w:color w:val="231F20"/>
        </w:rPr>
        <w:t>Represents fees for any professional services in connection with the review of the Company’s federal and state tax returns.</w:t>
      </w:r>
    </w:p>
    <w:p>
      <w:pPr>
        <w:spacing w:after="0" w:line="80" w:lineRule="exact"/>
        <w:rPr>
          <w:rFonts w:ascii="Arial" w:cs="Arial" w:eastAsia="Arial" w:hAnsi="Arial"/>
          <w:sz w:val="13"/>
          <w:szCs w:val="13"/>
          <w:color w:val="231F20"/>
        </w:rPr>
      </w:pPr>
    </w:p>
    <w:p>
      <w:pPr>
        <w:ind w:left="200" w:hanging="198"/>
        <w:spacing w:after="0"/>
        <w:tabs>
          <w:tab w:leader="none" w:pos="200" w:val="left"/>
        </w:tabs>
        <w:numPr>
          <w:ilvl w:val="0"/>
          <w:numId w:val="81"/>
        </w:numPr>
        <w:rPr>
          <w:rFonts w:ascii="Arial" w:cs="Arial" w:eastAsia="Arial" w:hAnsi="Arial"/>
          <w:sz w:val="13"/>
          <w:szCs w:val="13"/>
          <w:color w:val="231F20"/>
        </w:rPr>
      </w:pPr>
      <w:r>
        <w:rPr>
          <w:rFonts w:ascii="Arial" w:cs="Arial" w:eastAsia="Arial" w:hAnsi="Arial"/>
          <w:sz w:val="13"/>
          <w:szCs w:val="13"/>
          <w:color w:val="231F20"/>
        </w:rPr>
        <w:t>Represents fees for software licensing for accounting research, a utility and technical accounting seminar, and out-of-pocket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904240</wp:posOffset>
            </wp:positionV>
            <wp:extent cx="7139940"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39940" cy="825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109855</wp:posOffset>
            </wp:positionV>
            <wp:extent cx="5956300" cy="67246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5956300" cy="6724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300" w:hanging="298"/>
        <w:spacing w:after="0"/>
        <w:tabs>
          <w:tab w:leader="none" w:pos="300" w:val="left"/>
        </w:tabs>
        <w:numPr>
          <w:ilvl w:val="0"/>
          <w:numId w:val="82"/>
        </w:numPr>
        <w:rPr>
          <w:rFonts w:ascii="Arial" w:cs="Arial" w:eastAsia="Arial" w:hAnsi="Arial"/>
          <w:sz w:val="15"/>
          <w:szCs w:val="15"/>
          <w:color w:val="455986"/>
        </w:rPr>
      </w:pPr>
      <w:r>
        <w:rPr>
          <w:rFonts w:ascii="Arial" w:cs="Arial" w:eastAsia="Arial" w:hAnsi="Arial"/>
          <w:sz w:val="12"/>
          <w:szCs w:val="12"/>
          <w:color w:val="4395D4"/>
        </w:rPr>
        <w:t xml:space="preserve">ESSENTIAL UTILITIES, INC. </w:t>
      </w:r>
      <w:r>
        <w:rPr>
          <w:rFonts w:ascii="Arial" w:cs="Arial" w:eastAsia="Arial" w:hAnsi="Arial"/>
          <w:sz w:val="12"/>
          <w:szCs w:val="12"/>
          <w:color w:val="455986"/>
        </w:rPr>
        <w:t>2021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324485</wp:posOffset>
            </wp:positionV>
            <wp:extent cx="7139940" cy="2413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39940" cy="24130"/>
                    </a:xfrm>
                    <a:prstGeom prst="rect">
                      <a:avLst/>
                    </a:prstGeom>
                    <a:noFill/>
                  </pic:spPr>
                </pic:pic>
              </a:graphicData>
            </a:graphic>
          </wp:anchor>
        </w:drawing>
      </w:r>
    </w:p>
    <w:p>
      <w:pPr>
        <w:sectPr>
          <w:pgSz w:w="11900" w:h="16838" w:orient="portrait"/>
          <w:cols w:equalWidth="0" w:num="1">
            <w:col w:w="11240"/>
          </w:cols>
          <w:pgMar w:left="320" w:top="614" w:right="339" w:bottom="1440" w:gutter="0" w:footer="0" w:header="0"/>
        </w:sectPr>
      </w:pPr>
    </w:p>
    <w:bookmarkStart w:id="41" w:name="page42"/>
    <w:bookmarkEnd w:id="41"/>
    <w:p>
      <w:pPr>
        <w:spacing w:after="0"/>
        <w:rPr>
          <w:sz w:val="20"/>
          <w:szCs w:val="20"/>
          <w:color w:val="auto"/>
        </w:rPr>
      </w:pPr>
      <w:r>
        <w:rPr>
          <w:rFonts w:ascii="Arial" w:cs="Arial" w:eastAsia="Arial" w:hAnsi="Arial"/>
          <w:sz w:val="14"/>
          <w:szCs w:val="14"/>
          <w:b w:val="1"/>
          <w:bCs w:val="1"/>
          <w:color w:val="455986"/>
        </w:rPr>
        <w:t>Proposal 2: Ratification of the Appointment of PricewaterhouseCoopers LLP as Independent Registered Public Accounting Firm for Fiscal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27940</wp:posOffset>
            </wp:positionV>
            <wp:extent cx="7139940"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39940" cy="8255"/>
                    </a:xfrm>
                    <a:prstGeom prst="rect">
                      <a:avLst/>
                    </a:prstGeom>
                    <a:noFill/>
                  </pic:spPr>
                </pic:pic>
              </a:graphicData>
            </a:graphic>
          </wp:anchor>
        </w:drawing>
      </w:r>
    </w:p>
    <w:p>
      <w:pPr>
        <w:spacing w:after="0" w:line="76" w:lineRule="exact"/>
        <w:rPr>
          <w:sz w:val="20"/>
          <w:szCs w:val="20"/>
          <w:color w:val="auto"/>
        </w:rPr>
      </w:pPr>
    </w:p>
    <w:p>
      <w:pPr>
        <w:spacing w:after="0"/>
        <w:rPr>
          <w:sz w:val="20"/>
          <w:szCs w:val="20"/>
          <w:color w:val="auto"/>
        </w:rPr>
      </w:pPr>
      <w:r>
        <w:rPr>
          <w:rFonts w:ascii="Arial" w:cs="Arial" w:eastAsia="Arial" w:hAnsi="Arial"/>
          <w:sz w:val="14"/>
          <w:szCs w:val="14"/>
          <w:color w:val="231F20"/>
        </w:rPr>
        <w:t>Audit Committee Report</w:t>
      </w:r>
    </w:p>
    <w:p>
      <w:pPr>
        <w:spacing w:after="0" w:line="163" w:lineRule="exact"/>
        <w:rPr>
          <w:sz w:val="20"/>
          <w:szCs w:val="20"/>
          <w:color w:val="auto"/>
        </w:rPr>
      </w:pPr>
    </w:p>
    <w:p>
      <w:pPr>
        <w:spacing w:after="0"/>
        <w:rPr>
          <w:sz w:val="20"/>
          <w:szCs w:val="20"/>
          <w:color w:val="auto"/>
        </w:rPr>
      </w:pPr>
      <w:r>
        <w:rPr>
          <w:rFonts w:ascii="Arial" w:cs="Arial" w:eastAsia="Arial" w:hAnsi="Arial"/>
          <w:sz w:val="24"/>
          <w:szCs w:val="24"/>
          <w:b w:val="1"/>
          <w:bCs w:val="1"/>
          <w:color w:val="455986"/>
        </w:rPr>
        <w:t>Audit Committee Report</w:t>
      </w:r>
    </w:p>
    <w:p>
      <w:pPr>
        <w:spacing w:after="0" w:line="169" w:lineRule="exact"/>
        <w:rPr>
          <w:sz w:val="20"/>
          <w:szCs w:val="20"/>
          <w:color w:val="auto"/>
        </w:rPr>
      </w:pPr>
    </w:p>
    <w:p>
      <w:pPr>
        <w:ind w:right="440"/>
        <w:spacing w:after="0" w:line="253" w:lineRule="auto"/>
        <w:rPr>
          <w:sz w:val="20"/>
          <w:szCs w:val="20"/>
          <w:color w:val="auto"/>
        </w:rPr>
      </w:pPr>
      <w:r>
        <w:rPr>
          <w:rFonts w:ascii="Arial" w:cs="Arial" w:eastAsia="Arial" w:hAnsi="Arial"/>
          <w:sz w:val="14"/>
          <w:szCs w:val="14"/>
          <w:color w:val="231F20"/>
        </w:rPr>
        <w:t>The Audit Committee oversees the Company’s financial reporting process on behalf of the Board of Directors. Management has the primary responsibility for the financial statements and the reporting process, including the system of internal control. In fulfilling its oversight responsibilities, the Audit Committee reviewed and discussed with management the audited financial statements in the Annual Report, including:</w:t>
      </w:r>
    </w:p>
    <w:p>
      <w:pPr>
        <w:spacing w:after="0" w:line="103" w:lineRule="exact"/>
        <w:rPr>
          <w:sz w:val="20"/>
          <w:szCs w:val="20"/>
          <w:color w:val="auto"/>
        </w:rPr>
      </w:pPr>
    </w:p>
    <w:p>
      <w:pPr>
        <w:ind w:left="200" w:hanging="198"/>
        <w:spacing w:after="0"/>
        <w:tabs>
          <w:tab w:leader="none" w:pos="200" w:val="left"/>
        </w:tabs>
        <w:numPr>
          <w:ilvl w:val="0"/>
          <w:numId w:val="83"/>
        </w:numPr>
        <w:rPr>
          <w:rFonts w:ascii="Arial" w:cs="Arial" w:eastAsia="Arial" w:hAnsi="Arial"/>
          <w:sz w:val="14"/>
          <w:szCs w:val="14"/>
          <w:color w:val="4395D4"/>
        </w:rPr>
      </w:pPr>
      <w:r>
        <w:rPr>
          <w:rFonts w:ascii="Arial" w:cs="Arial" w:eastAsia="Arial" w:hAnsi="Arial"/>
          <w:sz w:val="14"/>
          <w:szCs w:val="14"/>
          <w:color w:val="231F20"/>
        </w:rPr>
        <w:t>the quality of the accounting principles, practices and judgments;</w:t>
      </w:r>
    </w:p>
    <w:p>
      <w:pPr>
        <w:spacing w:after="0" w:line="68" w:lineRule="exact"/>
        <w:rPr>
          <w:rFonts w:ascii="Arial" w:cs="Arial" w:eastAsia="Arial" w:hAnsi="Arial"/>
          <w:sz w:val="14"/>
          <w:szCs w:val="14"/>
          <w:color w:val="4395D4"/>
        </w:rPr>
      </w:pPr>
    </w:p>
    <w:p>
      <w:pPr>
        <w:ind w:left="200" w:hanging="198"/>
        <w:spacing w:after="0"/>
        <w:tabs>
          <w:tab w:leader="none" w:pos="200" w:val="left"/>
        </w:tabs>
        <w:numPr>
          <w:ilvl w:val="0"/>
          <w:numId w:val="83"/>
        </w:numPr>
        <w:rPr>
          <w:rFonts w:ascii="Arial" w:cs="Arial" w:eastAsia="Arial" w:hAnsi="Arial"/>
          <w:sz w:val="14"/>
          <w:szCs w:val="14"/>
          <w:color w:val="4395D4"/>
        </w:rPr>
      </w:pPr>
      <w:r>
        <w:rPr>
          <w:rFonts w:ascii="Arial" w:cs="Arial" w:eastAsia="Arial" w:hAnsi="Arial"/>
          <w:sz w:val="14"/>
          <w:szCs w:val="14"/>
          <w:color w:val="231F20"/>
        </w:rPr>
        <w:t>the reasonableness of significant judgments; the clarity of disclosures in the financial statements; and</w:t>
      </w:r>
    </w:p>
    <w:p>
      <w:pPr>
        <w:spacing w:after="0" w:line="81" w:lineRule="exact"/>
        <w:rPr>
          <w:rFonts w:ascii="Arial" w:cs="Arial" w:eastAsia="Arial" w:hAnsi="Arial"/>
          <w:sz w:val="14"/>
          <w:szCs w:val="14"/>
          <w:color w:val="4395D4"/>
        </w:rPr>
      </w:pPr>
    </w:p>
    <w:p>
      <w:pPr>
        <w:ind w:left="200" w:hanging="198"/>
        <w:spacing w:after="0"/>
        <w:tabs>
          <w:tab w:leader="none" w:pos="200" w:val="left"/>
        </w:tabs>
        <w:numPr>
          <w:ilvl w:val="0"/>
          <w:numId w:val="83"/>
        </w:numPr>
        <w:rPr>
          <w:rFonts w:ascii="Arial" w:cs="Arial" w:eastAsia="Arial" w:hAnsi="Arial"/>
          <w:sz w:val="14"/>
          <w:szCs w:val="14"/>
          <w:color w:val="4395D4"/>
        </w:rPr>
      </w:pPr>
      <w:r>
        <w:rPr>
          <w:rFonts w:ascii="Arial" w:cs="Arial" w:eastAsia="Arial" w:hAnsi="Arial"/>
          <w:sz w:val="14"/>
          <w:szCs w:val="14"/>
          <w:color w:val="231F20"/>
        </w:rPr>
        <w:t>the integrity of the Company’s financial reporting processes and controls.</w:t>
      </w:r>
    </w:p>
    <w:p>
      <w:pPr>
        <w:spacing w:after="0" w:line="81" w:lineRule="exact"/>
        <w:rPr>
          <w:sz w:val="20"/>
          <w:szCs w:val="20"/>
          <w:color w:val="auto"/>
        </w:rPr>
      </w:pPr>
    </w:p>
    <w:p>
      <w:pPr>
        <w:ind w:right="700"/>
        <w:spacing w:after="0" w:line="278" w:lineRule="auto"/>
        <w:rPr>
          <w:sz w:val="20"/>
          <w:szCs w:val="20"/>
          <w:color w:val="auto"/>
        </w:rPr>
      </w:pPr>
      <w:r>
        <w:rPr>
          <w:rFonts w:ascii="Arial" w:cs="Arial" w:eastAsia="Arial" w:hAnsi="Arial"/>
          <w:sz w:val="14"/>
          <w:szCs w:val="14"/>
          <w:color w:val="231F20"/>
        </w:rPr>
        <w:t>The Committee also discussed the selection and evaluation of the independent registered public accounting firm, including the review of all relationships between the independent registered public accounting firm and the Company.</w:t>
      </w:r>
    </w:p>
    <w:p>
      <w:pPr>
        <w:spacing w:after="0" w:line="86" w:lineRule="exact"/>
        <w:rPr>
          <w:sz w:val="20"/>
          <w:szCs w:val="20"/>
          <w:color w:val="auto"/>
        </w:rPr>
      </w:pPr>
    </w:p>
    <w:p>
      <w:pPr>
        <w:ind w:right="40"/>
        <w:spacing w:after="0" w:line="253" w:lineRule="auto"/>
        <w:rPr>
          <w:sz w:val="20"/>
          <w:szCs w:val="20"/>
          <w:color w:val="auto"/>
        </w:rPr>
      </w:pPr>
      <w:r>
        <w:rPr>
          <w:rFonts w:ascii="Arial" w:cs="Arial" w:eastAsia="Arial" w:hAnsi="Arial"/>
          <w:sz w:val="14"/>
          <w:szCs w:val="14"/>
          <w:color w:val="231F20"/>
        </w:rPr>
        <w:t>The Audit Committee reviewed with the independent registered public accounting firm, which is responsible for expressing an opinion on the conformity of those audited financial statements with generally accepted accounting principles in the United States of America, their judgments as to the quality of the Company’s accounting principles and such other matters as required to be discussed by the applicable requirements of the Public Company Accounting Oversight Board.</w:t>
      </w:r>
    </w:p>
    <w:p>
      <w:pPr>
        <w:spacing w:after="0" w:line="103" w:lineRule="exact"/>
        <w:rPr>
          <w:sz w:val="20"/>
          <w:szCs w:val="20"/>
          <w:color w:val="auto"/>
        </w:rPr>
      </w:pPr>
    </w:p>
    <w:p>
      <w:pPr>
        <w:ind w:right="80"/>
        <w:spacing w:after="0" w:line="253" w:lineRule="auto"/>
        <w:rPr>
          <w:sz w:val="20"/>
          <w:szCs w:val="20"/>
          <w:color w:val="auto"/>
        </w:rPr>
      </w:pPr>
      <w:r>
        <w:rPr>
          <w:rFonts w:ascii="Arial" w:cs="Arial" w:eastAsia="Arial" w:hAnsi="Arial"/>
          <w:sz w:val="14"/>
          <w:szCs w:val="14"/>
          <w:color w:val="231F20"/>
        </w:rPr>
        <w:t>In addition, the Audit Committee has discussed with the independent registered public accounting firm, the firm’s independence from management and the Company, including the matters in the written disclosures required by the applicable requirements of the Public Company Accounting Oversight Board regarding the independent accountant’s communications with the Audit Committee concerning independence, and considered the compatibility of non-audit services with the accountants’ independence.</w:t>
      </w:r>
    </w:p>
    <w:p>
      <w:pPr>
        <w:spacing w:after="0" w:line="103" w:lineRule="exact"/>
        <w:rPr>
          <w:sz w:val="20"/>
          <w:szCs w:val="20"/>
          <w:color w:val="auto"/>
        </w:rPr>
      </w:pPr>
    </w:p>
    <w:p>
      <w:pPr>
        <w:ind w:right="60"/>
        <w:spacing w:after="0" w:line="253" w:lineRule="auto"/>
        <w:rPr>
          <w:sz w:val="20"/>
          <w:szCs w:val="20"/>
          <w:color w:val="auto"/>
        </w:rPr>
      </w:pPr>
      <w:r>
        <w:rPr>
          <w:rFonts w:ascii="Arial" w:cs="Arial" w:eastAsia="Arial" w:hAnsi="Arial"/>
          <w:sz w:val="14"/>
          <w:szCs w:val="14"/>
          <w:color w:val="231F20"/>
        </w:rPr>
        <w:t>The Audit Committee discussed with the Company’s internal auditors and independent registered public accounting firm, the overall scope and plans for their respective audits. The Audit Committee meets with the internal auditors and independent registered public accounting firm, with and without management present, to discuss the results of their examinations, their evaluations of the Company’s internal controls, and the overall quality of the Company’s financial reporting.</w:t>
      </w:r>
    </w:p>
    <w:p>
      <w:pPr>
        <w:spacing w:after="0" w:line="103" w:lineRule="exact"/>
        <w:rPr>
          <w:sz w:val="20"/>
          <w:szCs w:val="20"/>
          <w:color w:val="auto"/>
        </w:rPr>
      </w:pPr>
    </w:p>
    <w:p>
      <w:pPr>
        <w:spacing w:after="0" w:line="278" w:lineRule="auto"/>
        <w:rPr>
          <w:sz w:val="20"/>
          <w:szCs w:val="20"/>
          <w:color w:val="auto"/>
        </w:rPr>
      </w:pPr>
      <w:r>
        <w:rPr>
          <w:rFonts w:ascii="Arial" w:cs="Arial" w:eastAsia="Arial" w:hAnsi="Arial"/>
          <w:sz w:val="14"/>
          <w:szCs w:val="14"/>
          <w:color w:val="231F20"/>
        </w:rPr>
        <w:t>In reliance on the reviews and discussions referred to above, the Audit Committee recommended to the Board of Directors, and the Board of Directors approved, the inclusion of the Company’s audited financial statements in the Company’s Annual Report on Form 10-K for the year ended December 31, 2020 for filing with the SEC.</w:t>
      </w:r>
    </w:p>
    <w:p>
      <w:pPr>
        <w:spacing w:after="0" w:line="86" w:lineRule="exact"/>
        <w:rPr>
          <w:sz w:val="20"/>
          <w:szCs w:val="20"/>
          <w:color w:val="auto"/>
        </w:rPr>
      </w:pPr>
    </w:p>
    <w:p>
      <w:pPr>
        <w:spacing w:after="0"/>
        <w:rPr>
          <w:sz w:val="20"/>
          <w:szCs w:val="20"/>
          <w:color w:val="auto"/>
        </w:rPr>
      </w:pPr>
      <w:r>
        <w:rPr>
          <w:rFonts w:ascii="Arial" w:cs="Arial" w:eastAsia="Arial" w:hAnsi="Arial"/>
          <w:sz w:val="14"/>
          <w:szCs w:val="14"/>
          <w:color w:val="231F20"/>
        </w:rPr>
        <w:t>Respectfully submitted,</w:t>
      </w:r>
    </w:p>
    <w:p>
      <w:pPr>
        <w:spacing w:after="0" w:line="143" w:lineRule="exact"/>
        <w:rPr>
          <w:sz w:val="20"/>
          <w:szCs w:val="20"/>
          <w:color w:val="auto"/>
        </w:rPr>
      </w:pPr>
    </w:p>
    <w:p>
      <w:pPr>
        <w:spacing w:after="0"/>
        <w:rPr>
          <w:sz w:val="20"/>
          <w:szCs w:val="20"/>
          <w:color w:val="auto"/>
        </w:rPr>
      </w:pPr>
      <w:r>
        <w:rPr>
          <w:rFonts w:ascii="Arial" w:cs="Arial" w:eastAsia="Arial" w:hAnsi="Arial"/>
          <w:sz w:val="14"/>
          <w:szCs w:val="14"/>
          <w:b w:val="1"/>
          <w:bCs w:val="1"/>
          <w:color w:val="231F20"/>
        </w:rPr>
        <w:t>Lee C. Stewart</w:t>
      </w:r>
      <w:r>
        <w:rPr>
          <w:rFonts w:ascii="Arial" w:cs="Arial" w:eastAsia="Arial" w:hAnsi="Arial"/>
          <w:sz w:val="14"/>
          <w:szCs w:val="14"/>
          <w:color w:val="231F20"/>
        </w:rPr>
        <w:t>, Chairman</w:t>
      </w:r>
    </w:p>
    <w:p>
      <w:pPr>
        <w:spacing w:after="0" w:line="4" w:lineRule="exact"/>
        <w:rPr>
          <w:sz w:val="20"/>
          <w:szCs w:val="20"/>
          <w:color w:val="auto"/>
        </w:rPr>
      </w:pPr>
    </w:p>
    <w:p>
      <w:pPr>
        <w:spacing w:after="0"/>
        <w:rPr>
          <w:sz w:val="20"/>
          <w:szCs w:val="20"/>
          <w:color w:val="auto"/>
        </w:rPr>
      </w:pPr>
      <w:r>
        <w:rPr>
          <w:rFonts w:ascii="Arial" w:cs="Arial" w:eastAsia="Arial" w:hAnsi="Arial"/>
          <w:sz w:val="14"/>
          <w:szCs w:val="14"/>
          <w:color w:val="231F20"/>
        </w:rPr>
        <w:t>Francis O. Idehen</w:t>
      </w:r>
    </w:p>
    <w:p>
      <w:pPr>
        <w:spacing w:after="0"/>
        <w:rPr>
          <w:sz w:val="20"/>
          <w:szCs w:val="20"/>
          <w:color w:val="auto"/>
        </w:rPr>
      </w:pPr>
      <w:r>
        <w:rPr>
          <w:rFonts w:ascii="Arial" w:cs="Arial" w:eastAsia="Arial" w:hAnsi="Arial"/>
          <w:sz w:val="14"/>
          <w:szCs w:val="14"/>
          <w:color w:val="231F20"/>
        </w:rPr>
        <w:t>Wendy A. Franks</w:t>
      </w:r>
    </w:p>
    <w:p>
      <w:pPr>
        <w:spacing w:after="0" w:line="127" w:lineRule="exact"/>
        <w:rPr>
          <w:sz w:val="20"/>
          <w:szCs w:val="20"/>
          <w:color w:val="auto"/>
        </w:rPr>
      </w:pPr>
    </w:p>
    <w:p>
      <w:pPr>
        <w:spacing w:after="0"/>
        <w:rPr>
          <w:sz w:val="20"/>
          <w:szCs w:val="20"/>
          <w:color w:val="auto"/>
        </w:rPr>
      </w:pPr>
      <w:r>
        <w:rPr>
          <w:rFonts w:ascii="Arial" w:cs="Arial" w:eastAsia="Arial" w:hAnsi="Arial"/>
          <w:sz w:val="14"/>
          <w:szCs w:val="14"/>
          <w:color w:val="231F20"/>
        </w:rPr>
        <w:t>February 23,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130175</wp:posOffset>
            </wp:positionV>
            <wp:extent cx="7139940"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39940" cy="8255"/>
                    </a:xfrm>
                    <a:prstGeom prst="rect">
                      <a:avLst/>
                    </a:prstGeom>
                    <a:noFill/>
                  </pic:spPr>
                </pic:pic>
              </a:graphicData>
            </a:graphic>
          </wp:anchor>
        </w:drawing>
      </w:r>
    </w:p>
    <w:p>
      <w:pPr>
        <w:spacing w:after="0" w:line="230" w:lineRule="exact"/>
        <w:rPr>
          <w:sz w:val="20"/>
          <w:szCs w:val="20"/>
          <w:color w:val="auto"/>
        </w:rPr>
      </w:pPr>
    </w:p>
    <w:p>
      <w:pPr>
        <w:jc w:val="right"/>
        <w:spacing w:after="0"/>
        <w:tabs>
          <w:tab w:leader="none" w:pos="140" w:val="left"/>
        </w:tabs>
        <w:rPr>
          <w:sz w:val="20"/>
          <w:szCs w:val="20"/>
          <w:color w:val="auto"/>
        </w:rPr>
      </w:pPr>
      <w:r>
        <w:rPr>
          <w:rFonts w:ascii="Arial" w:cs="Arial" w:eastAsia="Arial" w:hAnsi="Arial"/>
          <w:sz w:val="12"/>
          <w:szCs w:val="12"/>
          <w:color w:val="4395D4"/>
        </w:rPr>
        <w:t xml:space="preserve">ESSENTIAL UTILITIES, INC. </w:t>
      </w:r>
      <w:r>
        <w:rPr>
          <w:rFonts w:ascii="Arial" w:cs="Arial" w:eastAsia="Arial" w:hAnsi="Arial"/>
          <w:sz w:val="12"/>
          <w:szCs w:val="12"/>
          <w:color w:val="455986"/>
        </w:rPr>
        <w:t>2021 PROXY STATEMENT</w:t>
      </w:r>
      <w:r>
        <w:rPr>
          <w:sz w:val="20"/>
          <w:szCs w:val="20"/>
          <w:color w:val="auto"/>
        </w:rPr>
        <w:tab/>
      </w:r>
      <w:r>
        <w:rPr>
          <w:rFonts w:ascii="Arial" w:cs="Arial" w:eastAsia="Arial" w:hAnsi="Arial"/>
          <w:sz w:val="14"/>
          <w:szCs w:val="14"/>
          <w:color w:val="455986"/>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339090</wp:posOffset>
            </wp:positionV>
            <wp:extent cx="7139940" cy="2413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39940" cy="24130"/>
                    </a:xfrm>
                    <a:prstGeom prst="rect">
                      <a:avLst/>
                    </a:prstGeom>
                    <a:noFill/>
                  </pic:spPr>
                </pic:pic>
              </a:graphicData>
            </a:graphic>
          </wp:anchor>
        </w:drawing>
      </w:r>
    </w:p>
    <w:p>
      <w:pPr>
        <w:sectPr>
          <w:pgSz w:w="11900" w:h="16838" w:orient="portrait"/>
          <w:cols w:equalWidth="0" w:num="1">
            <w:col w:w="11240"/>
          </w:cols>
          <w:pgMar w:left="320" w:top="636" w:right="339" w:bottom="1440" w:gutter="0" w:footer="0" w:header="0"/>
        </w:sectPr>
      </w:pPr>
    </w:p>
    <w:bookmarkStart w:id="42" w:name="page43"/>
    <w:bookmarkEnd w:id="42"/>
    <w:p>
      <w:pPr>
        <w:spacing w:after="0"/>
        <w:rPr>
          <w:sz w:val="20"/>
          <w:szCs w:val="20"/>
          <w:color w:val="auto"/>
        </w:rPr>
      </w:pPr>
      <w:r>
        <w:rPr>
          <w:rFonts w:ascii="Arial" w:cs="Arial" w:eastAsia="Arial" w:hAnsi="Arial"/>
          <w:sz w:val="31"/>
          <w:szCs w:val="31"/>
          <w:color w:val="4395D4"/>
        </w:rPr>
        <w:t>Proposal 3:</w:t>
      </w:r>
    </w:p>
    <w:p>
      <w:pPr>
        <w:spacing w:after="0" w:line="41" w:lineRule="exact"/>
        <w:rPr>
          <w:sz w:val="20"/>
          <w:szCs w:val="20"/>
          <w:color w:val="auto"/>
        </w:rPr>
      </w:pPr>
    </w:p>
    <w:p>
      <w:pPr>
        <w:spacing w:after="0"/>
        <w:rPr>
          <w:sz w:val="20"/>
          <w:szCs w:val="20"/>
          <w:color w:val="auto"/>
        </w:rPr>
      </w:pPr>
      <w:r>
        <w:rPr>
          <w:rFonts w:ascii="Arial" w:cs="Arial" w:eastAsia="Arial" w:hAnsi="Arial"/>
          <w:sz w:val="31"/>
          <w:szCs w:val="31"/>
          <w:b w:val="1"/>
          <w:bCs w:val="1"/>
          <w:color w:val="455986"/>
        </w:rPr>
        <w:t>Advisory Vote to Approve Named Executive Officers’ 2020 Compensation</w:t>
      </w:r>
    </w:p>
    <w:p>
      <w:pPr>
        <w:spacing w:after="0" w:line="129" w:lineRule="exact"/>
        <w:rPr>
          <w:sz w:val="20"/>
          <w:szCs w:val="20"/>
          <w:color w:val="auto"/>
        </w:rPr>
      </w:pPr>
    </w:p>
    <w:p>
      <w:pPr>
        <w:jc w:val="both"/>
        <w:ind w:right="220"/>
        <w:spacing w:after="0" w:line="253" w:lineRule="auto"/>
        <w:rPr>
          <w:sz w:val="20"/>
          <w:szCs w:val="20"/>
          <w:color w:val="auto"/>
        </w:rPr>
      </w:pPr>
      <w:r>
        <w:rPr>
          <w:rFonts w:ascii="Arial" w:cs="Arial" w:eastAsia="Arial" w:hAnsi="Arial"/>
          <w:sz w:val="14"/>
          <w:szCs w:val="14"/>
          <w:color w:val="231F20"/>
        </w:rPr>
        <w:t>Shareholders are entitled to an advisory (non-binding) vote on the executive compensation as described in this proxy statement for our named executive officers (sometimes referred to as Say on Pay). Currently, this vote is conducted every year. Accordingly, the following resolution is being presented by the Board of Directors at the 2021 Annual Meeting:</w:t>
      </w:r>
    </w:p>
    <w:p>
      <w:pPr>
        <w:spacing w:after="0" w:line="105" w:lineRule="exact"/>
        <w:rPr>
          <w:sz w:val="20"/>
          <w:szCs w:val="20"/>
          <w:color w:val="auto"/>
        </w:rPr>
      </w:pPr>
    </w:p>
    <w:p>
      <w:pPr>
        <w:spacing w:after="0" w:line="275" w:lineRule="auto"/>
        <w:rPr>
          <w:sz w:val="20"/>
          <w:szCs w:val="20"/>
          <w:color w:val="auto"/>
        </w:rPr>
      </w:pPr>
      <w:r>
        <w:rPr>
          <w:rFonts w:ascii="Arial" w:cs="Arial" w:eastAsia="Arial" w:hAnsi="Arial"/>
          <w:sz w:val="14"/>
          <w:szCs w:val="14"/>
          <w:i w:val="1"/>
          <w:iCs w:val="1"/>
          <w:color w:val="231F20"/>
        </w:rPr>
        <w:t>RESOLVED, that the compensation paid to the Company’s named executive officers for 2020, as disclosed pursuant to Item 402 of Regulation S-K, including the Compensation Discussion and Analysis, compensation tables and narrative discussion, is hereby APPROVED.</w:t>
      </w:r>
    </w:p>
    <w:p>
      <w:pPr>
        <w:spacing w:after="0" w:line="89" w:lineRule="exact"/>
        <w:rPr>
          <w:sz w:val="20"/>
          <w:szCs w:val="20"/>
          <w:color w:val="auto"/>
        </w:rPr>
      </w:pPr>
    </w:p>
    <w:p>
      <w:pPr>
        <w:ind w:right="80"/>
        <w:spacing w:after="0" w:line="278" w:lineRule="auto"/>
        <w:rPr>
          <w:sz w:val="20"/>
          <w:szCs w:val="20"/>
          <w:color w:val="auto"/>
        </w:rPr>
      </w:pPr>
      <w:r>
        <w:rPr>
          <w:rFonts w:ascii="Arial" w:cs="Arial" w:eastAsia="Arial" w:hAnsi="Arial"/>
          <w:sz w:val="14"/>
          <w:szCs w:val="14"/>
          <w:color w:val="231F20"/>
        </w:rPr>
        <w:t>This vote is non-binding. The Board of Directors and the Executive Compensation Committee, which is comprised of independent directors, expect to take into account the outcome of the vote when considering future executive compensation decisions to the extent they can determine the cause or causes of any significant negative voting results.</w:t>
      </w:r>
    </w:p>
    <w:p>
      <w:pPr>
        <w:spacing w:after="0" w:line="74" w:lineRule="exact"/>
        <w:rPr>
          <w:sz w:val="20"/>
          <w:szCs w:val="20"/>
          <w:color w:val="auto"/>
        </w:rPr>
      </w:pPr>
    </w:p>
    <w:p>
      <w:pPr>
        <w:spacing w:after="0"/>
        <w:rPr>
          <w:sz w:val="20"/>
          <w:szCs w:val="20"/>
          <w:color w:val="auto"/>
        </w:rPr>
      </w:pPr>
      <w:r>
        <w:rPr>
          <w:rFonts w:ascii="Arial" w:cs="Arial" w:eastAsia="Arial" w:hAnsi="Arial"/>
          <w:sz w:val="20"/>
          <w:szCs w:val="20"/>
          <w:b w:val="1"/>
          <w:bCs w:val="1"/>
          <w:color w:val="231F20"/>
        </w:rPr>
        <w:t>Before you vote</w:t>
      </w:r>
    </w:p>
    <w:p>
      <w:pPr>
        <w:spacing w:after="0" w:line="166" w:lineRule="exact"/>
        <w:rPr>
          <w:sz w:val="20"/>
          <w:szCs w:val="20"/>
          <w:color w:val="auto"/>
        </w:rPr>
      </w:pPr>
    </w:p>
    <w:p>
      <w:pPr>
        <w:spacing w:after="0"/>
        <w:rPr>
          <w:sz w:val="20"/>
          <w:szCs w:val="20"/>
          <w:color w:val="auto"/>
        </w:rPr>
      </w:pPr>
      <w:r>
        <w:rPr>
          <w:rFonts w:ascii="Arial" w:cs="Arial" w:eastAsia="Arial" w:hAnsi="Arial"/>
          <w:sz w:val="14"/>
          <w:szCs w:val="14"/>
          <w:color w:val="231F20"/>
        </w:rPr>
        <w:t>Shareholders are encouraged to read the Compensation Discussion and Analysis, the accompanying compensation tables and the related narrative disclosure.</w:t>
      </w:r>
    </w:p>
    <w:p>
      <w:pPr>
        <w:spacing w:after="0" w:line="145" w:lineRule="exact"/>
        <w:rPr>
          <w:sz w:val="20"/>
          <w:szCs w:val="20"/>
          <w:color w:val="auto"/>
        </w:rPr>
      </w:pPr>
    </w:p>
    <w:p>
      <w:pPr>
        <w:ind w:right="180"/>
        <w:spacing w:after="0" w:line="253" w:lineRule="auto"/>
        <w:rPr>
          <w:sz w:val="20"/>
          <w:szCs w:val="20"/>
          <w:color w:val="auto"/>
        </w:rPr>
      </w:pPr>
      <w:r>
        <w:rPr>
          <w:rFonts w:ascii="Arial" w:cs="Arial" w:eastAsia="Arial" w:hAnsi="Arial"/>
          <w:sz w:val="14"/>
          <w:szCs w:val="14"/>
          <w:color w:val="231F20"/>
        </w:rPr>
        <w:t>As described in detail under our Compensation Discussion and Analysis on pages 41 through 69 of this proxy statement, our executive compensation program is designed to motivate our executives to achieve our primary goals of providing our customers with quality, cost-effective and reliable water and wastewater services and providing our shareholders with a long-term, positive return on their investment.</w:t>
      </w:r>
    </w:p>
    <w:p>
      <w:pPr>
        <w:spacing w:after="0" w:line="103" w:lineRule="exact"/>
        <w:rPr>
          <w:sz w:val="20"/>
          <w:szCs w:val="20"/>
          <w:color w:val="auto"/>
        </w:rPr>
      </w:pPr>
    </w:p>
    <w:p>
      <w:pPr>
        <w:spacing w:after="0" w:line="278" w:lineRule="auto"/>
        <w:rPr>
          <w:sz w:val="20"/>
          <w:szCs w:val="20"/>
          <w:color w:val="auto"/>
        </w:rPr>
      </w:pPr>
      <w:r>
        <w:rPr>
          <w:rFonts w:ascii="Arial" w:cs="Arial" w:eastAsia="Arial" w:hAnsi="Arial"/>
          <w:sz w:val="14"/>
          <w:szCs w:val="14"/>
          <w:color w:val="231F20"/>
        </w:rPr>
        <w:t>We believe that our executive compensation program, with its balance of short-term incentives and long-term incentives and share ownership guidelines, reward sustained performance that is aligned with the interests of our customers, employees and long-term shareholders.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887095</wp:posOffset>
            </wp:positionV>
            <wp:extent cx="7139940"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39940" cy="825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68580</wp:posOffset>
            </wp:positionV>
            <wp:extent cx="5956300" cy="69723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5956300" cy="6972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300" w:hanging="298"/>
        <w:spacing w:after="0"/>
        <w:tabs>
          <w:tab w:leader="none" w:pos="300" w:val="left"/>
        </w:tabs>
        <w:numPr>
          <w:ilvl w:val="0"/>
          <w:numId w:val="84"/>
        </w:numPr>
        <w:rPr>
          <w:rFonts w:ascii="Arial" w:cs="Arial" w:eastAsia="Arial" w:hAnsi="Arial"/>
          <w:sz w:val="15"/>
          <w:szCs w:val="15"/>
          <w:color w:val="455986"/>
        </w:rPr>
      </w:pPr>
      <w:r>
        <w:rPr>
          <w:rFonts w:ascii="Arial" w:cs="Arial" w:eastAsia="Arial" w:hAnsi="Arial"/>
          <w:sz w:val="12"/>
          <w:szCs w:val="12"/>
          <w:color w:val="4395D4"/>
        </w:rPr>
        <w:t xml:space="preserve">ESSENTIAL UTILITIES, INC. </w:t>
      </w:r>
      <w:r>
        <w:rPr>
          <w:rFonts w:ascii="Arial" w:cs="Arial" w:eastAsia="Arial" w:hAnsi="Arial"/>
          <w:sz w:val="12"/>
          <w:szCs w:val="12"/>
          <w:color w:val="455986"/>
        </w:rPr>
        <w:t>2021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324485</wp:posOffset>
            </wp:positionV>
            <wp:extent cx="7139940" cy="2413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39940" cy="24130"/>
                    </a:xfrm>
                    <a:prstGeom prst="rect">
                      <a:avLst/>
                    </a:prstGeom>
                    <a:noFill/>
                  </pic:spPr>
                </pic:pic>
              </a:graphicData>
            </a:graphic>
          </wp:anchor>
        </w:drawing>
      </w:r>
    </w:p>
    <w:p>
      <w:pPr>
        <w:sectPr>
          <w:pgSz w:w="11900" w:h="16838" w:orient="portrait"/>
          <w:cols w:equalWidth="0" w:num="1">
            <w:col w:w="11240"/>
          </w:cols>
          <w:pgMar w:left="320" w:top="614" w:right="339" w:bottom="1440" w:gutter="0" w:footer="0" w:header="0"/>
        </w:sectPr>
      </w:pPr>
    </w:p>
    <w:bookmarkStart w:id="43" w:name="page44"/>
    <w:bookmarkEnd w:id="43"/>
    <w:p>
      <w:pPr>
        <w:spacing w:after="0"/>
        <w:rPr>
          <w:sz w:val="20"/>
          <w:szCs w:val="20"/>
          <w:color w:val="auto"/>
        </w:rPr>
      </w:pPr>
      <w:r>
        <w:rPr>
          <w:rFonts w:ascii="Arial" w:cs="Arial" w:eastAsia="Arial" w:hAnsi="Arial"/>
          <w:sz w:val="47"/>
          <w:szCs w:val="47"/>
          <w:b w:val="1"/>
          <w:bCs w:val="1"/>
          <w:color w:val="455986"/>
        </w:rPr>
        <w:t>Executive Compensation</w:t>
      </w:r>
    </w:p>
    <w:p>
      <w:pPr>
        <w:sectPr>
          <w:pgSz w:w="11900" w:h="16838" w:orient="portrait"/>
          <w:cols w:equalWidth="0" w:num="1">
            <w:col w:w="11240"/>
          </w:cols>
          <w:pgMar w:left="320" w:top="585" w:right="339" w:bottom="1440" w:gutter="0" w:footer="0" w:header="0"/>
        </w:sectPr>
      </w:pP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Arial" w:cs="Arial" w:eastAsia="Arial" w:hAnsi="Arial"/>
          <w:sz w:val="24"/>
          <w:szCs w:val="24"/>
          <w:b w:val="1"/>
          <w:bCs w:val="1"/>
          <w:color w:val="455986"/>
        </w:rPr>
        <w:t>Contents</w:t>
      </w:r>
    </w:p>
    <w:p>
      <w:pPr>
        <w:spacing w:after="0" w:line="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40" w:type="dxa"/>
            <w:vAlign w:val="bottom"/>
            <w:gridSpan w:val="58"/>
          </w:tcPr>
          <w:p>
            <w:pPr>
              <w:spacing w:after="0"/>
              <w:rPr>
                <w:rFonts w:ascii="Arial" w:cs="Arial" w:eastAsia="Arial" w:hAnsi="Arial"/>
                <w:sz w:val="14"/>
                <w:szCs w:val="14"/>
                <w:b w:val="1"/>
                <w:bCs w:val="1"/>
                <w:color w:val="4395D4"/>
              </w:rPr>
            </w:pPr>
            <w:hyperlink w:anchor="page44">
              <w:r>
                <w:rPr>
                  <w:rFonts w:ascii="Arial" w:cs="Arial" w:eastAsia="Arial" w:hAnsi="Arial"/>
                  <w:sz w:val="14"/>
                  <w:szCs w:val="14"/>
                  <w:b w:val="1"/>
                  <w:bCs w:val="1"/>
                  <w:color w:val="4395D4"/>
                </w:rPr>
                <w:t>Compensation Discussion and Analysis</w:t>
              </w:r>
            </w:hyperlink>
          </w:p>
        </w:tc>
        <w:tc>
          <w:tcPr>
            <w:tcW w:w="420" w:type="dxa"/>
            <w:vAlign w:val="bottom"/>
          </w:tcPr>
          <w:p>
            <w:pPr>
              <w:jc w:val="right"/>
              <w:spacing w:after="0"/>
              <w:rPr>
                <w:sz w:val="20"/>
                <w:szCs w:val="20"/>
                <w:color w:val="auto"/>
              </w:rPr>
            </w:pPr>
            <w:r>
              <w:rPr>
                <w:rFonts w:ascii="Arial" w:cs="Arial" w:eastAsia="Arial" w:hAnsi="Arial"/>
                <w:sz w:val="14"/>
                <w:szCs w:val="14"/>
                <w:b w:val="1"/>
                <w:bCs w:val="1"/>
                <w:color w:val="4395D4"/>
              </w:rPr>
              <w:t>41</w:t>
            </w:r>
          </w:p>
        </w:tc>
        <w:tc>
          <w:tcPr>
            <w:tcW w:w="0" w:type="dxa"/>
            <w:vAlign w:val="bottom"/>
          </w:tcPr>
          <w:p>
            <w:pPr>
              <w:spacing w:after="0"/>
              <w:rPr>
                <w:sz w:val="1"/>
                <w:szCs w:val="1"/>
                <w:color w:val="auto"/>
              </w:rPr>
            </w:pPr>
          </w:p>
        </w:tc>
      </w:tr>
      <w:tr>
        <w:trPr>
          <w:trHeight w:val="133"/>
        </w:trPr>
        <w:tc>
          <w:tcPr>
            <w:tcW w:w="2580" w:type="dxa"/>
            <w:vAlign w:val="bottom"/>
            <w:tcBorders>
              <w:top w:val="single" w:sz="8" w:color="4395D4"/>
            </w:tcBorders>
            <w:gridSpan w:val="32"/>
          </w:tcPr>
          <w:p>
            <w:pPr>
              <w:spacing w:after="0" w:line="133" w:lineRule="exact"/>
              <w:rPr>
                <w:rFonts w:ascii="Arial" w:cs="Arial" w:eastAsia="Arial" w:hAnsi="Arial"/>
                <w:sz w:val="14"/>
                <w:szCs w:val="14"/>
                <w:b w:val="1"/>
                <w:bCs w:val="1"/>
                <w:color w:val="455986"/>
              </w:rPr>
            </w:pPr>
            <w:hyperlink w:anchor="page45">
              <w:r>
                <w:rPr>
                  <w:rFonts w:ascii="Arial" w:cs="Arial" w:eastAsia="Arial" w:hAnsi="Arial"/>
                  <w:sz w:val="14"/>
                  <w:szCs w:val="14"/>
                  <w:b w:val="1"/>
                  <w:bCs w:val="1"/>
                  <w:color w:val="455986"/>
                </w:rPr>
                <w:t>Executive Summary</w:t>
              </w:r>
            </w:hyperlink>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20" w:type="dxa"/>
            <w:vAlign w:val="bottom"/>
          </w:tcPr>
          <w:p>
            <w:pPr>
              <w:jc w:val="right"/>
              <w:spacing w:after="0" w:line="133" w:lineRule="exact"/>
              <w:rPr>
                <w:sz w:val="20"/>
                <w:szCs w:val="20"/>
                <w:color w:val="auto"/>
              </w:rPr>
            </w:pPr>
            <w:r>
              <w:rPr>
                <w:rFonts w:ascii="Arial" w:cs="Arial" w:eastAsia="Arial" w:hAnsi="Arial"/>
                <w:sz w:val="14"/>
                <w:szCs w:val="14"/>
                <w:b w:val="1"/>
                <w:bCs w:val="1"/>
                <w:color w:val="455986"/>
              </w:rPr>
              <w:t>42</w:t>
            </w:r>
          </w:p>
        </w:tc>
        <w:tc>
          <w:tcPr>
            <w:tcW w:w="0" w:type="dxa"/>
            <w:vAlign w:val="bottom"/>
          </w:tcPr>
          <w:p>
            <w:pPr>
              <w:spacing w:after="0"/>
              <w:rPr>
                <w:sz w:val="1"/>
                <w:szCs w:val="1"/>
                <w:color w:val="auto"/>
              </w:rPr>
            </w:pPr>
          </w:p>
        </w:tc>
      </w:tr>
      <w:tr>
        <w:trPr>
          <w:trHeight w:val="133"/>
        </w:trPr>
        <w:tc>
          <w:tcPr>
            <w:tcW w:w="200" w:type="dxa"/>
            <w:vAlign w:val="bottom"/>
            <w:tcBorders>
              <w:top w:val="single" w:sz="8" w:color="455986"/>
            </w:tcBorders>
          </w:tcPr>
          <w:p>
            <w:pPr>
              <w:spacing w:after="0"/>
              <w:rPr>
                <w:sz w:val="11"/>
                <w:szCs w:val="11"/>
                <w:color w:val="auto"/>
              </w:rPr>
            </w:pPr>
          </w:p>
        </w:tc>
        <w:tc>
          <w:tcPr>
            <w:tcW w:w="1100" w:type="dxa"/>
            <w:vAlign w:val="bottom"/>
            <w:tcBorders>
              <w:top w:val="single" w:sz="8" w:color="455986"/>
            </w:tcBorders>
            <w:gridSpan w:val="9"/>
          </w:tcPr>
          <w:p>
            <w:pPr>
              <w:spacing w:after="0" w:line="133" w:lineRule="exact"/>
              <w:rPr>
                <w:rFonts w:ascii="Arial" w:cs="Arial" w:eastAsia="Arial" w:hAnsi="Arial"/>
                <w:sz w:val="14"/>
                <w:szCs w:val="14"/>
                <w:color w:val="231F20"/>
              </w:rPr>
            </w:pPr>
            <w:hyperlink w:anchor="page45">
              <w:r>
                <w:rPr>
                  <w:rFonts w:ascii="Arial" w:cs="Arial" w:eastAsia="Arial" w:hAnsi="Arial"/>
                  <w:sz w:val="14"/>
                  <w:szCs w:val="14"/>
                  <w:color w:val="231F20"/>
                </w:rPr>
                <w:t>Introduction</w:t>
              </w:r>
            </w:hyperlink>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gridSpan w:val="2"/>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20" w:type="dxa"/>
            <w:vAlign w:val="bottom"/>
          </w:tcPr>
          <w:p>
            <w:pPr>
              <w:jc w:val="right"/>
              <w:spacing w:after="0" w:line="133" w:lineRule="exact"/>
              <w:rPr>
                <w:sz w:val="20"/>
                <w:szCs w:val="20"/>
                <w:color w:val="auto"/>
              </w:rPr>
            </w:pPr>
            <w:r>
              <w:rPr>
                <w:rFonts w:ascii="Arial" w:cs="Arial" w:eastAsia="Arial" w:hAnsi="Arial"/>
                <w:sz w:val="14"/>
                <w:szCs w:val="14"/>
                <w:color w:val="231F20"/>
              </w:rPr>
              <w:t>42</w:t>
            </w:r>
          </w:p>
        </w:tc>
        <w:tc>
          <w:tcPr>
            <w:tcW w:w="0" w:type="dxa"/>
            <w:vAlign w:val="bottom"/>
          </w:tcPr>
          <w:p>
            <w:pPr>
              <w:spacing w:after="0"/>
              <w:rPr>
                <w:sz w:val="1"/>
                <w:szCs w:val="1"/>
                <w:color w:val="auto"/>
              </w:rPr>
            </w:pPr>
          </w:p>
        </w:tc>
      </w:tr>
      <w:tr>
        <w:trPr>
          <w:trHeight w:val="133"/>
        </w:trPr>
        <w:tc>
          <w:tcPr>
            <w:tcW w:w="200" w:type="dxa"/>
            <w:vAlign w:val="bottom"/>
          </w:tcPr>
          <w:p>
            <w:pPr>
              <w:spacing w:after="0"/>
              <w:rPr>
                <w:sz w:val="11"/>
                <w:szCs w:val="11"/>
                <w:color w:val="auto"/>
              </w:rPr>
            </w:pPr>
          </w:p>
        </w:tc>
        <w:tc>
          <w:tcPr>
            <w:tcW w:w="720" w:type="dxa"/>
            <w:vAlign w:val="bottom"/>
            <w:tcBorders>
              <w:top w:val="single" w:sz="8" w:color="231F20"/>
              <w:bottom w:val="single" w:sz="8" w:color="231F20"/>
            </w:tcBorders>
            <w:gridSpan w:val="5"/>
          </w:tcPr>
          <w:p>
            <w:pPr>
              <w:spacing w:after="0" w:line="133" w:lineRule="exact"/>
              <w:rPr>
                <w:rFonts w:ascii="Arial" w:cs="Arial" w:eastAsia="Arial" w:hAnsi="Arial"/>
                <w:sz w:val="14"/>
                <w:szCs w:val="14"/>
                <w:color w:val="231F20"/>
              </w:rPr>
            </w:pPr>
            <w:hyperlink w:anchor="page45">
              <w:r>
                <w:rPr>
                  <w:rFonts w:ascii="Arial" w:cs="Arial" w:eastAsia="Arial" w:hAnsi="Arial"/>
                  <w:sz w:val="14"/>
                  <w:szCs w:val="14"/>
                  <w:color w:val="231F20"/>
                </w:rPr>
                <w:t>Impact of</w:t>
              </w:r>
            </w:hyperlink>
          </w:p>
        </w:tc>
        <w:tc>
          <w:tcPr>
            <w:tcW w:w="2120" w:type="dxa"/>
            <w:vAlign w:val="bottom"/>
            <w:tcBorders>
              <w:bottom w:val="single" w:sz="8" w:color="231F20"/>
            </w:tcBorders>
            <w:gridSpan w:val="37"/>
          </w:tcPr>
          <w:p>
            <w:pPr>
              <w:jc w:val="center"/>
              <w:ind w:right="20"/>
              <w:spacing w:after="0" w:line="133" w:lineRule="exact"/>
              <w:rPr>
                <w:rFonts w:ascii="Arial" w:cs="Arial" w:eastAsia="Arial" w:hAnsi="Arial"/>
                <w:sz w:val="14"/>
                <w:szCs w:val="14"/>
                <w:color w:val="231F20"/>
                <w:w w:val="92"/>
              </w:rPr>
            </w:pPr>
            <w:hyperlink w:anchor="page45">
              <w:r>
                <w:rPr>
                  <w:rFonts w:ascii="Arial" w:cs="Arial" w:eastAsia="Arial" w:hAnsi="Arial"/>
                  <w:sz w:val="14"/>
                  <w:szCs w:val="14"/>
                  <w:color w:val="231F20"/>
                  <w:w w:val="92"/>
                </w:rPr>
                <w:t>Peoples Natural Gas Acquisition and</w:t>
              </w:r>
            </w:hyperlink>
          </w:p>
        </w:tc>
        <w:tc>
          <w:tcPr>
            <w:tcW w:w="800" w:type="dxa"/>
            <w:vAlign w:val="bottom"/>
            <w:gridSpan w:val="15"/>
          </w:tcPr>
          <w:p>
            <w:pPr>
              <w:spacing w:after="0"/>
              <w:rPr>
                <w:sz w:val="11"/>
                <w:szCs w:val="11"/>
                <w:color w:val="auto"/>
              </w:rPr>
            </w:pPr>
          </w:p>
        </w:tc>
        <w:tc>
          <w:tcPr>
            <w:tcW w:w="420" w:type="dxa"/>
            <w:vAlign w:val="bottom"/>
            <w:vMerge w:val="restart"/>
          </w:tcPr>
          <w:p>
            <w:pPr>
              <w:jc w:val="right"/>
              <w:spacing w:after="0"/>
              <w:rPr>
                <w:sz w:val="20"/>
                <w:szCs w:val="20"/>
                <w:color w:val="auto"/>
              </w:rPr>
            </w:pPr>
            <w:r>
              <w:rPr>
                <w:rFonts w:ascii="Arial" w:cs="Arial" w:eastAsia="Arial" w:hAnsi="Arial"/>
                <w:sz w:val="14"/>
                <w:szCs w:val="14"/>
                <w:color w:val="231F20"/>
              </w:rPr>
              <w:t>42</w:t>
            </w:r>
          </w:p>
        </w:tc>
        <w:tc>
          <w:tcPr>
            <w:tcW w:w="0" w:type="dxa"/>
            <w:vAlign w:val="bottom"/>
          </w:tcPr>
          <w:p>
            <w:pPr>
              <w:spacing w:after="0"/>
              <w:rPr>
                <w:sz w:val="1"/>
                <w:szCs w:val="1"/>
                <w:color w:val="auto"/>
              </w:rPr>
            </w:pPr>
          </w:p>
        </w:tc>
      </w:tr>
      <w:tr>
        <w:trPr>
          <w:trHeight w:val="133"/>
        </w:trPr>
        <w:tc>
          <w:tcPr>
            <w:tcW w:w="200" w:type="dxa"/>
            <w:vAlign w:val="bottom"/>
          </w:tcPr>
          <w:p>
            <w:pPr>
              <w:spacing w:after="0"/>
              <w:rPr>
                <w:sz w:val="11"/>
                <w:szCs w:val="11"/>
                <w:color w:val="auto"/>
              </w:rPr>
            </w:pPr>
          </w:p>
        </w:tc>
        <w:tc>
          <w:tcPr>
            <w:tcW w:w="3640" w:type="dxa"/>
            <w:vAlign w:val="bottom"/>
            <w:gridSpan w:val="57"/>
          </w:tcPr>
          <w:p>
            <w:pPr>
              <w:spacing w:after="0" w:line="133" w:lineRule="exact"/>
              <w:rPr>
                <w:rFonts w:ascii="Arial" w:cs="Arial" w:eastAsia="Arial" w:hAnsi="Arial"/>
                <w:sz w:val="14"/>
                <w:szCs w:val="14"/>
                <w:color w:val="231F20"/>
              </w:rPr>
            </w:pPr>
            <w:hyperlink w:anchor="page45">
              <w:r>
                <w:rPr>
                  <w:rFonts w:ascii="Arial" w:cs="Arial" w:eastAsia="Arial" w:hAnsi="Arial"/>
                  <w:sz w:val="14"/>
                  <w:szCs w:val="14"/>
                  <w:color w:val="231F20"/>
                </w:rPr>
                <w:t>Shareholder Feedback on Executive Compensation</w:t>
              </w:r>
            </w:hyperlink>
          </w:p>
        </w:tc>
        <w:tc>
          <w:tcPr>
            <w:tcW w:w="4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0" w:type="dxa"/>
            <w:vAlign w:val="bottom"/>
          </w:tcPr>
          <w:p>
            <w:pPr>
              <w:spacing w:after="0"/>
              <w:rPr>
                <w:sz w:val="11"/>
                <w:szCs w:val="11"/>
                <w:color w:val="auto"/>
              </w:rPr>
            </w:pPr>
          </w:p>
        </w:tc>
        <w:tc>
          <w:tcPr>
            <w:tcW w:w="2200" w:type="dxa"/>
            <w:vAlign w:val="bottom"/>
            <w:tcBorders>
              <w:top w:val="single" w:sz="8" w:color="231F20"/>
            </w:tcBorders>
            <w:gridSpan w:val="25"/>
          </w:tcPr>
          <w:p>
            <w:pPr>
              <w:spacing w:after="0" w:line="133" w:lineRule="exact"/>
              <w:rPr>
                <w:rFonts w:ascii="Arial" w:cs="Arial" w:eastAsia="Arial" w:hAnsi="Arial"/>
                <w:sz w:val="14"/>
                <w:szCs w:val="14"/>
                <w:color w:val="231F20"/>
              </w:rPr>
            </w:pPr>
            <w:hyperlink w:anchor="page46">
              <w:r>
                <w:rPr>
                  <w:rFonts w:ascii="Arial" w:cs="Arial" w:eastAsia="Arial" w:hAnsi="Arial"/>
                  <w:sz w:val="14"/>
                  <w:szCs w:val="14"/>
                  <w:color w:val="231F20"/>
                </w:rPr>
                <w:t>Our 2020 Performance Highlights</w:t>
              </w:r>
            </w:hyperlink>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Borders>
              <w:top w:val="single" w:sz="8" w:color="231F20"/>
            </w:tcBorders>
          </w:tcPr>
          <w:p>
            <w:pPr>
              <w:spacing w:after="0"/>
              <w:rPr>
                <w:sz w:val="11"/>
                <w:szCs w:val="11"/>
                <w:color w:val="auto"/>
              </w:rPr>
            </w:pPr>
          </w:p>
        </w:tc>
        <w:tc>
          <w:tcPr>
            <w:tcW w:w="20" w:type="dxa"/>
            <w:vAlign w:val="bottom"/>
            <w:tcBorders>
              <w:top w:val="single" w:sz="8" w:color="231F20"/>
            </w:tcBorders>
          </w:tcPr>
          <w:p>
            <w:pPr>
              <w:spacing w:after="0"/>
              <w:rPr>
                <w:sz w:val="11"/>
                <w:szCs w:val="11"/>
                <w:color w:val="auto"/>
              </w:rPr>
            </w:pPr>
          </w:p>
        </w:tc>
        <w:tc>
          <w:tcPr>
            <w:tcW w:w="20" w:type="dxa"/>
            <w:vAlign w:val="bottom"/>
            <w:tcBorders>
              <w:top w:val="single" w:sz="8" w:color="231F20"/>
            </w:tcBorders>
          </w:tcPr>
          <w:p>
            <w:pPr>
              <w:spacing w:after="0"/>
              <w:rPr>
                <w:sz w:val="11"/>
                <w:szCs w:val="11"/>
                <w:color w:val="auto"/>
              </w:rPr>
            </w:pPr>
          </w:p>
        </w:tc>
        <w:tc>
          <w:tcPr>
            <w:tcW w:w="180" w:type="dxa"/>
            <w:vAlign w:val="bottom"/>
            <w:tcBorders>
              <w:top w:val="single" w:sz="8" w:color="231F20"/>
            </w:tcBorders>
            <w:gridSpan w:val="2"/>
          </w:tcPr>
          <w:p>
            <w:pPr>
              <w:spacing w:after="0"/>
              <w:rPr>
                <w:sz w:val="11"/>
                <w:szCs w:val="11"/>
                <w:color w:val="auto"/>
              </w:rPr>
            </w:pPr>
          </w:p>
        </w:tc>
        <w:tc>
          <w:tcPr>
            <w:tcW w:w="40" w:type="dxa"/>
            <w:vAlign w:val="bottom"/>
            <w:tcBorders>
              <w:top w:val="single" w:sz="8" w:color="231F20"/>
            </w:tcBorders>
          </w:tcPr>
          <w:p>
            <w:pPr>
              <w:spacing w:after="0"/>
              <w:rPr>
                <w:sz w:val="11"/>
                <w:szCs w:val="11"/>
                <w:color w:val="auto"/>
              </w:rPr>
            </w:pPr>
          </w:p>
        </w:tc>
        <w:tc>
          <w:tcPr>
            <w:tcW w:w="20" w:type="dxa"/>
            <w:vAlign w:val="bottom"/>
            <w:tcBorders>
              <w:top w:val="single" w:sz="8" w:color="231F20"/>
            </w:tcBorders>
          </w:tcPr>
          <w:p>
            <w:pPr>
              <w:spacing w:after="0"/>
              <w:rPr>
                <w:sz w:val="11"/>
                <w:szCs w:val="11"/>
                <w:color w:val="auto"/>
              </w:rPr>
            </w:pPr>
          </w:p>
        </w:tc>
        <w:tc>
          <w:tcPr>
            <w:tcW w:w="20" w:type="dxa"/>
            <w:vAlign w:val="bottom"/>
            <w:tcBorders>
              <w:top w:val="single" w:sz="8" w:color="231F20"/>
            </w:tcBorders>
          </w:tcPr>
          <w:p>
            <w:pPr>
              <w:spacing w:after="0"/>
              <w:rPr>
                <w:sz w:val="11"/>
                <w:szCs w:val="11"/>
                <w:color w:val="auto"/>
              </w:rPr>
            </w:pPr>
          </w:p>
        </w:tc>
        <w:tc>
          <w:tcPr>
            <w:tcW w:w="20" w:type="dxa"/>
            <w:vAlign w:val="bottom"/>
            <w:tcBorders>
              <w:top w:val="single" w:sz="8" w:color="231F20"/>
            </w:tcBorders>
          </w:tcPr>
          <w:p>
            <w:pPr>
              <w:spacing w:after="0"/>
              <w:rPr>
                <w:sz w:val="11"/>
                <w:szCs w:val="11"/>
                <w:color w:val="auto"/>
              </w:rPr>
            </w:pPr>
          </w:p>
        </w:tc>
        <w:tc>
          <w:tcPr>
            <w:tcW w:w="60" w:type="dxa"/>
            <w:vAlign w:val="bottom"/>
            <w:tcBorders>
              <w:top w:val="single" w:sz="8" w:color="231F20"/>
            </w:tcBorders>
          </w:tcPr>
          <w:p>
            <w:pPr>
              <w:spacing w:after="0"/>
              <w:rPr>
                <w:sz w:val="11"/>
                <w:szCs w:val="11"/>
                <w:color w:val="auto"/>
              </w:rPr>
            </w:pPr>
          </w:p>
        </w:tc>
        <w:tc>
          <w:tcPr>
            <w:tcW w:w="20" w:type="dxa"/>
            <w:vAlign w:val="bottom"/>
            <w:tcBorders>
              <w:top w:val="single" w:sz="8" w:color="231F20"/>
            </w:tcBorders>
          </w:tcPr>
          <w:p>
            <w:pPr>
              <w:spacing w:after="0"/>
              <w:rPr>
                <w:sz w:val="11"/>
                <w:szCs w:val="11"/>
                <w:color w:val="auto"/>
              </w:rPr>
            </w:pPr>
          </w:p>
        </w:tc>
        <w:tc>
          <w:tcPr>
            <w:tcW w:w="40" w:type="dxa"/>
            <w:vAlign w:val="bottom"/>
            <w:tcBorders>
              <w:top w:val="single" w:sz="8" w:color="231F20"/>
            </w:tcBorders>
          </w:tcPr>
          <w:p>
            <w:pPr>
              <w:spacing w:after="0"/>
              <w:rPr>
                <w:sz w:val="11"/>
                <w:szCs w:val="11"/>
                <w:color w:val="auto"/>
              </w:rPr>
            </w:pPr>
          </w:p>
        </w:tc>
        <w:tc>
          <w:tcPr>
            <w:tcW w:w="100" w:type="dxa"/>
            <w:vAlign w:val="bottom"/>
            <w:tcBorders>
              <w:top w:val="single" w:sz="8" w:color="231F20"/>
            </w:tcBorders>
          </w:tcPr>
          <w:p>
            <w:pPr>
              <w:spacing w:after="0"/>
              <w:rPr>
                <w:sz w:val="11"/>
                <w:szCs w:val="11"/>
                <w:color w:val="auto"/>
              </w:rPr>
            </w:pPr>
          </w:p>
        </w:tc>
        <w:tc>
          <w:tcPr>
            <w:tcW w:w="20" w:type="dxa"/>
            <w:vAlign w:val="bottom"/>
            <w:tcBorders>
              <w:top w:val="single" w:sz="8" w:color="231F20"/>
            </w:tcBorders>
          </w:tcPr>
          <w:p>
            <w:pPr>
              <w:spacing w:after="0"/>
              <w:rPr>
                <w:sz w:val="11"/>
                <w:szCs w:val="11"/>
                <w:color w:val="auto"/>
              </w:rPr>
            </w:pPr>
          </w:p>
        </w:tc>
        <w:tc>
          <w:tcPr>
            <w:tcW w:w="120" w:type="dxa"/>
            <w:vAlign w:val="bottom"/>
            <w:tcBorders>
              <w:top w:val="single" w:sz="8" w:color="231F20"/>
            </w:tcBorders>
            <w:gridSpan w:val="2"/>
          </w:tcPr>
          <w:p>
            <w:pPr>
              <w:spacing w:after="0"/>
              <w:rPr>
                <w:sz w:val="11"/>
                <w:szCs w:val="11"/>
                <w:color w:val="auto"/>
              </w:rPr>
            </w:pPr>
          </w:p>
        </w:tc>
        <w:tc>
          <w:tcPr>
            <w:tcW w:w="40" w:type="dxa"/>
            <w:vAlign w:val="bottom"/>
            <w:tcBorders>
              <w:top w:val="single" w:sz="8" w:color="231F20"/>
            </w:tcBorders>
          </w:tcPr>
          <w:p>
            <w:pPr>
              <w:spacing w:after="0"/>
              <w:rPr>
                <w:sz w:val="11"/>
                <w:szCs w:val="11"/>
                <w:color w:val="auto"/>
              </w:rPr>
            </w:pPr>
          </w:p>
        </w:tc>
        <w:tc>
          <w:tcPr>
            <w:tcW w:w="20" w:type="dxa"/>
            <w:vAlign w:val="bottom"/>
            <w:tcBorders>
              <w:top w:val="single" w:sz="8" w:color="231F20"/>
            </w:tcBorders>
          </w:tcPr>
          <w:p>
            <w:pPr>
              <w:spacing w:after="0"/>
              <w:rPr>
                <w:sz w:val="11"/>
                <w:szCs w:val="11"/>
                <w:color w:val="auto"/>
              </w:rPr>
            </w:pPr>
          </w:p>
        </w:tc>
        <w:tc>
          <w:tcPr>
            <w:tcW w:w="40" w:type="dxa"/>
            <w:vAlign w:val="bottom"/>
            <w:tcBorders>
              <w:top w:val="single" w:sz="8" w:color="231F20"/>
            </w:tcBorders>
          </w:tcPr>
          <w:p>
            <w:pPr>
              <w:spacing w:after="0"/>
              <w:rPr>
                <w:sz w:val="11"/>
                <w:szCs w:val="11"/>
                <w:color w:val="auto"/>
              </w:rPr>
            </w:pPr>
          </w:p>
        </w:tc>
        <w:tc>
          <w:tcPr>
            <w:tcW w:w="40" w:type="dxa"/>
            <w:vAlign w:val="bottom"/>
            <w:tcBorders>
              <w:top w:val="single" w:sz="8" w:color="231F20"/>
            </w:tcBorders>
          </w:tcPr>
          <w:p>
            <w:pPr>
              <w:spacing w:after="0"/>
              <w:rPr>
                <w:sz w:val="11"/>
                <w:szCs w:val="11"/>
                <w:color w:val="auto"/>
              </w:rPr>
            </w:pPr>
          </w:p>
        </w:tc>
        <w:tc>
          <w:tcPr>
            <w:tcW w:w="40" w:type="dxa"/>
            <w:vAlign w:val="bottom"/>
            <w:tcBorders>
              <w:top w:val="single" w:sz="8" w:color="231F20"/>
            </w:tcBorders>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20" w:type="dxa"/>
            <w:vAlign w:val="bottom"/>
          </w:tcPr>
          <w:p>
            <w:pPr>
              <w:jc w:val="right"/>
              <w:spacing w:after="0" w:line="133" w:lineRule="exact"/>
              <w:rPr>
                <w:sz w:val="20"/>
                <w:szCs w:val="20"/>
                <w:color w:val="auto"/>
              </w:rPr>
            </w:pPr>
            <w:r>
              <w:rPr>
                <w:rFonts w:ascii="Arial" w:cs="Arial" w:eastAsia="Arial" w:hAnsi="Arial"/>
                <w:sz w:val="14"/>
                <w:szCs w:val="14"/>
                <w:color w:val="231F20"/>
              </w:rPr>
              <w:t>43</w:t>
            </w: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280" w:type="dxa"/>
            <w:vAlign w:val="bottom"/>
            <w:shd w:val="clear" w:color="auto" w:fill="231F20"/>
          </w:tcPr>
          <w:p>
            <w:pPr>
              <w:spacing w:after="0" w:line="20" w:lineRule="exact"/>
              <w:rPr>
                <w:sz w:val="1"/>
                <w:szCs w:val="1"/>
                <w:color w:val="auto"/>
              </w:rPr>
            </w:pPr>
          </w:p>
        </w:tc>
        <w:tc>
          <w:tcPr>
            <w:tcW w:w="120" w:type="dxa"/>
            <w:vAlign w:val="bottom"/>
            <w:shd w:val="clear" w:color="auto" w:fill="231F20"/>
          </w:tcPr>
          <w:p>
            <w:pPr>
              <w:spacing w:after="0" w:line="20" w:lineRule="exact"/>
              <w:rPr>
                <w:sz w:val="1"/>
                <w:szCs w:val="1"/>
                <w:color w:val="auto"/>
              </w:rPr>
            </w:pPr>
          </w:p>
        </w:tc>
        <w:tc>
          <w:tcPr>
            <w:tcW w:w="40" w:type="dxa"/>
            <w:vAlign w:val="bottom"/>
            <w:shd w:val="clear" w:color="auto" w:fill="231F20"/>
          </w:tcPr>
          <w:p>
            <w:pPr>
              <w:spacing w:after="0" w:line="20" w:lineRule="exact"/>
              <w:rPr>
                <w:sz w:val="1"/>
                <w:szCs w:val="1"/>
                <w:color w:val="auto"/>
              </w:rPr>
            </w:pPr>
          </w:p>
        </w:tc>
        <w:tc>
          <w:tcPr>
            <w:tcW w:w="140" w:type="dxa"/>
            <w:vAlign w:val="bottom"/>
            <w:tcBorders>
              <w:right w:val="single" w:sz="8" w:color="231F20"/>
            </w:tcBorders>
            <w:shd w:val="clear" w:color="auto" w:fill="231F20"/>
          </w:tcPr>
          <w:p>
            <w:pPr>
              <w:spacing w:after="0" w:line="20" w:lineRule="exact"/>
              <w:rPr>
                <w:sz w:val="1"/>
                <w:szCs w:val="1"/>
                <w:color w:val="auto"/>
              </w:rPr>
            </w:pPr>
          </w:p>
        </w:tc>
        <w:tc>
          <w:tcPr>
            <w:tcW w:w="160" w:type="dxa"/>
            <w:vAlign w:val="bottom"/>
            <w:gridSpan w:val="2"/>
            <w:shd w:val="clear" w:color="auto" w:fill="231F20"/>
          </w:tcPr>
          <w:p>
            <w:pPr>
              <w:spacing w:after="0" w:line="20" w:lineRule="exact"/>
              <w:rPr>
                <w:sz w:val="1"/>
                <w:szCs w:val="1"/>
                <w:color w:val="auto"/>
              </w:rPr>
            </w:pPr>
          </w:p>
        </w:tc>
        <w:tc>
          <w:tcPr>
            <w:tcW w:w="140" w:type="dxa"/>
            <w:vAlign w:val="bottom"/>
            <w:shd w:val="clear" w:color="auto" w:fill="231F20"/>
          </w:tcPr>
          <w:p>
            <w:pPr>
              <w:spacing w:after="0" w:line="20" w:lineRule="exact"/>
              <w:rPr>
                <w:sz w:val="1"/>
                <w:szCs w:val="1"/>
                <w:color w:val="auto"/>
              </w:rPr>
            </w:pPr>
          </w:p>
        </w:tc>
        <w:tc>
          <w:tcPr>
            <w:tcW w:w="140" w:type="dxa"/>
            <w:vAlign w:val="bottom"/>
            <w:shd w:val="clear" w:color="auto" w:fill="231F20"/>
          </w:tcPr>
          <w:p>
            <w:pPr>
              <w:spacing w:after="0" w:line="20" w:lineRule="exact"/>
              <w:rPr>
                <w:sz w:val="1"/>
                <w:szCs w:val="1"/>
                <w:color w:val="auto"/>
              </w:rPr>
            </w:pPr>
          </w:p>
        </w:tc>
        <w:tc>
          <w:tcPr>
            <w:tcW w:w="120" w:type="dxa"/>
            <w:vAlign w:val="bottom"/>
            <w:gridSpan w:val="2"/>
            <w:shd w:val="clear" w:color="auto" w:fill="231F20"/>
          </w:tcPr>
          <w:p>
            <w:pPr>
              <w:spacing w:after="0" w:line="20" w:lineRule="exact"/>
              <w:rPr>
                <w:sz w:val="1"/>
                <w:szCs w:val="1"/>
                <w:color w:val="auto"/>
              </w:rPr>
            </w:pPr>
          </w:p>
        </w:tc>
        <w:tc>
          <w:tcPr>
            <w:tcW w:w="240" w:type="dxa"/>
            <w:vAlign w:val="bottom"/>
            <w:shd w:val="clear" w:color="auto" w:fill="231F20"/>
          </w:tcPr>
          <w:p>
            <w:pPr>
              <w:spacing w:after="0" w:line="20" w:lineRule="exact"/>
              <w:rPr>
                <w:sz w:val="1"/>
                <w:szCs w:val="1"/>
                <w:color w:val="auto"/>
              </w:rPr>
            </w:pPr>
          </w:p>
        </w:tc>
        <w:tc>
          <w:tcPr>
            <w:tcW w:w="80" w:type="dxa"/>
            <w:vAlign w:val="bottom"/>
            <w:shd w:val="clear" w:color="auto" w:fill="231F20"/>
          </w:tcPr>
          <w:p>
            <w:pPr>
              <w:spacing w:after="0" w:line="20" w:lineRule="exact"/>
              <w:rPr>
                <w:sz w:val="1"/>
                <w:szCs w:val="1"/>
                <w:color w:val="auto"/>
              </w:rPr>
            </w:pPr>
          </w:p>
        </w:tc>
        <w:tc>
          <w:tcPr>
            <w:tcW w:w="80" w:type="dxa"/>
            <w:vAlign w:val="bottom"/>
            <w:shd w:val="clear" w:color="auto" w:fill="231F20"/>
          </w:tcPr>
          <w:p>
            <w:pPr>
              <w:spacing w:after="0" w:line="20" w:lineRule="exact"/>
              <w:rPr>
                <w:sz w:val="1"/>
                <w:szCs w:val="1"/>
                <w:color w:val="auto"/>
              </w:rPr>
            </w:pPr>
          </w:p>
        </w:tc>
        <w:tc>
          <w:tcPr>
            <w:tcW w:w="160" w:type="dxa"/>
            <w:vAlign w:val="bottom"/>
            <w:shd w:val="clear" w:color="auto" w:fill="231F20"/>
          </w:tcPr>
          <w:p>
            <w:pPr>
              <w:spacing w:after="0" w:line="20" w:lineRule="exact"/>
              <w:rPr>
                <w:sz w:val="1"/>
                <w:szCs w:val="1"/>
                <w:color w:val="auto"/>
              </w:rPr>
            </w:pPr>
          </w:p>
        </w:tc>
        <w:tc>
          <w:tcPr>
            <w:tcW w:w="20" w:type="dxa"/>
            <w:vAlign w:val="bottom"/>
            <w:shd w:val="clear" w:color="auto" w:fill="231F20"/>
          </w:tcPr>
          <w:p>
            <w:pPr>
              <w:spacing w:after="0" w:line="20" w:lineRule="exact"/>
              <w:rPr>
                <w:sz w:val="1"/>
                <w:szCs w:val="1"/>
                <w:color w:val="auto"/>
              </w:rPr>
            </w:pPr>
          </w:p>
        </w:tc>
        <w:tc>
          <w:tcPr>
            <w:tcW w:w="20" w:type="dxa"/>
            <w:vAlign w:val="bottom"/>
            <w:shd w:val="clear" w:color="auto" w:fill="231F20"/>
          </w:tcPr>
          <w:p>
            <w:pPr>
              <w:spacing w:after="0" w:line="20" w:lineRule="exact"/>
              <w:rPr>
                <w:sz w:val="1"/>
                <w:szCs w:val="1"/>
                <w:color w:val="auto"/>
              </w:rPr>
            </w:pPr>
          </w:p>
        </w:tc>
        <w:tc>
          <w:tcPr>
            <w:tcW w:w="20" w:type="dxa"/>
            <w:vAlign w:val="bottom"/>
            <w:shd w:val="clear" w:color="auto" w:fill="231F20"/>
          </w:tcPr>
          <w:p>
            <w:pPr>
              <w:spacing w:after="0" w:line="20" w:lineRule="exact"/>
              <w:rPr>
                <w:sz w:val="1"/>
                <w:szCs w:val="1"/>
                <w:color w:val="auto"/>
              </w:rPr>
            </w:pPr>
          </w:p>
        </w:tc>
        <w:tc>
          <w:tcPr>
            <w:tcW w:w="20" w:type="dxa"/>
            <w:vAlign w:val="bottom"/>
            <w:shd w:val="clear" w:color="auto" w:fill="231F20"/>
          </w:tcPr>
          <w:p>
            <w:pPr>
              <w:spacing w:after="0" w:line="20" w:lineRule="exact"/>
              <w:rPr>
                <w:sz w:val="1"/>
                <w:szCs w:val="1"/>
                <w:color w:val="auto"/>
              </w:rPr>
            </w:pPr>
          </w:p>
        </w:tc>
        <w:tc>
          <w:tcPr>
            <w:tcW w:w="80" w:type="dxa"/>
            <w:vAlign w:val="bottom"/>
            <w:shd w:val="clear" w:color="auto" w:fill="231F20"/>
          </w:tcPr>
          <w:p>
            <w:pPr>
              <w:spacing w:after="0" w:line="20" w:lineRule="exact"/>
              <w:rPr>
                <w:sz w:val="1"/>
                <w:szCs w:val="1"/>
                <w:color w:val="auto"/>
              </w:rPr>
            </w:pPr>
          </w:p>
        </w:tc>
        <w:tc>
          <w:tcPr>
            <w:tcW w:w="20" w:type="dxa"/>
            <w:vAlign w:val="bottom"/>
            <w:shd w:val="clear" w:color="auto" w:fill="231F20"/>
          </w:tcPr>
          <w:p>
            <w:pPr>
              <w:spacing w:after="0" w:line="20" w:lineRule="exact"/>
              <w:rPr>
                <w:sz w:val="1"/>
                <w:szCs w:val="1"/>
                <w:color w:val="auto"/>
              </w:rPr>
            </w:pPr>
          </w:p>
        </w:tc>
        <w:tc>
          <w:tcPr>
            <w:tcW w:w="140" w:type="dxa"/>
            <w:vAlign w:val="bottom"/>
            <w:shd w:val="clear" w:color="auto" w:fill="231F2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vMerge w:val="restart"/>
          </w:tcPr>
          <w:p>
            <w:pPr>
              <w:jc w:val="right"/>
              <w:spacing w:after="0" w:line="153" w:lineRule="exact"/>
              <w:rPr>
                <w:sz w:val="20"/>
                <w:szCs w:val="20"/>
                <w:color w:val="auto"/>
              </w:rPr>
            </w:pPr>
            <w:r>
              <w:rPr>
                <w:rFonts w:ascii="Arial" w:cs="Arial" w:eastAsia="Arial" w:hAnsi="Arial"/>
                <w:sz w:val="14"/>
                <w:szCs w:val="14"/>
                <w:color w:val="231F20"/>
              </w:rPr>
              <w:t>44</w:t>
            </w:r>
          </w:p>
        </w:tc>
        <w:tc>
          <w:tcPr>
            <w:tcW w:w="0" w:type="dxa"/>
            <w:vAlign w:val="bottom"/>
          </w:tcPr>
          <w:p>
            <w:pPr>
              <w:spacing w:after="0" w:line="20" w:lineRule="exact"/>
              <w:rPr>
                <w:sz w:val="1"/>
                <w:szCs w:val="1"/>
                <w:color w:val="auto"/>
              </w:rPr>
            </w:pPr>
          </w:p>
        </w:tc>
      </w:tr>
      <w:tr>
        <w:trPr>
          <w:trHeight w:val="133"/>
        </w:trPr>
        <w:tc>
          <w:tcPr>
            <w:tcW w:w="200" w:type="dxa"/>
            <w:vAlign w:val="bottom"/>
          </w:tcPr>
          <w:p>
            <w:pPr>
              <w:spacing w:after="0"/>
              <w:rPr>
                <w:sz w:val="11"/>
                <w:szCs w:val="11"/>
                <w:color w:val="auto"/>
              </w:rPr>
            </w:pPr>
          </w:p>
        </w:tc>
        <w:tc>
          <w:tcPr>
            <w:tcW w:w="3000" w:type="dxa"/>
            <w:vAlign w:val="bottom"/>
            <w:tcBorders>
              <w:bottom w:val="single" w:sz="8" w:color="231F20"/>
            </w:tcBorders>
            <w:gridSpan w:val="45"/>
          </w:tcPr>
          <w:p>
            <w:pPr>
              <w:spacing w:after="0" w:line="133" w:lineRule="exact"/>
              <w:rPr>
                <w:rFonts w:ascii="Arial" w:cs="Arial" w:eastAsia="Arial" w:hAnsi="Arial"/>
                <w:sz w:val="14"/>
                <w:szCs w:val="14"/>
                <w:color w:val="231F20"/>
                <w:w w:val="96"/>
              </w:rPr>
            </w:pPr>
            <w:hyperlink w:anchor="page47">
              <w:r>
                <w:rPr>
                  <w:rFonts w:ascii="Arial" w:cs="Arial" w:eastAsia="Arial" w:hAnsi="Arial"/>
                  <w:sz w:val="14"/>
                  <w:szCs w:val="14"/>
                  <w:color w:val="231F20"/>
                  <w:w w:val="96"/>
                </w:rPr>
                <w:t>Our Pay for Performance Compensation Program</w:t>
              </w:r>
            </w:hyperlink>
          </w:p>
        </w:tc>
        <w:tc>
          <w:tcPr>
            <w:tcW w:w="640" w:type="dxa"/>
            <w:vAlign w:val="bottom"/>
            <w:gridSpan w:val="12"/>
          </w:tcPr>
          <w:p>
            <w:pPr>
              <w:spacing w:after="0"/>
              <w:rPr>
                <w:sz w:val="11"/>
                <w:szCs w:val="11"/>
                <w:color w:val="auto"/>
              </w:rPr>
            </w:pPr>
          </w:p>
        </w:tc>
        <w:tc>
          <w:tcPr>
            <w:tcW w:w="4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0" w:type="dxa"/>
            <w:vAlign w:val="bottom"/>
          </w:tcPr>
          <w:p>
            <w:pPr>
              <w:spacing w:after="0"/>
              <w:rPr>
                <w:sz w:val="11"/>
                <w:szCs w:val="11"/>
                <w:color w:val="auto"/>
              </w:rPr>
            </w:pPr>
          </w:p>
        </w:tc>
        <w:tc>
          <w:tcPr>
            <w:tcW w:w="3640" w:type="dxa"/>
            <w:vAlign w:val="bottom"/>
            <w:gridSpan w:val="57"/>
          </w:tcPr>
          <w:p>
            <w:pPr>
              <w:spacing w:after="0" w:line="133" w:lineRule="exact"/>
              <w:rPr>
                <w:rFonts w:ascii="Arial" w:cs="Arial" w:eastAsia="Arial" w:hAnsi="Arial"/>
                <w:sz w:val="14"/>
                <w:szCs w:val="14"/>
                <w:color w:val="231F20"/>
              </w:rPr>
            </w:pPr>
            <w:hyperlink w:anchor="page48">
              <w:r>
                <w:rPr>
                  <w:rFonts w:ascii="Arial" w:cs="Arial" w:eastAsia="Arial" w:hAnsi="Arial"/>
                  <w:sz w:val="14"/>
                  <w:szCs w:val="14"/>
                  <w:color w:val="231F20"/>
                </w:rPr>
                <w:t>Pay for Performance and Results of the 2020 Advisory</w:t>
              </w:r>
            </w:hyperlink>
          </w:p>
        </w:tc>
        <w:tc>
          <w:tcPr>
            <w:tcW w:w="420" w:type="dxa"/>
            <w:vAlign w:val="bottom"/>
            <w:vMerge w:val="restart"/>
          </w:tcPr>
          <w:p>
            <w:pPr>
              <w:jc w:val="right"/>
              <w:spacing w:after="0"/>
              <w:rPr>
                <w:sz w:val="20"/>
                <w:szCs w:val="20"/>
                <w:color w:val="auto"/>
              </w:rPr>
            </w:pPr>
            <w:r>
              <w:rPr>
                <w:rFonts w:ascii="Arial" w:cs="Arial" w:eastAsia="Arial" w:hAnsi="Arial"/>
                <w:sz w:val="14"/>
                <w:szCs w:val="14"/>
                <w:color w:val="231F20"/>
              </w:rPr>
              <w:t>45</w:t>
            </w:r>
          </w:p>
        </w:tc>
        <w:tc>
          <w:tcPr>
            <w:tcW w:w="0" w:type="dxa"/>
            <w:vAlign w:val="bottom"/>
          </w:tcPr>
          <w:p>
            <w:pPr>
              <w:spacing w:after="0"/>
              <w:rPr>
                <w:sz w:val="1"/>
                <w:szCs w:val="1"/>
                <w:color w:val="auto"/>
              </w:rPr>
            </w:pPr>
          </w:p>
        </w:tc>
      </w:tr>
      <w:tr>
        <w:trPr>
          <w:trHeight w:val="133"/>
        </w:trPr>
        <w:tc>
          <w:tcPr>
            <w:tcW w:w="200" w:type="dxa"/>
            <w:vAlign w:val="bottom"/>
          </w:tcPr>
          <w:p>
            <w:pPr>
              <w:spacing w:after="0"/>
              <w:rPr>
                <w:sz w:val="11"/>
                <w:szCs w:val="11"/>
                <w:color w:val="auto"/>
              </w:rPr>
            </w:pPr>
          </w:p>
        </w:tc>
        <w:tc>
          <w:tcPr>
            <w:tcW w:w="2540" w:type="dxa"/>
            <w:vAlign w:val="bottom"/>
            <w:tcBorders>
              <w:top w:val="single" w:sz="8" w:color="231F20"/>
              <w:bottom w:val="single" w:sz="8" w:color="231F20"/>
            </w:tcBorders>
            <w:gridSpan w:val="34"/>
          </w:tcPr>
          <w:p>
            <w:pPr>
              <w:spacing w:after="0" w:line="133" w:lineRule="exact"/>
              <w:rPr>
                <w:rFonts w:ascii="Arial" w:cs="Arial" w:eastAsia="Arial" w:hAnsi="Arial"/>
                <w:sz w:val="14"/>
                <w:szCs w:val="14"/>
                <w:color w:val="231F20"/>
                <w:w w:val="97"/>
              </w:rPr>
            </w:pPr>
            <w:hyperlink w:anchor="page48">
              <w:r>
                <w:rPr>
                  <w:rFonts w:ascii="Arial" w:cs="Arial" w:eastAsia="Arial" w:hAnsi="Arial"/>
                  <w:sz w:val="14"/>
                  <w:szCs w:val="14"/>
                  <w:color w:val="231F20"/>
                  <w:w w:val="97"/>
                </w:rPr>
                <w:t>Vote to Approve Executive Compensation</w:t>
              </w:r>
            </w:hyperlink>
          </w:p>
        </w:tc>
        <w:tc>
          <w:tcPr>
            <w:tcW w:w="740" w:type="dxa"/>
            <w:vAlign w:val="bottom"/>
            <w:tcBorders>
              <w:top w:val="single" w:sz="8" w:color="231F20"/>
            </w:tcBorders>
            <w:gridSpan w:val="20"/>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740" w:type="dxa"/>
            <w:vAlign w:val="bottom"/>
            <w:gridSpan w:val="35"/>
          </w:tcPr>
          <w:p>
            <w:pPr>
              <w:spacing w:after="0" w:line="133" w:lineRule="exact"/>
              <w:rPr>
                <w:rFonts w:ascii="Arial" w:cs="Arial" w:eastAsia="Arial" w:hAnsi="Arial"/>
                <w:sz w:val="14"/>
                <w:szCs w:val="14"/>
                <w:b w:val="1"/>
                <w:bCs w:val="1"/>
                <w:color w:val="4395D4"/>
                <w:w w:val="98"/>
              </w:rPr>
            </w:pPr>
            <w:hyperlink w:anchor="page49">
              <w:r>
                <w:rPr>
                  <w:rFonts w:ascii="Arial" w:cs="Arial" w:eastAsia="Arial" w:hAnsi="Arial"/>
                  <w:sz w:val="14"/>
                  <w:szCs w:val="14"/>
                  <w:b w:val="1"/>
                  <w:bCs w:val="1"/>
                  <w:color w:val="4395D4"/>
                  <w:w w:val="98"/>
                </w:rPr>
                <w:t xml:space="preserve">Section 1. </w:t>
              </w:r>
              <w:r>
                <w:rPr>
                  <w:rFonts w:ascii="Arial" w:cs="Arial" w:eastAsia="Arial" w:hAnsi="Arial"/>
                  <w:sz w:val="14"/>
                  <w:szCs w:val="14"/>
                  <w:b w:val="1"/>
                  <w:bCs w:val="1"/>
                  <w:color w:val="455986"/>
                  <w:w w:val="98"/>
                </w:rPr>
                <w:t>Our Compensation Philosophy</w:t>
              </w:r>
            </w:hyperlink>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gridSpan w:val="2"/>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gridSpan w:val="2"/>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gridSpan w:val="2"/>
          </w:tcPr>
          <w:p>
            <w:pPr>
              <w:spacing w:after="0"/>
              <w:rPr>
                <w:sz w:val="11"/>
                <w:szCs w:val="11"/>
                <w:color w:val="auto"/>
              </w:rPr>
            </w:pPr>
          </w:p>
        </w:tc>
        <w:tc>
          <w:tcPr>
            <w:tcW w:w="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20" w:type="dxa"/>
            <w:vAlign w:val="bottom"/>
          </w:tcPr>
          <w:p>
            <w:pPr>
              <w:jc w:val="right"/>
              <w:spacing w:after="0" w:line="133" w:lineRule="exact"/>
              <w:rPr>
                <w:sz w:val="20"/>
                <w:szCs w:val="20"/>
                <w:color w:val="auto"/>
              </w:rPr>
            </w:pPr>
            <w:r>
              <w:rPr>
                <w:rFonts w:ascii="Arial" w:cs="Arial" w:eastAsia="Arial" w:hAnsi="Arial"/>
                <w:sz w:val="14"/>
                <w:szCs w:val="14"/>
                <w:b w:val="1"/>
                <w:bCs w:val="1"/>
                <w:color w:val="455986"/>
              </w:rPr>
              <w:t>46</w:t>
            </w:r>
          </w:p>
        </w:tc>
        <w:tc>
          <w:tcPr>
            <w:tcW w:w="0" w:type="dxa"/>
            <w:vAlign w:val="bottom"/>
          </w:tcPr>
          <w:p>
            <w:pPr>
              <w:spacing w:after="0"/>
              <w:rPr>
                <w:sz w:val="1"/>
                <w:szCs w:val="1"/>
                <w:color w:val="auto"/>
              </w:rPr>
            </w:pPr>
          </w:p>
        </w:tc>
      </w:tr>
      <w:tr>
        <w:trPr>
          <w:trHeight w:val="20"/>
        </w:trPr>
        <w:tc>
          <w:tcPr>
            <w:tcW w:w="200" w:type="dxa"/>
            <w:vAlign w:val="bottom"/>
            <w:shd w:val="clear" w:color="auto" w:fill="4395D4"/>
          </w:tcPr>
          <w:p>
            <w:pPr>
              <w:spacing w:after="0" w:line="20" w:lineRule="exact"/>
              <w:rPr>
                <w:sz w:val="1"/>
                <w:szCs w:val="1"/>
                <w:color w:val="auto"/>
              </w:rPr>
            </w:pPr>
          </w:p>
        </w:tc>
        <w:tc>
          <w:tcPr>
            <w:tcW w:w="280" w:type="dxa"/>
            <w:vAlign w:val="bottom"/>
            <w:shd w:val="clear" w:color="auto" w:fill="4395D4"/>
          </w:tcPr>
          <w:p>
            <w:pPr>
              <w:spacing w:after="0" w:line="20" w:lineRule="exact"/>
              <w:rPr>
                <w:sz w:val="1"/>
                <w:szCs w:val="1"/>
                <w:color w:val="auto"/>
              </w:rPr>
            </w:pPr>
          </w:p>
        </w:tc>
        <w:tc>
          <w:tcPr>
            <w:tcW w:w="120" w:type="dxa"/>
            <w:vAlign w:val="bottom"/>
            <w:shd w:val="clear" w:color="auto" w:fill="4395D4"/>
          </w:tcPr>
          <w:p>
            <w:pPr>
              <w:spacing w:after="0" w:line="20" w:lineRule="exact"/>
              <w:rPr>
                <w:sz w:val="1"/>
                <w:szCs w:val="1"/>
                <w:color w:val="auto"/>
              </w:rPr>
            </w:pPr>
          </w:p>
        </w:tc>
        <w:tc>
          <w:tcPr>
            <w:tcW w:w="40" w:type="dxa"/>
            <w:vAlign w:val="bottom"/>
            <w:shd w:val="clear" w:color="auto" w:fill="4395D4"/>
          </w:tcPr>
          <w:p>
            <w:pPr>
              <w:spacing w:after="0" w:line="20" w:lineRule="exact"/>
              <w:rPr>
                <w:sz w:val="1"/>
                <w:szCs w:val="1"/>
                <w:color w:val="auto"/>
              </w:rPr>
            </w:pPr>
          </w:p>
        </w:tc>
        <w:tc>
          <w:tcPr>
            <w:tcW w:w="140" w:type="dxa"/>
            <w:vAlign w:val="bottom"/>
            <w:tcBorders>
              <w:right w:val="single" w:sz="8" w:color="455986"/>
            </w:tcBorders>
            <w:shd w:val="clear" w:color="auto" w:fill="4395D4"/>
          </w:tcPr>
          <w:p>
            <w:pPr>
              <w:spacing w:after="0" w:line="20" w:lineRule="exact"/>
              <w:rPr>
                <w:sz w:val="1"/>
                <w:szCs w:val="1"/>
                <w:color w:val="auto"/>
              </w:rPr>
            </w:pPr>
          </w:p>
        </w:tc>
        <w:tc>
          <w:tcPr>
            <w:tcW w:w="160" w:type="dxa"/>
            <w:vAlign w:val="bottom"/>
            <w:gridSpan w:val="2"/>
            <w:shd w:val="clear" w:color="auto" w:fill="455986"/>
          </w:tcPr>
          <w:p>
            <w:pPr>
              <w:spacing w:after="0" w:line="20" w:lineRule="exact"/>
              <w:rPr>
                <w:sz w:val="1"/>
                <w:szCs w:val="1"/>
                <w:color w:val="auto"/>
              </w:rPr>
            </w:pPr>
          </w:p>
        </w:tc>
        <w:tc>
          <w:tcPr>
            <w:tcW w:w="140" w:type="dxa"/>
            <w:vAlign w:val="bottom"/>
            <w:shd w:val="clear" w:color="auto" w:fill="455986"/>
          </w:tcPr>
          <w:p>
            <w:pPr>
              <w:spacing w:after="0" w:line="20" w:lineRule="exact"/>
              <w:rPr>
                <w:sz w:val="1"/>
                <w:szCs w:val="1"/>
                <w:color w:val="auto"/>
              </w:rPr>
            </w:pPr>
          </w:p>
        </w:tc>
        <w:tc>
          <w:tcPr>
            <w:tcW w:w="140" w:type="dxa"/>
            <w:vAlign w:val="bottom"/>
            <w:shd w:val="clear" w:color="auto" w:fill="455986"/>
          </w:tcPr>
          <w:p>
            <w:pPr>
              <w:spacing w:after="0" w:line="20" w:lineRule="exact"/>
              <w:rPr>
                <w:sz w:val="1"/>
                <w:szCs w:val="1"/>
                <w:color w:val="auto"/>
              </w:rPr>
            </w:pPr>
          </w:p>
        </w:tc>
        <w:tc>
          <w:tcPr>
            <w:tcW w:w="120" w:type="dxa"/>
            <w:vAlign w:val="bottom"/>
            <w:gridSpan w:val="2"/>
            <w:shd w:val="clear" w:color="auto" w:fill="455986"/>
          </w:tcPr>
          <w:p>
            <w:pPr>
              <w:spacing w:after="0" w:line="20" w:lineRule="exact"/>
              <w:rPr>
                <w:sz w:val="1"/>
                <w:szCs w:val="1"/>
                <w:color w:val="auto"/>
              </w:rPr>
            </w:pPr>
          </w:p>
        </w:tc>
        <w:tc>
          <w:tcPr>
            <w:tcW w:w="240" w:type="dxa"/>
            <w:vAlign w:val="bottom"/>
            <w:shd w:val="clear" w:color="auto" w:fill="455986"/>
          </w:tcPr>
          <w:p>
            <w:pPr>
              <w:spacing w:after="0" w:line="20" w:lineRule="exact"/>
              <w:rPr>
                <w:sz w:val="1"/>
                <w:szCs w:val="1"/>
                <w:color w:val="auto"/>
              </w:rPr>
            </w:pPr>
          </w:p>
        </w:tc>
        <w:tc>
          <w:tcPr>
            <w:tcW w:w="80" w:type="dxa"/>
            <w:vAlign w:val="bottom"/>
            <w:shd w:val="clear" w:color="auto" w:fill="455986"/>
          </w:tcPr>
          <w:p>
            <w:pPr>
              <w:spacing w:after="0" w:line="20" w:lineRule="exact"/>
              <w:rPr>
                <w:sz w:val="1"/>
                <w:szCs w:val="1"/>
                <w:color w:val="auto"/>
              </w:rPr>
            </w:pPr>
          </w:p>
        </w:tc>
        <w:tc>
          <w:tcPr>
            <w:tcW w:w="80" w:type="dxa"/>
            <w:vAlign w:val="bottom"/>
            <w:shd w:val="clear" w:color="auto" w:fill="455986"/>
          </w:tcPr>
          <w:p>
            <w:pPr>
              <w:spacing w:after="0" w:line="20" w:lineRule="exact"/>
              <w:rPr>
                <w:sz w:val="1"/>
                <w:szCs w:val="1"/>
                <w:color w:val="auto"/>
              </w:rPr>
            </w:pPr>
          </w:p>
        </w:tc>
        <w:tc>
          <w:tcPr>
            <w:tcW w:w="160" w:type="dxa"/>
            <w:vAlign w:val="bottom"/>
            <w:shd w:val="clear" w:color="auto" w:fill="455986"/>
          </w:tcPr>
          <w:p>
            <w:pPr>
              <w:spacing w:after="0" w:line="20" w:lineRule="exact"/>
              <w:rPr>
                <w:sz w:val="1"/>
                <w:szCs w:val="1"/>
                <w:color w:val="auto"/>
              </w:rPr>
            </w:pPr>
          </w:p>
        </w:tc>
        <w:tc>
          <w:tcPr>
            <w:tcW w:w="20" w:type="dxa"/>
            <w:vAlign w:val="bottom"/>
            <w:shd w:val="clear" w:color="auto" w:fill="455986"/>
          </w:tcPr>
          <w:p>
            <w:pPr>
              <w:spacing w:after="0" w:line="20" w:lineRule="exact"/>
              <w:rPr>
                <w:sz w:val="1"/>
                <w:szCs w:val="1"/>
                <w:color w:val="auto"/>
              </w:rPr>
            </w:pPr>
          </w:p>
        </w:tc>
        <w:tc>
          <w:tcPr>
            <w:tcW w:w="20" w:type="dxa"/>
            <w:vAlign w:val="bottom"/>
            <w:shd w:val="clear" w:color="auto" w:fill="455986"/>
          </w:tcPr>
          <w:p>
            <w:pPr>
              <w:spacing w:after="0" w:line="20" w:lineRule="exact"/>
              <w:rPr>
                <w:sz w:val="1"/>
                <w:szCs w:val="1"/>
                <w:color w:val="auto"/>
              </w:rPr>
            </w:pPr>
          </w:p>
        </w:tc>
        <w:tc>
          <w:tcPr>
            <w:tcW w:w="20" w:type="dxa"/>
            <w:vAlign w:val="bottom"/>
            <w:shd w:val="clear" w:color="auto" w:fill="455986"/>
          </w:tcPr>
          <w:p>
            <w:pPr>
              <w:spacing w:after="0" w:line="20" w:lineRule="exact"/>
              <w:rPr>
                <w:sz w:val="1"/>
                <w:szCs w:val="1"/>
                <w:color w:val="auto"/>
              </w:rPr>
            </w:pPr>
          </w:p>
        </w:tc>
        <w:tc>
          <w:tcPr>
            <w:tcW w:w="20" w:type="dxa"/>
            <w:vAlign w:val="bottom"/>
            <w:shd w:val="clear" w:color="auto" w:fill="455986"/>
          </w:tcPr>
          <w:p>
            <w:pPr>
              <w:spacing w:after="0" w:line="20" w:lineRule="exact"/>
              <w:rPr>
                <w:sz w:val="1"/>
                <w:szCs w:val="1"/>
                <w:color w:val="auto"/>
              </w:rPr>
            </w:pPr>
          </w:p>
        </w:tc>
        <w:tc>
          <w:tcPr>
            <w:tcW w:w="80" w:type="dxa"/>
            <w:vAlign w:val="bottom"/>
            <w:shd w:val="clear" w:color="auto" w:fill="455986"/>
          </w:tcPr>
          <w:p>
            <w:pPr>
              <w:spacing w:after="0" w:line="20" w:lineRule="exact"/>
              <w:rPr>
                <w:sz w:val="1"/>
                <w:szCs w:val="1"/>
                <w:color w:val="auto"/>
              </w:rPr>
            </w:pPr>
          </w:p>
        </w:tc>
        <w:tc>
          <w:tcPr>
            <w:tcW w:w="20" w:type="dxa"/>
            <w:vAlign w:val="bottom"/>
            <w:shd w:val="clear" w:color="auto" w:fill="455986"/>
          </w:tcPr>
          <w:p>
            <w:pPr>
              <w:spacing w:after="0" w:line="20" w:lineRule="exact"/>
              <w:rPr>
                <w:sz w:val="1"/>
                <w:szCs w:val="1"/>
                <w:color w:val="auto"/>
              </w:rPr>
            </w:pPr>
          </w:p>
        </w:tc>
        <w:tc>
          <w:tcPr>
            <w:tcW w:w="220" w:type="dxa"/>
            <w:vAlign w:val="bottom"/>
            <w:gridSpan w:val="2"/>
            <w:shd w:val="clear" w:color="auto" w:fill="455986"/>
          </w:tcPr>
          <w:p>
            <w:pPr>
              <w:spacing w:after="0" w:line="20" w:lineRule="exact"/>
              <w:rPr>
                <w:sz w:val="1"/>
                <w:szCs w:val="1"/>
                <w:color w:val="auto"/>
              </w:rPr>
            </w:pPr>
          </w:p>
        </w:tc>
        <w:tc>
          <w:tcPr>
            <w:tcW w:w="40" w:type="dxa"/>
            <w:vAlign w:val="bottom"/>
            <w:shd w:val="clear" w:color="auto" w:fill="455986"/>
          </w:tcPr>
          <w:p>
            <w:pPr>
              <w:spacing w:after="0" w:line="20" w:lineRule="exact"/>
              <w:rPr>
                <w:sz w:val="1"/>
                <w:szCs w:val="1"/>
                <w:color w:val="auto"/>
              </w:rPr>
            </w:pPr>
          </w:p>
        </w:tc>
        <w:tc>
          <w:tcPr>
            <w:tcW w:w="20" w:type="dxa"/>
            <w:vAlign w:val="bottom"/>
            <w:shd w:val="clear" w:color="auto" w:fill="455986"/>
          </w:tcPr>
          <w:p>
            <w:pPr>
              <w:spacing w:after="0" w:line="20" w:lineRule="exact"/>
              <w:rPr>
                <w:sz w:val="1"/>
                <w:szCs w:val="1"/>
                <w:color w:val="auto"/>
              </w:rPr>
            </w:pPr>
          </w:p>
        </w:tc>
        <w:tc>
          <w:tcPr>
            <w:tcW w:w="60" w:type="dxa"/>
            <w:vAlign w:val="bottom"/>
            <w:gridSpan w:val="2"/>
            <w:shd w:val="clear" w:color="auto" w:fill="455986"/>
          </w:tcPr>
          <w:p>
            <w:pPr>
              <w:spacing w:after="0" w:line="20" w:lineRule="exact"/>
              <w:rPr>
                <w:sz w:val="1"/>
                <w:szCs w:val="1"/>
                <w:color w:val="auto"/>
              </w:rPr>
            </w:pPr>
          </w:p>
        </w:tc>
        <w:tc>
          <w:tcPr>
            <w:tcW w:w="40" w:type="dxa"/>
            <w:vAlign w:val="bottom"/>
            <w:gridSpan w:val="2"/>
            <w:shd w:val="clear" w:color="auto" w:fill="455986"/>
          </w:tcPr>
          <w:p>
            <w:pPr>
              <w:spacing w:after="0" w:line="20" w:lineRule="exact"/>
              <w:rPr>
                <w:sz w:val="1"/>
                <w:szCs w:val="1"/>
                <w:color w:val="auto"/>
              </w:rPr>
            </w:pPr>
          </w:p>
        </w:tc>
        <w:tc>
          <w:tcPr>
            <w:tcW w:w="20" w:type="dxa"/>
            <w:vAlign w:val="bottom"/>
            <w:shd w:val="clear" w:color="auto" w:fill="455986"/>
          </w:tcPr>
          <w:p>
            <w:pPr>
              <w:spacing w:after="0" w:line="20" w:lineRule="exact"/>
              <w:rPr>
                <w:sz w:val="1"/>
                <w:szCs w:val="1"/>
                <w:color w:val="auto"/>
              </w:rPr>
            </w:pPr>
          </w:p>
        </w:tc>
        <w:tc>
          <w:tcPr>
            <w:tcW w:w="20" w:type="dxa"/>
            <w:vAlign w:val="bottom"/>
            <w:shd w:val="clear" w:color="auto" w:fill="455986"/>
          </w:tcPr>
          <w:p>
            <w:pPr>
              <w:spacing w:after="0" w:line="20" w:lineRule="exact"/>
              <w:rPr>
                <w:sz w:val="1"/>
                <w:szCs w:val="1"/>
                <w:color w:val="auto"/>
              </w:rPr>
            </w:pPr>
          </w:p>
        </w:tc>
        <w:tc>
          <w:tcPr>
            <w:tcW w:w="180" w:type="dxa"/>
            <w:vAlign w:val="bottom"/>
            <w:gridSpan w:val="2"/>
            <w:shd w:val="clear" w:color="auto" w:fill="455986"/>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3"/>
        </w:trPr>
        <w:tc>
          <w:tcPr>
            <w:tcW w:w="200" w:type="dxa"/>
            <w:vAlign w:val="bottom"/>
          </w:tcPr>
          <w:p>
            <w:pPr>
              <w:spacing w:after="0"/>
              <w:rPr>
                <w:sz w:val="11"/>
                <w:szCs w:val="11"/>
                <w:color w:val="auto"/>
              </w:rPr>
            </w:pPr>
          </w:p>
        </w:tc>
        <w:tc>
          <w:tcPr>
            <w:tcW w:w="3640" w:type="dxa"/>
            <w:vAlign w:val="bottom"/>
            <w:gridSpan w:val="57"/>
          </w:tcPr>
          <w:p>
            <w:pPr>
              <w:spacing w:after="0" w:line="133" w:lineRule="exact"/>
              <w:rPr>
                <w:rFonts w:ascii="Arial" w:cs="Arial" w:eastAsia="Arial" w:hAnsi="Arial"/>
                <w:sz w:val="14"/>
                <w:szCs w:val="14"/>
                <w:color w:val="231F20"/>
              </w:rPr>
            </w:pPr>
            <w:hyperlink w:anchor="page49">
              <w:r>
                <w:rPr>
                  <w:rFonts w:ascii="Arial" w:cs="Arial" w:eastAsia="Arial" w:hAnsi="Arial"/>
                  <w:sz w:val="14"/>
                  <w:szCs w:val="14"/>
                  <w:color w:val="231F20"/>
                </w:rPr>
                <w:t>Components of Compensation for Named Executive</w:t>
              </w:r>
            </w:hyperlink>
          </w:p>
        </w:tc>
        <w:tc>
          <w:tcPr>
            <w:tcW w:w="420" w:type="dxa"/>
            <w:vAlign w:val="bottom"/>
            <w:vMerge w:val="restart"/>
          </w:tcPr>
          <w:p>
            <w:pPr>
              <w:jc w:val="right"/>
              <w:spacing w:after="0"/>
              <w:rPr>
                <w:sz w:val="20"/>
                <w:szCs w:val="20"/>
                <w:color w:val="auto"/>
              </w:rPr>
            </w:pPr>
            <w:r>
              <w:rPr>
                <w:rFonts w:ascii="Arial" w:cs="Arial" w:eastAsia="Arial" w:hAnsi="Arial"/>
                <w:sz w:val="14"/>
                <w:szCs w:val="14"/>
                <w:color w:val="231F20"/>
              </w:rPr>
              <w:t>46</w:t>
            </w:r>
          </w:p>
        </w:tc>
        <w:tc>
          <w:tcPr>
            <w:tcW w:w="0" w:type="dxa"/>
            <w:vAlign w:val="bottom"/>
          </w:tcPr>
          <w:p>
            <w:pPr>
              <w:spacing w:after="0"/>
              <w:rPr>
                <w:sz w:val="1"/>
                <w:szCs w:val="1"/>
                <w:color w:val="auto"/>
              </w:rPr>
            </w:pPr>
          </w:p>
        </w:tc>
      </w:tr>
      <w:tr>
        <w:trPr>
          <w:trHeight w:val="133"/>
        </w:trPr>
        <w:tc>
          <w:tcPr>
            <w:tcW w:w="200" w:type="dxa"/>
            <w:vAlign w:val="bottom"/>
          </w:tcPr>
          <w:p>
            <w:pPr>
              <w:spacing w:after="0"/>
              <w:rPr>
                <w:sz w:val="11"/>
                <w:szCs w:val="11"/>
                <w:color w:val="auto"/>
              </w:rPr>
            </w:pPr>
          </w:p>
        </w:tc>
        <w:tc>
          <w:tcPr>
            <w:tcW w:w="580" w:type="dxa"/>
            <w:vAlign w:val="bottom"/>
            <w:tcBorders>
              <w:top w:val="single" w:sz="8" w:color="231F20"/>
              <w:bottom w:val="single" w:sz="8" w:color="231F20"/>
            </w:tcBorders>
            <w:gridSpan w:val="4"/>
          </w:tcPr>
          <w:p>
            <w:pPr>
              <w:spacing w:after="0" w:line="133" w:lineRule="exact"/>
              <w:rPr>
                <w:rFonts w:ascii="Arial" w:cs="Arial" w:eastAsia="Arial" w:hAnsi="Arial"/>
                <w:sz w:val="14"/>
                <w:szCs w:val="14"/>
                <w:color w:val="231F20"/>
              </w:rPr>
            </w:pPr>
            <w:hyperlink w:anchor="page49">
              <w:r>
                <w:rPr>
                  <w:rFonts w:ascii="Arial" w:cs="Arial" w:eastAsia="Arial" w:hAnsi="Arial"/>
                  <w:sz w:val="14"/>
                  <w:szCs w:val="14"/>
                  <w:color w:val="231F20"/>
                </w:rPr>
                <w:t>Officers</w:t>
              </w:r>
            </w:hyperlink>
          </w:p>
        </w:tc>
        <w:tc>
          <w:tcPr>
            <w:tcW w:w="1940" w:type="dxa"/>
            <w:vAlign w:val="bottom"/>
            <w:tcBorders>
              <w:top w:val="single" w:sz="8" w:color="231F20"/>
            </w:tcBorders>
            <w:gridSpan w:val="29"/>
          </w:tcPr>
          <w:p>
            <w:pPr>
              <w:spacing w:after="0"/>
              <w:rPr>
                <w:sz w:val="11"/>
                <w:szCs w:val="11"/>
                <w:color w:val="auto"/>
              </w:rPr>
            </w:pPr>
          </w:p>
        </w:tc>
        <w:tc>
          <w:tcPr>
            <w:tcW w:w="4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Borders>
              <w:top w:val="single" w:sz="8" w:color="231F20"/>
            </w:tcBorders>
          </w:tcPr>
          <w:p>
            <w:pPr>
              <w:spacing w:after="0"/>
              <w:rPr>
                <w:sz w:val="11"/>
                <w:szCs w:val="11"/>
                <w:color w:val="auto"/>
              </w:rPr>
            </w:pPr>
          </w:p>
        </w:tc>
        <w:tc>
          <w:tcPr>
            <w:tcW w:w="20" w:type="dxa"/>
            <w:vAlign w:val="bottom"/>
            <w:tcBorders>
              <w:top w:val="single" w:sz="8" w:color="231F20"/>
            </w:tcBorders>
          </w:tcPr>
          <w:p>
            <w:pPr>
              <w:spacing w:after="0"/>
              <w:rPr>
                <w:sz w:val="11"/>
                <w:szCs w:val="11"/>
                <w:color w:val="auto"/>
              </w:rPr>
            </w:pPr>
          </w:p>
        </w:tc>
        <w:tc>
          <w:tcPr>
            <w:tcW w:w="40" w:type="dxa"/>
            <w:vAlign w:val="bottom"/>
            <w:tcBorders>
              <w:top w:val="single" w:sz="8" w:color="231F20"/>
            </w:tcBorders>
          </w:tcPr>
          <w:p>
            <w:pPr>
              <w:spacing w:after="0"/>
              <w:rPr>
                <w:sz w:val="11"/>
                <w:szCs w:val="11"/>
                <w:color w:val="auto"/>
              </w:rPr>
            </w:pPr>
          </w:p>
        </w:tc>
        <w:tc>
          <w:tcPr>
            <w:tcW w:w="100" w:type="dxa"/>
            <w:vAlign w:val="bottom"/>
            <w:tcBorders>
              <w:top w:val="single" w:sz="8" w:color="231F20"/>
            </w:tcBorders>
          </w:tcPr>
          <w:p>
            <w:pPr>
              <w:spacing w:after="0"/>
              <w:rPr>
                <w:sz w:val="11"/>
                <w:szCs w:val="11"/>
                <w:color w:val="auto"/>
              </w:rPr>
            </w:pPr>
          </w:p>
        </w:tc>
        <w:tc>
          <w:tcPr>
            <w:tcW w:w="20" w:type="dxa"/>
            <w:vAlign w:val="bottom"/>
            <w:tcBorders>
              <w:top w:val="single" w:sz="8" w:color="231F20"/>
            </w:tcBorders>
          </w:tcPr>
          <w:p>
            <w:pPr>
              <w:spacing w:after="0"/>
              <w:rPr>
                <w:sz w:val="11"/>
                <w:szCs w:val="11"/>
                <w:color w:val="auto"/>
              </w:rPr>
            </w:pPr>
          </w:p>
        </w:tc>
        <w:tc>
          <w:tcPr>
            <w:tcW w:w="120" w:type="dxa"/>
            <w:vAlign w:val="bottom"/>
            <w:tcBorders>
              <w:top w:val="single" w:sz="8" w:color="231F20"/>
            </w:tcBorders>
            <w:gridSpan w:val="2"/>
          </w:tcPr>
          <w:p>
            <w:pPr>
              <w:spacing w:after="0"/>
              <w:rPr>
                <w:sz w:val="11"/>
                <w:szCs w:val="11"/>
                <w:color w:val="auto"/>
              </w:rPr>
            </w:pPr>
          </w:p>
        </w:tc>
        <w:tc>
          <w:tcPr>
            <w:tcW w:w="40" w:type="dxa"/>
            <w:vAlign w:val="bottom"/>
            <w:tcBorders>
              <w:top w:val="single" w:sz="8" w:color="231F20"/>
            </w:tcBorders>
          </w:tcPr>
          <w:p>
            <w:pPr>
              <w:spacing w:after="0"/>
              <w:rPr>
                <w:sz w:val="11"/>
                <w:szCs w:val="11"/>
                <w:color w:val="auto"/>
              </w:rPr>
            </w:pPr>
          </w:p>
        </w:tc>
        <w:tc>
          <w:tcPr>
            <w:tcW w:w="60" w:type="dxa"/>
            <w:vAlign w:val="bottom"/>
            <w:tcBorders>
              <w:top w:val="single" w:sz="8" w:color="231F20"/>
            </w:tcBorders>
            <w:gridSpan w:val="2"/>
          </w:tcPr>
          <w:p>
            <w:pPr>
              <w:spacing w:after="0"/>
              <w:rPr>
                <w:sz w:val="11"/>
                <w:szCs w:val="11"/>
                <w:color w:val="auto"/>
              </w:rPr>
            </w:pPr>
          </w:p>
        </w:tc>
        <w:tc>
          <w:tcPr>
            <w:tcW w:w="40" w:type="dxa"/>
            <w:vAlign w:val="bottom"/>
            <w:tcBorders>
              <w:top w:val="single" w:sz="8" w:color="231F20"/>
            </w:tcBorders>
          </w:tcPr>
          <w:p>
            <w:pPr>
              <w:spacing w:after="0"/>
              <w:rPr>
                <w:sz w:val="11"/>
                <w:szCs w:val="11"/>
                <w:color w:val="auto"/>
              </w:rPr>
            </w:pPr>
          </w:p>
        </w:tc>
        <w:tc>
          <w:tcPr>
            <w:tcW w:w="60" w:type="dxa"/>
            <w:vAlign w:val="bottom"/>
            <w:tcBorders>
              <w:top w:val="single" w:sz="8" w:color="231F20"/>
            </w:tcBorders>
            <w:gridSpan w:val="2"/>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gridSpan w:val="2"/>
          </w:tcPr>
          <w:p>
            <w:pPr>
              <w:spacing w:after="0"/>
              <w:rPr>
                <w:sz w:val="11"/>
                <w:szCs w:val="11"/>
                <w:color w:val="auto"/>
              </w:rPr>
            </w:pPr>
          </w:p>
        </w:tc>
        <w:tc>
          <w:tcPr>
            <w:tcW w:w="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0" w:type="dxa"/>
            <w:vAlign w:val="bottom"/>
          </w:tcPr>
          <w:p>
            <w:pPr>
              <w:spacing w:after="0"/>
              <w:rPr>
                <w:sz w:val="11"/>
                <w:szCs w:val="11"/>
                <w:color w:val="auto"/>
              </w:rPr>
            </w:pPr>
          </w:p>
        </w:tc>
        <w:tc>
          <w:tcPr>
            <w:tcW w:w="1700" w:type="dxa"/>
            <w:vAlign w:val="bottom"/>
            <w:tcBorders>
              <w:bottom w:val="single" w:sz="8" w:color="231F20"/>
            </w:tcBorders>
            <w:gridSpan w:val="14"/>
          </w:tcPr>
          <w:p>
            <w:pPr>
              <w:spacing w:after="0" w:line="133" w:lineRule="exact"/>
              <w:rPr>
                <w:rFonts w:ascii="Arial" w:cs="Arial" w:eastAsia="Arial" w:hAnsi="Arial"/>
                <w:sz w:val="14"/>
                <w:szCs w:val="14"/>
                <w:color w:val="231F20"/>
                <w:w w:val="96"/>
              </w:rPr>
            </w:pPr>
            <w:hyperlink w:anchor="page49">
              <w:r>
                <w:rPr>
                  <w:rFonts w:ascii="Arial" w:cs="Arial" w:eastAsia="Arial" w:hAnsi="Arial"/>
                  <w:sz w:val="14"/>
                  <w:szCs w:val="14"/>
                  <w:color w:val="231F20"/>
                  <w:w w:val="96"/>
                </w:rPr>
                <w:t>Competitive Pay Positioning</w:t>
              </w:r>
            </w:hyperlink>
          </w:p>
        </w:tc>
        <w:tc>
          <w:tcPr>
            <w:tcW w:w="1940" w:type="dxa"/>
            <w:vAlign w:val="bottom"/>
            <w:gridSpan w:val="43"/>
          </w:tcPr>
          <w:p>
            <w:pPr>
              <w:spacing w:after="0"/>
              <w:rPr>
                <w:sz w:val="11"/>
                <w:szCs w:val="11"/>
                <w:color w:val="auto"/>
              </w:rPr>
            </w:pPr>
          </w:p>
        </w:tc>
        <w:tc>
          <w:tcPr>
            <w:tcW w:w="420" w:type="dxa"/>
            <w:vAlign w:val="bottom"/>
          </w:tcPr>
          <w:p>
            <w:pPr>
              <w:jc w:val="right"/>
              <w:spacing w:after="0" w:line="133" w:lineRule="exact"/>
              <w:rPr>
                <w:sz w:val="20"/>
                <w:szCs w:val="20"/>
                <w:color w:val="auto"/>
              </w:rPr>
            </w:pPr>
            <w:r>
              <w:rPr>
                <w:rFonts w:ascii="Arial" w:cs="Arial" w:eastAsia="Arial" w:hAnsi="Arial"/>
                <w:sz w:val="14"/>
                <w:szCs w:val="14"/>
                <w:color w:val="231F20"/>
              </w:rPr>
              <w:t>46</w:t>
            </w:r>
          </w:p>
        </w:tc>
        <w:tc>
          <w:tcPr>
            <w:tcW w:w="0" w:type="dxa"/>
            <w:vAlign w:val="bottom"/>
          </w:tcPr>
          <w:p>
            <w:pPr>
              <w:spacing w:after="0"/>
              <w:rPr>
                <w:sz w:val="1"/>
                <w:szCs w:val="1"/>
                <w:color w:val="auto"/>
              </w:rPr>
            </w:pPr>
          </w:p>
        </w:tc>
      </w:tr>
      <w:tr>
        <w:trPr>
          <w:trHeight w:val="133"/>
        </w:trPr>
        <w:tc>
          <w:tcPr>
            <w:tcW w:w="1900" w:type="dxa"/>
            <w:vAlign w:val="bottom"/>
            <w:gridSpan w:val="15"/>
          </w:tcPr>
          <w:p>
            <w:pPr>
              <w:spacing w:after="0" w:line="133" w:lineRule="exact"/>
              <w:rPr>
                <w:rFonts w:ascii="Arial" w:cs="Arial" w:eastAsia="Arial" w:hAnsi="Arial"/>
                <w:sz w:val="14"/>
                <w:szCs w:val="14"/>
                <w:b w:val="1"/>
                <w:bCs w:val="1"/>
                <w:color w:val="4395D4"/>
                <w:w w:val="95"/>
              </w:rPr>
            </w:pPr>
            <w:hyperlink w:anchor="page50">
              <w:r>
                <w:rPr>
                  <w:rFonts w:ascii="Arial" w:cs="Arial" w:eastAsia="Arial" w:hAnsi="Arial"/>
                  <w:sz w:val="14"/>
                  <w:szCs w:val="14"/>
                  <w:b w:val="1"/>
                  <w:bCs w:val="1"/>
                  <w:color w:val="4395D4"/>
                  <w:w w:val="95"/>
                </w:rPr>
                <w:t xml:space="preserve">Section 2. </w:t>
              </w:r>
              <w:r>
                <w:rPr>
                  <w:rFonts w:ascii="Arial" w:cs="Arial" w:eastAsia="Arial" w:hAnsi="Arial"/>
                  <w:sz w:val="14"/>
                  <w:szCs w:val="14"/>
                  <w:b w:val="1"/>
                  <w:bCs w:val="1"/>
                  <w:color w:val="455986"/>
                  <w:w w:val="95"/>
                </w:rPr>
                <w:t>How We Determine</w:t>
              </w:r>
            </w:hyperlink>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900" w:type="dxa"/>
            <w:vAlign w:val="bottom"/>
            <w:gridSpan w:val="41"/>
          </w:tcPr>
          <w:p>
            <w:pPr>
              <w:spacing w:after="0" w:line="133" w:lineRule="exact"/>
              <w:rPr>
                <w:rFonts w:ascii="Arial" w:cs="Arial" w:eastAsia="Arial" w:hAnsi="Arial"/>
                <w:sz w:val="14"/>
                <w:szCs w:val="14"/>
                <w:b w:val="1"/>
                <w:bCs w:val="1"/>
                <w:color w:val="455986"/>
              </w:rPr>
            </w:pPr>
            <w:hyperlink w:anchor="page50">
              <w:r>
                <w:rPr>
                  <w:rFonts w:ascii="Arial" w:cs="Arial" w:eastAsia="Arial" w:hAnsi="Arial"/>
                  <w:sz w:val="14"/>
                  <w:szCs w:val="14"/>
                  <w:b w:val="1"/>
                  <w:bCs w:val="1"/>
                  <w:color w:val="455986"/>
                </w:rPr>
                <w:t>Executive Compensation</w:t>
              </w:r>
            </w:hyperlink>
          </w:p>
        </w:tc>
        <w:tc>
          <w:tcPr>
            <w:tcW w:w="420" w:type="dxa"/>
            <w:vAlign w:val="bottom"/>
          </w:tcPr>
          <w:p>
            <w:pPr>
              <w:jc w:val="right"/>
              <w:spacing w:after="0" w:line="133" w:lineRule="exact"/>
              <w:rPr>
                <w:sz w:val="20"/>
                <w:szCs w:val="20"/>
                <w:color w:val="auto"/>
              </w:rPr>
            </w:pPr>
            <w:r>
              <w:rPr>
                <w:rFonts w:ascii="Arial" w:cs="Arial" w:eastAsia="Arial" w:hAnsi="Arial"/>
                <w:sz w:val="14"/>
                <w:szCs w:val="14"/>
                <w:b w:val="1"/>
                <w:bCs w:val="1"/>
                <w:color w:val="455986"/>
              </w:rPr>
              <w:t>47</w:t>
            </w:r>
          </w:p>
        </w:tc>
        <w:tc>
          <w:tcPr>
            <w:tcW w:w="0" w:type="dxa"/>
            <w:vAlign w:val="bottom"/>
          </w:tcPr>
          <w:p>
            <w:pPr>
              <w:spacing w:after="0"/>
              <w:rPr>
                <w:sz w:val="1"/>
                <w:szCs w:val="1"/>
                <w:color w:val="auto"/>
              </w:rPr>
            </w:pPr>
          </w:p>
        </w:tc>
      </w:tr>
      <w:tr>
        <w:trPr>
          <w:trHeight w:val="20"/>
        </w:trPr>
        <w:tc>
          <w:tcPr>
            <w:tcW w:w="200" w:type="dxa"/>
            <w:vAlign w:val="bottom"/>
            <w:shd w:val="clear" w:color="auto" w:fill="4395D4"/>
          </w:tcPr>
          <w:p>
            <w:pPr>
              <w:spacing w:after="0" w:line="20" w:lineRule="exact"/>
              <w:rPr>
                <w:sz w:val="1"/>
                <w:szCs w:val="1"/>
                <w:color w:val="auto"/>
              </w:rPr>
            </w:pPr>
          </w:p>
        </w:tc>
        <w:tc>
          <w:tcPr>
            <w:tcW w:w="280" w:type="dxa"/>
            <w:vAlign w:val="bottom"/>
            <w:shd w:val="clear" w:color="auto" w:fill="4395D4"/>
          </w:tcPr>
          <w:p>
            <w:pPr>
              <w:spacing w:after="0" w:line="20" w:lineRule="exact"/>
              <w:rPr>
                <w:sz w:val="1"/>
                <w:szCs w:val="1"/>
                <w:color w:val="auto"/>
              </w:rPr>
            </w:pPr>
          </w:p>
        </w:tc>
        <w:tc>
          <w:tcPr>
            <w:tcW w:w="120" w:type="dxa"/>
            <w:vAlign w:val="bottom"/>
            <w:shd w:val="clear" w:color="auto" w:fill="4395D4"/>
          </w:tcPr>
          <w:p>
            <w:pPr>
              <w:spacing w:after="0" w:line="20" w:lineRule="exact"/>
              <w:rPr>
                <w:sz w:val="1"/>
                <w:szCs w:val="1"/>
                <w:color w:val="auto"/>
              </w:rPr>
            </w:pPr>
          </w:p>
        </w:tc>
        <w:tc>
          <w:tcPr>
            <w:tcW w:w="40" w:type="dxa"/>
            <w:vAlign w:val="bottom"/>
            <w:shd w:val="clear" w:color="auto" w:fill="4395D4"/>
          </w:tcPr>
          <w:p>
            <w:pPr>
              <w:spacing w:after="0" w:line="20" w:lineRule="exact"/>
              <w:rPr>
                <w:sz w:val="1"/>
                <w:szCs w:val="1"/>
                <w:color w:val="auto"/>
              </w:rPr>
            </w:pPr>
          </w:p>
        </w:tc>
        <w:tc>
          <w:tcPr>
            <w:tcW w:w="140" w:type="dxa"/>
            <w:vAlign w:val="bottom"/>
            <w:tcBorders>
              <w:right w:val="single" w:sz="8" w:color="455986"/>
            </w:tcBorders>
            <w:shd w:val="clear" w:color="auto" w:fill="4395D4"/>
          </w:tcPr>
          <w:p>
            <w:pPr>
              <w:spacing w:after="0" w:line="20" w:lineRule="exact"/>
              <w:rPr>
                <w:sz w:val="1"/>
                <w:szCs w:val="1"/>
                <w:color w:val="auto"/>
              </w:rPr>
            </w:pPr>
          </w:p>
        </w:tc>
        <w:tc>
          <w:tcPr>
            <w:tcW w:w="160" w:type="dxa"/>
            <w:vAlign w:val="bottom"/>
            <w:gridSpan w:val="2"/>
            <w:shd w:val="clear" w:color="auto" w:fill="455986"/>
          </w:tcPr>
          <w:p>
            <w:pPr>
              <w:spacing w:after="0" w:line="20" w:lineRule="exact"/>
              <w:rPr>
                <w:sz w:val="1"/>
                <w:szCs w:val="1"/>
                <w:color w:val="auto"/>
              </w:rPr>
            </w:pPr>
          </w:p>
        </w:tc>
        <w:tc>
          <w:tcPr>
            <w:tcW w:w="140" w:type="dxa"/>
            <w:vAlign w:val="bottom"/>
            <w:shd w:val="clear" w:color="auto" w:fill="455986"/>
          </w:tcPr>
          <w:p>
            <w:pPr>
              <w:spacing w:after="0" w:line="20" w:lineRule="exact"/>
              <w:rPr>
                <w:sz w:val="1"/>
                <w:szCs w:val="1"/>
                <w:color w:val="auto"/>
              </w:rPr>
            </w:pPr>
          </w:p>
        </w:tc>
        <w:tc>
          <w:tcPr>
            <w:tcW w:w="140" w:type="dxa"/>
            <w:vAlign w:val="bottom"/>
            <w:shd w:val="clear" w:color="auto" w:fill="455986"/>
          </w:tcPr>
          <w:p>
            <w:pPr>
              <w:spacing w:after="0" w:line="20" w:lineRule="exact"/>
              <w:rPr>
                <w:sz w:val="1"/>
                <w:szCs w:val="1"/>
                <w:color w:val="auto"/>
              </w:rPr>
            </w:pPr>
          </w:p>
        </w:tc>
        <w:tc>
          <w:tcPr>
            <w:tcW w:w="120" w:type="dxa"/>
            <w:vAlign w:val="bottom"/>
            <w:gridSpan w:val="2"/>
            <w:shd w:val="clear" w:color="auto" w:fill="455986"/>
          </w:tcPr>
          <w:p>
            <w:pPr>
              <w:spacing w:after="0" w:line="20" w:lineRule="exact"/>
              <w:rPr>
                <w:sz w:val="1"/>
                <w:szCs w:val="1"/>
                <w:color w:val="auto"/>
              </w:rPr>
            </w:pPr>
          </w:p>
        </w:tc>
        <w:tc>
          <w:tcPr>
            <w:tcW w:w="240" w:type="dxa"/>
            <w:vAlign w:val="bottom"/>
            <w:shd w:val="clear" w:color="auto" w:fill="455986"/>
          </w:tcPr>
          <w:p>
            <w:pPr>
              <w:spacing w:after="0" w:line="20" w:lineRule="exact"/>
              <w:rPr>
                <w:sz w:val="1"/>
                <w:szCs w:val="1"/>
                <w:color w:val="auto"/>
              </w:rPr>
            </w:pPr>
          </w:p>
        </w:tc>
        <w:tc>
          <w:tcPr>
            <w:tcW w:w="80" w:type="dxa"/>
            <w:vAlign w:val="bottom"/>
            <w:shd w:val="clear" w:color="auto" w:fill="455986"/>
          </w:tcPr>
          <w:p>
            <w:pPr>
              <w:spacing w:after="0" w:line="20" w:lineRule="exact"/>
              <w:rPr>
                <w:sz w:val="1"/>
                <w:szCs w:val="1"/>
                <w:color w:val="auto"/>
              </w:rPr>
            </w:pPr>
          </w:p>
        </w:tc>
        <w:tc>
          <w:tcPr>
            <w:tcW w:w="80" w:type="dxa"/>
            <w:vAlign w:val="bottom"/>
            <w:shd w:val="clear" w:color="auto" w:fill="455986"/>
          </w:tcPr>
          <w:p>
            <w:pPr>
              <w:spacing w:after="0" w:line="20" w:lineRule="exact"/>
              <w:rPr>
                <w:sz w:val="1"/>
                <w:szCs w:val="1"/>
                <w:color w:val="auto"/>
              </w:rPr>
            </w:pPr>
          </w:p>
        </w:tc>
        <w:tc>
          <w:tcPr>
            <w:tcW w:w="180" w:type="dxa"/>
            <w:vAlign w:val="bottom"/>
            <w:gridSpan w:val="2"/>
            <w:shd w:val="clear" w:color="auto" w:fill="455986"/>
          </w:tcPr>
          <w:p>
            <w:pPr>
              <w:spacing w:after="0" w:line="20" w:lineRule="exact"/>
              <w:rPr>
                <w:sz w:val="1"/>
                <w:szCs w:val="1"/>
                <w:color w:val="auto"/>
              </w:rPr>
            </w:pPr>
          </w:p>
        </w:tc>
        <w:tc>
          <w:tcPr>
            <w:tcW w:w="20" w:type="dxa"/>
            <w:vAlign w:val="bottom"/>
            <w:shd w:val="clear" w:color="auto" w:fill="455986"/>
          </w:tcPr>
          <w:p>
            <w:pPr>
              <w:spacing w:after="0" w:line="20" w:lineRule="exact"/>
              <w:rPr>
                <w:sz w:val="1"/>
                <w:szCs w:val="1"/>
                <w:color w:val="auto"/>
              </w:rPr>
            </w:pPr>
          </w:p>
        </w:tc>
        <w:tc>
          <w:tcPr>
            <w:tcW w:w="20" w:type="dxa"/>
            <w:vAlign w:val="bottom"/>
            <w:shd w:val="clear" w:color="auto" w:fill="455986"/>
          </w:tcPr>
          <w:p>
            <w:pPr>
              <w:spacing w:after="0" w:line="20" w:lineRule="exact"/>
              <w:rPr>
                <w:sz w:val="1"/>
                <w:szCs w:val="1"/>
                <w:color w:val="auto"/>
              </w:rPr>
            </w:pPr>
          </w:p>
        </w:tc>
        <w:tc>
          <w:tcPr>
            <w:tcW w:w="20" w:type="dxa"/>
            <w:vAlign w:val="bottom"/>
            <w:shd w:val="clear" w:color="auto" w:fill="455986"/>
          </w:tcPr>
          <w:p>
            <w:pPr>
              <w:spacing w:after="0" w:line="20" w:lineRule="exact"/>
              <w:rPr>
                <w:sz w:val="1"/>
                <w:szCs w:val="1"/>
                <w:color w:val="auto"/>
              </w:rPr>
            </w:pPr>
          </w:p>
        </w:tc>
        <w:tc>
          <w:tcPr>
            <w:tcW w:w="80" w:type="dxa"/>
            <w:vAlign w:val="bottom"/>
            <w:shd w:val="clear" w:color="auto" w:fill="455986"/>
          </w:tcPr>
          <w:p>
            <w:pPr>
              <w:spacing w:after="0" w:line="20" w:lineRule="exact"/>
              <w:rPr>
                <w:sz w:val="1"/>
                <w:szCs w:val="1"/>
                <w:color w:val="auto"/>
              </w:rPr>
            </w:pPr>
          </w:p>
        </w:tc>
        <w:tc>
          <w:tcPr>
            <w:tcW w:w="20" w:type="dxa"/>
            <w:vAlign w:val="bottom"/>
            <w:shd w:val="clear" w:color="auto" w:fill="455986"/>
          </w:tcPr>
          <w:p>
            <w:pPr>
              <w:spacing w:after="0" w:line="20" w:lineRule="exact"/>
              <w:rPr>
                <w:sz w:val="1"/>
                <w:szCs w:val="1"/>
                <w:color w:val="auto"/>
              </w:rPr>
            </w:pPr>
          </w:p>
        </w:tc>
        <w:tc>
          <w:tcPr>
            <w:tcW w:w="220" w:type="dxa"/>
            <w:vAlign w:val="bottom"/>
            <w:gridSpan w:val="2"/>
            <w:shd w:val="clear" w:color="auto" w:fill="455986"/>
          </w:tcPr>
          <w:p>
            <w:pPr>
              <w:spacing w:after="0" w:line="20" w:lineRule="exact"/>
              <w:rPr>
                <w:sz w:val="1"/>
                <w:szCs w:val="1"/>
                <w:color w:val="auto"/>
              </w:rPr>
            </w:pPr>
          </w:p>
        </w:tc>
        <w:tc>
          <w:tcPr>
            <w:tcW w:w="40" w:type="dxa"/>
            <w:vAlign w:val="bottom"/>
            <w:shd w:val="clear" w:color="auto" w:fill="455986"/>
          </w:tcPr>
          <w:p>
            <w:pPr>
              <w:spacing w:after="0" w:line="20" w:lineRule="exact"/>
              <w:rPr>
                <w:sz w:val="1"/>
                <w:szCs w:val="1"/>
                <w:color w:val="auto"/>
              </w:rPr>
            </w:pPr>
          </w:p>
        </w:tc>
        <w:tc>
          <w:tcPr>
            <w:tcW w:w="20" w:type="dxa"/>
            <w:vAlign w:val="bottom"/>
            <w:shd w:val="clear" w:color="auto" w:fill="455986"/>
          </w:tcPr>
          <w:p>
            <w:pPr>
              <w:spacing w:after="0" w:line="20" w:lineRule="exact"/>
              <w:rPr>
                <w:sz w:val="1"/>
                <w:szCs w:val="1"/>
                <w:color w:val="auto"/>
              </w:rPr>
            </w:pPr>
          </w:p>
        </w:tc>
        <w:tc>
          <w:tcPr>
            <w:tcW w:w="60" w:type="dxa"/>
            <w:vAlign w:val="bottom"/>
            <w:gridSpan w:val="2"/>
            <w:shd w:val="clear" w:color="auto" w:fill="455986"/>
          </w:tcPr>
          <w:p>
            <w:pPr>
              <w:spacing w:after="0" w:line="20" w:lineRule="exact"/>
              <w:rPr>
                <w:sz w:val="1"/>
                <w:szCs w:val="1"/>
                <w:color w:val="auto"/>
              </w:rPr>
            </w:pPr>
          </w:p>
        </w:tc>
        <w:tc>
          <w:tcPr>
            <w:tcW w:w="40" w:type="dxa"/>
            <w:vAlign w:val="bottom"/>
            <w:gridSpan w:val="2"/>
            <w:shd w:val="clear" w:color="auto" w:fill="455986"/>
          </w:tcPr>
          <w:p>
            <w:pPr>
              <w:spacing w:after="0" w:line="20" w:lineRule="exact"/>
              <w:rPr>
                <w:sz w:val="1"/>
                <w:szCs w:val="1"/>
                <w:color w:val="auto"/>
              </w:rPr>
            </w:pPr>
          </w:p>
        </w:tc>
        <w:tc>
          <w:tcPr>
            <w:tcW w:w="20" w:type="dxa"/>
            <w:vAlign w:val="bottom"/>
            <w:shd w:val="clear" w:color="auto" w:fill="455986"/>
          </w:tcPr>
          <w:p>
            <w:pPr>
              <w:spacing w:after="0" w:line="20" w:lineRule="exact"/>
              <w:rPr>
                <w:sz w:val="1"/>
                <w:szCs w:val="1"/>
                <w:color w:val="auto"/>
              </w:rPr>
            </w:pPr>
          </w:p>
        </w:tc>
        <w:tc>
          <w:tcPr>
            <w:tcW w:w="20" w:type="dxa"/>
            <w:vAlign w:val="bottom"/>
            <w:shd w:val="clear" w:color="auto" w:fill="455986"/>
          </w:tcPr>
          <w:p>
            <w:pPr>
              <w:spacing w:after="0" w:line="20" w:lineRule="exact"/>
              <w:rPr>
                <w:sz w:val="1"/>
                <w:szCs w:val="1"/>
                <w:color w:val="auto"/>
              </w:rPr>
            </w:pPr>
          </w:p>
        </w:tc>
        <w:tc>
          <w:tcPr>
            <w:tcW w:w="260" w:type="dxa"/>
            <w:vAlign w:val="bottom"/>
            <w:gridSpan w:val="5"/>
            <w:shd w:val="clear" w:color="auto" w:fill="455986"/>
          </w:tcPr>
          <w:p>
            <w:pPr>
              <w:spacing w:after="0" w:line="20" w:lineRule="exact"/>
              <w:rPr>
                <w:sz w:val="1"/>
                <w:szCs w:val="1"/>
                <w:color w:val="auto"/>
              </w:rPr>
            </w:pPr>
          </w:p>
        </w:tc>
        <w:tc>
          <w:tcPr>
            <w:tcW w:w="80" w:type="dxa"/>
            <w:vAlign w:val="bottom"/>
            <w:gridSpan w:val="2"/>
            <w:shd w:val="clear" w:color="auto" w:fill="455986"/>
          </w:tcPr>
          <w:p>
            <w:pPr>
              <w:spacing w:after="0" w:line="20" w:lineRule="exact"/>
              <w:rPr>
                <w:sz w:val="1"/>
                <w:szCs w:val="1"/>
                <w:color w:val="auto"/>
              </w:rPr>
            </w:pPr>
          </w:p>
        </w:tc>
        <w:tc>
          <w:tcPr>
            <w:tcW w:w="20" w:type="dxa"/>
            <w:vAlign w:val="bottom"/>
            <w:shd w:val="clear" w:color="auto" w:fill="455986"/>
          </w:tcPr>
          <w:p>
            <w:pPr>
              <w:spacing w:after="0" w:line="20" w:lineRule="exact"/>
              <w:rPr>
                <w:sz w:val="1"/>
                <w:szCs w:val="1"/>
                <w:color w:val="auto"/>
              </w:rPr>
            </w:pPr>
          </w:p>
        </w:tc>
        <w:tc>
          <w:tcPr>
            <w:tcW w:w="40" w:type="dxa"/>
            <w:vAlign w:val="bottom"/>
            <w:shd w:val="clear" w:color="auto" w:fill="455986"/>
          </w:tcPr>
          <w:p>
            <w:pPr>
              <w:spacing w:after="0" w:line="20" w:lineRule="exact"/>
              <w:rPr>
                <w:sz w:val="1"/>
                <w:szCs w:val="1"/>
                <w:color w:val="auto"/>
              </w:rPr>
            </w:pPr>
          </w:p>
        </w:tc>
        <w:tc>
          <w:tcPr>
            <w:tcW w:w="100" w:type="dxa"/>
            <w:vAlign w:val="bottom"/>
            <w:shd w:val="clear" w:color="auto" w:fill="455986"/>
          </w:tcPr>
          <w:p>
            <w:pPr>
              <w:spacing w:after="0" w:line="20" w:lineRule="exact"/>
              <w:rPr>
                <w:sz w:val="1"/>
                <w:szCs w:val="1"/>
                <w:color w:val="auto"/>
              </w:rPr>
            </w:pPr>
          </w:p>
        </w:tc>
        <w:tc>
          <w:tcPr>
            <w:tcW w:w="20" w:type="dxa"/>
            <w:vAlign w:val="bottom"/>
            <w:shd w:val="clear" w:color="auto" w:fill="455986"/>
          </w:tcPr>
          <w:p>
            <w:pPr>
              <w:spacing w:after="0" w:line="20" w:lineRule="exact"/>
              <w:rPr>
                <w:sz w:val="1"/>
                <w:szCs w:val="1"/>
                <w:color w:val="auto"/>
              </w:rPr>
            </w:pPr>
          </w:p>
        </w:tc>
        <w:tc>
          <w:tcPr>
            <w:tcW w:w="120" w:type="dxa"/>
            <w:vAlign w:val="bottom"/>
            <w:gridSpan w:val="2"/>
            <w:shd w:val="clear" w:color="auto" w:fill="455986"/>
          </w:tcPr>
          <w:p>
            <w:pPr>
              <w:spacing w:after="0" w:line="20" w:lineRule="exact"/>
              <w:rPr>
                <w:sz w:val="1"/>
                <w:szCs w:val="1"/>
                <w:color w:val="auto"/>
              </w:rPr>
            </w:pPr>
          </w:p>
        </w:tc>
        <w:tc>
          <w:tcPr>
            <w:tcW w:w="40" w:type="dxa"/>
            <w:vAlign w:val="bottom"/>
            <w:shd w:val="clear" w:color="auto" w:fill="455986"/>
          </w:tcPr>
          <w:p>
            <w:pPr>
              <w:spacing w:after="0" w:line="20" w:lineRule="exact"/>
              <w:rPr>
                <w:sz w:val="1"/>
                <w:szCs w:val="1"/>
                <w:color w:val="auto"/>
              </w:rPr>
            </w:pPr>
          </w:p>
        </w:tc>
        <w:tc>
          <w:tcPr>
            <w:tcW w:w="60" w:type="dxa"/>
            <w:vAlign w:val="bottom"/>
            <w:gridSpan w:val="2"/>
            <w:shd w:val="clear" w:color="auto" w:fill="455986"/>
          </w:tcPr>
          <w:p>
            <w:pPr>
              <w:spacing w:after="0" w:line="20" w:lineRule="exact"/>
              <w:rPr>
                <w:sz w:val="1"/>
                <w:szCs w:val="1"/>
                <w:color w:val="auto"/>
              </w:rPr>
            </w:pPr>
          </w:p>
        </w:tc>
        <w:tc>
          <w:tcPr>
            <w:tcW w:w="40" w:type="dxa"/>
            <w:vAlign w:val="bottom"/>
            <w:shd w:val="clear" w:color="auto" w:fill="455986"/>
          </w:tcPr>
          <w:p>
            <w:pPr>
              <w:spacing w:after="0" w:line="20" w:lineRule="exact"/>
              <w:rPr>
                <w:sz w:val="1"/>
                <w:szCs w:val="1"/>
                <w:color w:val="auto"/>
              </w:rPr>
            </w:pPr>
          </w:p>
        </w:tc>
        <w:tc>
          <w:tcPr>
            <w:tcW w:w="80" w:type="dxa"/>
            <w:vAlign w:val="bottom"/>
            <w:gridSpan w:val="3"/>
            <w:shd w:val="clear" w:color="auto" w:fill="455986"/>
          </w:tcPr>
          <w:p>
            <w:pPr>
              <w:spacing w:after="0" w:line="20" w:lineRule="exact"/>
              <w:rPr>
                <w:sz w:val="1"/>
                <w:szCs w:val="1"/>
                <w:color w:val="auto"/>
              </w:rPr>
            </w:pPr>
          </w:p>
        </w:tc>
        <w:tc>
          <w:tcPr>
            <w:tcW w:w="20" w:type="dxa"/>
            <w:vAlign w:val="bottom"/>
            <w:shd w:val="clear" w:color="auto" w:fill="455986"/>
          </w:tcPr>
          <w:p>
            <w:pPr>
              <w:spacing w:after="0" w:line="20" w:lineRule="exact"/>
              <w:rPr>
                <w:sz w:val="1"/>
                <w:szCs w:val="1"/>
                <w:color w:val="auto"/>
              </w:rPr>
            </w:pPr>
          </w:p>
        </w:tc>
        <w:tc>
          <w:tcPr>
            <w:tcW w:w="20" w:type="dxa"/>
            <w:vAlign w:val="bottom"/>
            <w:shd w:val="clear" w:color="auto" w:fill="455986"/>
          </w:tcPr>
          <w:p>
            <w:pPr>
              <w:spacing w:after="0" w:line="20" w:lineRule="exact"/>
              <w:rPr>
                <w:sz w:val="1"/>
                <w:szCs w:val="1"/>
                <w:color w:val="auto"/>
              </w:rPr>
            </w:pPr>
          </w:p>
        </w:tc>
        <w:tc>
          <w:tcPr>
            <w:tcW w:w="40" w:type="dxa"/>
            <w:vAlign w:val="bottom"/>
            <w:shd w:val="clear" w:color="auto" w:fill="455986"/>
          </w:tcPr>
          <w:p>
            <w:pPr>
              <w:spacing w:after="0" w:line="20" w:lineRule="exact"/>
              <w:rPr>
                <w:sz w:val="1"/>
                <w:szCs w:val="1"/>
                <w:color w:val="auto"/>
              </w:rPr>
            </w:pPr>
          </w:p>
        </w:tc>
        <w:tc>
          <w:tcPr>
            <w:tcW w:w="80" w:type="dxa"/>
            <w:vAlign w:val="bottom"/>
            <w:gridSpan w:val="2"/>
            <w:shd w:val="clear" w:color="auto" w:fill="455986"/>
          </w:tcPr>
          <w:p>
            <w:pPr>
              <w:spacing w:after="0" w:line="20" w:lineRule="exact"/>
              <w:rPr>
                <w:sz w:val="1"/>
                <w:szCs w:val="1"/>
                <w:color w:val="auto"/>
              </w:rPr>
            </w:pPr>
          </w:p>
        </w:tc>
        <w:tc>
          <w:tcPr>
            <w:tcW w:w="60" w:type="dxa"/>
            <w:vAlign w:val="bottom"/>
            <w:tcBorders>
              <w:right w:val="single" w:sz="8" w:color="455986"/>
            </w:tcBorders>
            <w:shd w:val="clear" w:color="auto" w:fill="455986"/>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vMerge w:val="restart"/>
          </w:tcPr>
          <w:p>
            <w:pPr>
              <w:jc w:val="right"/>
              <w:spacing w:after="0" w:line="153" w:lineRule="exact"/>
              <w:rPr>
                <w:sz w:val="20"/>
                <w:szCs w:val="20"/>
                <w:color w:val="auto"/>
              </w:rPr>
            </w:pPr>
            <w:r>
              <w:rPr>
                <w:rFonts w:ascii="Arial" w:cs="Arial" w:eastAsia="Arial" w:hAnsi="Arial"/>
                <w:sz w:val="14"/>
                <w:szCs w:val="14"/>
                <w:color w:val="231F20"/>
              </w:rPr>
              <w:t>47</w:t>
            </w:r>
          </w:p>
        </w:tc>
        <w:tc>
          <w:tcPr>
            <w:tcW w:w="0" w:type="dxa"/>
            <w:vAlign w:val="bottom"/>
          </w:tcPr>
          <w:p>
            <w:pPr>
              <w:spacing w:after="0" w:line="20" w:lineRule="exact"/>
              <w:rPr>
                <w:sz w:val="1"/>
                <w:szCs w:val="1"/>
                <w:color w:val="auto"/>
              </w:rPr>
            </w:pPr>
          </w:p>
        </w:tc>
      </w:tr>
      <w:tr>
        <w:trPr>
          <w:trHeight w:val="133"/>
        </w:trPr>
        <w:tc>
          <w:tcPr>
            <w:tcW w:w="200" w:type="dxa"/>
            <w:vAlign w:val="bottom"/>
          </w:tcPr>
          <w:p>
            <w:pPr>
              <w:spacing w:after="0"/>
              <w:rPr>
                <w:sz w:val="11"/>
                <w:szCs w:val="11"/>
                <w:color w:val="auto"/>
              </w:rPr>
            </w:pPr>
          </w:p>
        </w:tc>
        <w:tc>
          <w:tcPr>
            <w:tcW w:w="3640" w:type="dxa"/>
            <w:vAlign w:val="bottom"/>
            <w:gridSpan w:val="57"/>
          </w:tcPr>
          <w:p>
            <w:pPr>
              <w:spacing w:after="0" w:line="133" w:lineRule="exact"/>
              <w:rPr>
                <w:rFonts w:ascii="Arial" w:cs="Arial" w:eastAsia="Arial" w:hAnsi="Arial"/>
                <w:sz w:val="14"/>
                <w:szCs w:val="14"/>
                <w:color w:val="231F20"/>
              </w:rPr>
            </w:pPr>
            <w:hyperlink w:anchor="page50">
              <w:r>
                <w:rPr>
                  <w:rFonts w:ascii="Arial" w:cs="Arial" w:eastAsia="Arial" w:hAnsi="Arial"/>
                  <w:sz w:val="14"/>
                  <w:szCs w:val="14"/>
                  <w:color w:val="231F20"/>
                </w:rPr>
                <w:t>The Role of the Compensation Committee</w:t>
              </w:r>
            </w:hyperlink>
          </w:p>
        </w:tc>
        <w:tc>
          <w:tcPr>
            <w:tcW w:w="4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0" w:type="dxa"/>
            <w:vAlign w:val="bottom"/>
          </w:tcPr>
          <w:p>
            <w:pPr>
              <w:spacing w:after="0"/>
              <w:rPr>
                <w:sz w:val="11"/>
                <w:szCs w:val="11"/>
                <w:color w:val="auto"/>
              </w:rPr>
            </w:pPr>
          </w:p>
        </w:tc>
        <w:tc>
          <w:tcPr>
            <w:tcW w:w="2560" w:type="dxa"/>
            <w:vAlign w:val="bottom"/>
            <w:tcBorders>
              <w:top w:val="single" w:sz="8" w:color="231F20"/>
            </w:tcBorders>
            <w:gridSpan w:val="35"/>
          </w:tcPr>
          <w:p>
            <w:pPr>
              <w:spacing w:after="0" w:line="133" w:lineRule="exact"/>
              <w:rPr>
                <w:rFonts w:ascii="Arial" w:cs="Arial" w:eastAsia="Arial" w:hAnsi="Arial"/>
                <w:sz w:val="14"/>
                <w:szCs w:val="14"/>
                <w:color w:val="231F20"/>
              </w:rPr>
            </w:pPr>
            <w:hyperlink w:anchor="page50">
              <w:r>
                <w:rPr>
                  <w:rFonts w:ascii="Arial" w:cs="Arial" w:eastAsia="Arial" w:hAnsi="Arial"/>
                  <w:sz w:val="14"/>
                  <w:szCs w:val="14"/>
                  <w:color w:val="231F20"/>
                </w:rPr>
                <w:t>The Role of Management</w:t>
              </w:r>
            </w:hyperlink>
          </w:p>
        </w:tc>
        <w:tc>
          <w:tcPr>
            <w:tcW w:w="8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gridSpan w:val="2"/>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gridSpan w:val="2"/>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gridSpan w:val="3"/>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gridSpan w:val="2"/>
          </w:tcPr>
          <w:p>
            <w:pPr>
              <w:spacing w:after="0"/>
              <w:rPr>
                <w:sz w:val="11"/>
                <w:szCs w:val="11"/>
                <w:color w:val="auto"/>
              </w:rPr>
            </w:pPr>
          </w:p>
        </w:tc>
        <w:tc>
          <w:tcPr>
            <w:tcW w:w="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20" w:type="dxa"/>
            <w:vAlign w:val="bottom"/>
          </w:tcPr>
          <w:p>
            <w:pPr>
              <w:jc w:val="right"/>
              <w:spacing w:after="0" w:line="133" w:lineRule="exact"/>
              <w:rPr>
                <w:sz w:val="20"/>
                <w:szCs w:val="20"/>
                <w:color w:val="auto"/>
              </w:rPr>
            </w:pPr>
            <w:r>
              <w:rPr>
                <w:rFonts w:ascii="Arial" w:cs="Arial" w:eastAsia="Arial" w:hAnsi="Arial"/>
                <w:sz w:val="14"/>
                <w:szCs w:val="14"/>
                <w:color w:val="231F20"/>
              </w:rPr>
              <w:t>47</w:t>
            </w: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280" w:type="dxa"/>
            <w:vAlign w:val="bottom"/>
            <w:shd w:val="clear" w:color="auto" w:fill="231F20"/>
          </w:tcPr>
          <w:p>
            <w:pPr>
              <w:spacing w:after="0" w:line="20" w:lineRule="exact"/>
              <w:rPr>
                <w:sz w:val="1"/>
                <w:szCs w:val="1"/>
                <w:color w:val="auto"/>
              </w:rPr>
            </w:pPr>
          </w:p>
        </w:tc>
        <w:tc>
          <w:tcPr>
            <w:tcW w:w="120" w:type="dxa"/>
            <w:vAlign w:val="bottom"/>
            <w:shd w:val="clear" w:color="auto" w:fill="231F20"/>
          </w:tcPr>
          <w:p>
            <w:pPr>
              <w:spacing w:after="0" w:line="20" w:lineRule="exact"/>
              <w:rPr>
                <w:sz w:val="1"/>
                <w:szCs w:val="1"/>
                <w:color w:val="auto"/>
              </w:rPr>
            </w:pPr>
          </w:p>
        </w:tc>
        <w:tc>
          <w:tcPr>
            <w:tcW w:w="40" w:type="dxa"/>
            <w:vAlign w:val="bottom"/>
            <w:shd w:val="clear" w:color="auto" w:fill="231F20"/>
          </w:tcPr>
          <w:p>
            <w:pPr>
              <w:spacing w:after="0" w:line="20" w:lineRule="exact"/>
              <w:rPr>
                <w:sz w:val="1"/>
                <w:szCs w:val="1"/>
                <w:color w:val="auto"/>
              </w:rPr>
            </w:pPr>
          </w:p>
        </w:tc>
        <w:tc>
          <w:tcPr>
            <w:tcW w:w="140" w:type="dxa"/>
            <w:vAlign w:val="bottom"/>
            <w:tcBorders>
              <w:right w:val="single" w:sz="8" w:color="231F20"/>
            </w:tcBorders>
            <w:shd w:val="clear" w:color="auto" w:fill="231F20"/>
          </w:tcPr>
          <w:p>
            <w:pPr>
              <w:spacing w:after="0" w:line="20" w:lineRule="exact"/>
              <w:rPr>
                <w:sz w:val="1"/>
                <w:szCs w:val="1"/>
                <w:color w:val="auto"/>
              </w:rPr>
            </w:pPr>
          </w:p>
        </w:tc>
        <w:tc>
          <w:tcPr>
            <w:tcW w:w="160" w:type="dxa"/>
            <w:vAlign w:val="bottom"/>
            <w:gridSpan w:val="2"/>
            <w:shd w:val="clear" w:color="auto" w:fill="231F20"/>
          </w:tcPr>
          <w:p>
            <w:pPr>
              <w:spacing w:after="0" w:line="20" w:lineRule="exact"/>
              <w:rPr>
                <w:sz w:val="1"/>
                <w:szCs w:val="1"/>
                <w:color w:val="auto"/>
              </w:rPr>
            </w:pPr>
          </w:p>
        </w:tc>
        <w:tc>
          <w:tcPr>
            <w:tcW w:w="140" w:type="dxa"/>
            <w:vAlign w:val="bottom"/>
            <w:shd w:val="clear" w:color="auto" w:fill="231F20"/>
          </w:tcPr>
          <w:p>
            <w:pPr>
              <w:spacing w:after="0" w:line="20" w:lineRule="exact"/>
              <w:rPr>
                <w:sz w:val="1"/>
                <w:szCs w:val="1"/>
                <w:color w:val="auto"/>
              </w:rPr>
            </w:pPr>
          </w:p>
        </w:tc>
        <w:tc>
          <w:tcPr>
            <w:tcW w:w="140" w:type="dxa"/>
            <w:vAlign w:val="bottom"/>
            <w:shd w:val="clear" w:color="auto" w:fill="231F20"/>
          </w:tcPr>
          <w:p>
            <w:pPr>
              <w:spacing w:after="0" w:line="20" w:lineRule="exact"/>
              <w:rPr>
                <w:sz w:val="1"/>
                <w:szCs w:val="1"/>
                <w:color w:val="auto"/>
              </w:rPr>
            </w:pPr>
          </w:p>
        </w:tc>
        <w:tc>
          <w:tcPr>
            <w:tcW w:w="120" w:type="dxa"/>
            <w:vAlign w:val="bottom"/>
            <w:gridSpan w:val="2"/>
            <w:shd w:val="clear" w:color="auto" w:fill="231F20"/>
          </w:tcPr>
          <w:p>
            <w:pPr>
              <w:spacing w:after="0" w:line="20" w:lineRule="exact"/>
              <w:rPr>
                <w:sz w:val="1"/>
                <w:szCs w:val="1"/>
                <w:color w:val="auto"/>
              </w:rPr>
            </w:pPr>
          </w:p>
        </w:tc>
        <w:tc>
          <w:tcPr>
            <w:tcW w:w="240" w:type="dxa"/>
            <w:vAlign w:val="bottom"/>
            <w:shd w:val="clear" w:color="auto" w:fill="231F20"/>
          </w:tcPr>
          <w:p>
            <w:pPr>
              <w:spacing w:after="0" w:line="20" w:lineRule="exact"/>
              <w:rPr>
                <w:sz w:val="1"/>
                <w:szCs w:val="1"/>
                <w:color w:val="auto"/>
              </w:rPr>
            </w:pPr>
          </w:p>
        </w:tc>
        <w:tc>
          <w:tcPr>
            <w:tcW w:w="80" w:type="dxa"/>
            <w:vAlign w:val="bottom"/>
            <w:shd w:val="clear" w:color="auto" w:fill="231F20"/>
          </w:tcPr>
          <w:p>
            <w:pPr>
              <w:spacing w:after="0" w:line="20" w:lineRule="exact"/>
              <w:rPr>
                <w:sz w:val="1"/>
                <w:szCs w:val="1"/>
                <w:color w:val="auto"/>
              </w:rPr>
            </w:pPr>
          </w:p>
        </w:tc>
        <w:tc>
          <w:tcPr>
            <w:tcW w:w="80" w:type="dxa"/>
            <w:vAlign w:val="bottom"/>
            <w:shd w:val="clear" w:color="auto" w:fill="231F20"/>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gridSpan w:val="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3"/>
        </w:trPr>
        <w:tc>
          <w:tcPr>
            <w:tcW w:w="200" w:type="dxa"/>
            <w:vAlign w:val="bottom"/>
          </w:tcPr>
          <w:p>
            <w:pPr>
              <w:spacing w:after="0"/>
              <w:rPr>
                <w:sz w:val="11"/>
                <w:szCs w:val="11"/>
                <w:color w:val="auto"/>
              </w:rPr>
            </w:pPr>
          </w:p>
        </w:tc>
        <w:tc>
          <w:tcPr>
            <w:tcW w:w="3640" w:type="dxa"/>
            <w:vAlign w:val="bottom"/>
            <w:gridSpan w:val="57"/>
          </w:tcPr>
          <w:p>
            <w:pPr>
              <w:spacing w:after="0" w:line="133" w:lineRule="exact"/>
              <w:rPr>
                <w:rFonts w:ascii="Arial" w:cs="Arial" w:eastAsia="Arial" w:hAnsi="Arial"/>
                <w:sz w:val="14"/>
                <w:szCs w:val="14"/>
                <w:color w:val="231F20"/>
              </w:rPr>
            </w:pPr>
            <w:hyperlink w:anchor="page50">
              <w:r>
                <w:rPr>
                  <w:rFonts w:ascii="Arial" w:cs="Arial" w:eastAsia="Arial" w:hAnsi="Arial"/>
                  <w:sz w:val="14"/>
                  <w:szCs w:val="14"/>
                  <w:color w:val="231F20"/>
                </w:rPr>
                <w:t>The Role of the Compensation Committee’s</w:t>
              </w:r>
            </w:hyperlink>
          </w:p>
        </w:tc>
        <w:tc>
          <w:tcPr>
            <w:tcW w:w="420" w:type="dxa"/>
            <w:vAlign w:val="bottom"/>
            <w:vMerge w:val="restart"/>
          </w:tcPr>
          <w:p>
            <w:pPr>
              <w:jc w:val="right"/>
              <w:spacing w:after="0"/>
              <w:rPr>
                <w:sz w:val="20"/>
                <w:szCs w:val="20"/>
                <w:color w:val="auto"/>
              </w:rPr>
            </w:pPr>
            <w:r>
              <w:rPr>
                <w:rFonts w:ascii="Arial" w:cs="Arial" w:eastAsia="Arial" w:hAnsi="Arial"/>
                <w:sz w:val="14"/>
                <w:szCs w:val="14"/>
                <w:color w:val="231F20"/>
              </w:rPr>
              <w:t>47</w:t>
            </w:r>
          </w:p>
        </w:tc>
        <w:tc>
          <w:tcPr>
            <w:tcW w:w="0" w:type="dxa"/>
            <w:vAlign w:val="bottom"/>
          </w:tcPr>
          <w:p>
            <w:pPr>
              <w:spacing w:after="0"/>
              <w:rPr>
                <w:sz w:val="1"/>
                <w:szCs w:val="1"/>
                <w:color w:val="auto"/>
              </w:rPr>
            </w:pPr>
          </w:p>
        </w:tc>
      </w:tr>
      <w:tr>
        <w:trPr>
          <w:trHeight w:val="133"/>
        </w:trPr>
        <w:tc>
          <w:tcPr>
            <w:tcW w:w="200" w:type="dxa"/>
            <w:vAlign w:val="bottom"/>
          </w:tcPr>
          <w:p>
            <w:pPr>
              <w:spacing w:after="0"/>
              <w:rPr>
                <w:sz w:val="11"/>
                <w:szCs w:val="11"/>
                <w:color w:val="auto"/>
              </w:rPr>
            </w:pPr>
          </w:p>
        </w:tc>
        <w:tc>
          <w:tcPr>
            <w:tcW w:w="2660" w:type="dxa"/>
            <w:vAlign w:val="bottom"/>
            <w:tcBorders>
              <w:top w:val="single" w:sz="8" w:color="231F20"/>
            </w:tcBorders>
            <w:gridSpan w:val="38"/>
          </w:tcPr>
          <w:p>
            <w:pPr>
              <w:spacing w:after="0" w:line="133" w:lineRule="exact"/>
              <w:rPr>
                <w:rFonts w:ascii="Arial" w:cs="Arial" w:eastAsia="Arial" w:hAnsi="Arial"/>
                <w:sz w:val="14"/>
                <w:szCs w:val="14"/>
                <w:color w:val="231F20"/>
              </w:rPr>
            </w:pPr>
            <w:hyperlink w:anchor="page50">
              <w:r>
                <w:rPr>
                  <w:rFonts w:ascii="Arial" w:cs="Arial" w:eastAsia="Arial" w:hAnsi="Arial"/>
                  <w:sz w:val="14"/>
                  <w:szCs w:val="14"/>
                  <w:color w:val="231F20"/>
                </w:rPr>
                <w:t>Independent Consultant</w:t>
              </w:r>
            </w:hyperlink>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gridSpan w:val="2"/>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gridSpan w:val="2"/>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gridSpan w:val="3"/>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gridSpan w:val="2"/>
          </w:tcPr>
          <w:p>
            <w:pPr>
              <w:spacing w:after="0"/>
              <w:rPr>
                <w:sz w:val="11"/>
                <w:szCs w:val="11"/>
                <w:color w:val="auto"/>
              </w:rPr>
            </w:pPr>
          </w:p>
        </w:tc>
        <w:tc>
          <w:tcPr>
            <w:tcW w:w="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0" w:type="dxa"/>
            <w:vAlign w:val="bottom"/>
          </w:tcPr>
          <w:p>
            <w:pPr>
              <w:spacing w:after="0"/>
              <w:rPr>
                <w:sz w:val="11"/>
                <w:szCs w:val="11"/>
                <w:color w:val="auto"/>
              </w:rPr>
            </w:pPr>
          </w:p>
        </w:tc>
        <w:tc>
          <w:tcPr>
            <w:tcW w:w="1460" w:type="dxa"/>
            <w:vAlign w:val="bottom"/>
            <w:tcBorders>
              <w:top w:val="single" w:sz="8" w:color="231F20"/>
            </w:tcBorders>
            <w:gridSpan w:val="12"/>
          </w:tcPr>
          <w:p>
            <w:pPr>
              <w:spacing w:after="0" w:line="133" w:lineRule="exact"/>
              <w:rPr>
                <w:rFonts w:ascii="Arial" w:cs="Arial" w:eastAsia="Arial" w:hAnsi="Arial"/>
                <w:sz w:val="14"/>
                <w:szCs w:val="14"/>
                <w:color w:val="231F20"/>
                <w:w w:val="94"/>
              </w:rPr>
            </w:pPr>
            <w:hyperlink w:anchor="page51">
              <w:r>
                <w:rPr>
                  <w:rFonts w:ascii="Arial" w:cs="Arial" w:eastAsia="Arial" w:hAnsi="Arial"/>
                  <w:sz w:val="14"/>
                  <w:szCs w:val="14"/>
                  <w:color w:val="231F20"/>
                  <w:w w:val="94"/>
                </w:rPr>
                <w:t>Our 2020 Benchmarking</w:t>
              </w:r>
            </w:hyperlink>
          </w:p>
        </w:tc>
        <w:tc>
          <w:tcPr>
            <w:tcW w:w="2180" w:type="dxa"/>
            <w:vAlign w:val="bottom"/>
            <w:gridSpan w:val="45"/>
          </w:tcPr>
          <w:p>
            <w:pPr>
              <w:ind w:left="60"/>
              <w:spacing w:after="0" w:line="133" w:lineRule="exact"/>
              <w:rPr>
                <w:rFonts w:ascii="Arial" w:cs="Arial" w:eastAsia="Arial" w:hAnsi="Arial"/>
                <w:sz w:val="14"/>
                <w:szCs w:val="14"/>
                <w:color w:val="231F20"/>
              </w:rPr>
            </w:pPr>
            <w:hyperlink w:anchor="page51">
              <w:r>
                <w:rPr>
                  <w:rFonts w:ascii="Arial" w:cs="Arial" w:eastAsia="Arial" w:hAnsi="Arial"/>
                  <w:sz w:val="14"/>
                  <w:szCs w:val="14"/>
                  <w:color w:val="231F20"/>
                </w:rPr>
                <w:t>for Competitive Pay</w:t>
              </w:r>
            </w:hyperlink>
          </w:p>
        </w:tc>
        <w:tc>
          <w:tcPr>
            <w:tcW w:w="420" w:type="dxa"/>
            <w:vAlign w:val="bottom"/>
          </w:tcPr>
          <w:p>
            <w:pPr>
              <w:jc w:val="right"/>
              <w:spacing w:after="0" w:line="133" w:lineRule="exact"/>
              <w:rPr>
                <w:sz w:val="20"/>
                <w:szCs w:val="20"/>
                <w:color w:val="auto"/>
              </w:rPr>
            </w:pPr>
            <w:r>
              <w:rPr>
                <w:rFonts w:ascii="Arial" w:cs="Arial" w:eastAsia="Arial" w:hAnsi="Arial"/>
                <w:sz w:val="14"/>
                <w:szCs w:val="14"/>
                <w:color w:val="231F20"/>
              </w:rPr>
              <w:t>48</w:t>
            </w:r>
          </w:p>
        </w:tc>
        <w:tc>
          <w:tcPr>
            <w:tcW w:w="0" w:type="dxa"/>
            <w:vAlign w:val="bottom"/>
          </w:tcPr>
          <w:p>
            <w:pPr>
              <w:spacing w:after="0"/>
              <w:rPr>
                <w:sz w:val="1"/>
                <w:szCs w:val="1"/>
                <w:color w:val="auto"/>
              </w:rPr>
            </w:pPr>
          </w:p>
        </w:tc>
      </w:tr>
      <w:tr>
        <w:trPr>
          <w:trHeight w:val="133"/>
        </w:trPr>
        <w:tc>
          <w:tcPr>
            <w:tcW w:w="200" w:type="dxa"/>
            <w:vAlign w:val="bottom"/>
          </w:tcPr>
          <w:p>
            <w:pPr>
              <w:spacing w:after="0"/>
              <w:rPr>
                <w:sz w:val="11"/>
                <w:szCs w:val="11"/>
                <w:color w:val="auto"/>
              </w:rPr>
            </w:pPr>
          </w:p>
        </w:tc>
        <w:tc>
          <w:tcPr>
            <w:tcW w:w="2700" w:type="dxa"/>
            <w:vAlign w:val="bottom"/>
            <w:tcBorders>
              <w:top w:val="single" w:sz="8" w:color="231F20"/>
            </w:tcBorders>
            <w:gridSpan w:val="39"/>
          </w:tcPr>
          <w:p>
            <w:pPr>
              <w:spacing w:after="0" w:line="133" w:lineRule="exact"/>
              <w:rPr>
                <w:rFonts w:ascii="Arial" w:cs="Arial" w:eastAsia="Arial" w:hAnsi="Arial"/>
                <w:sz w:val="14"/>
                <w:szCs w:val="14"/>
                <w:color w:val="231F20"/>
              </w:rPr>
            </w:pPr>
            <w:hyperlink w:anchor="page51">
              <w:r>
                <w:rPr>
                  <w:rFonts w:ascii="Arial" w:cs="Arial" w:eastAsia="Arial" w:hAnsi="Arial"/>
                  <w:sz w:val="14"/>
                  <w:szCs w:val="14"/>
                  <w:color w:val="231F20"/>
                </w:rPr>
                <w:t>Our 2020 Benchmarking Peer Group</w:t>
              </w:r>
            </w:hyperlink>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gridSpan w:val="2"/>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gridSpan w:val="2"/>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gridSpan w:val="3"/>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gridSpan w:val="2"/>
          </w:tcPr>
          <w:p>
            <w:pPr>
              <w:spacing w:after="0"/>
              <w:rPr>
                <w:sz w:val="11"/>
                <w:szCs w:val="11"/>
                <w:color w:val="auto"/>
              </w:rPr>
            </w:pPr>
          </w:p>
        </w:tc>
        <w:tc>
          <w:tcPr>
            <w:tcW w:w="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20" w:type="dxa"/>
            <w:vAlign w:val="bottom"/>
          </w:tcPr>
          <w:p>
            <w:pPr>
              <w:jc w:val="right"/>
              <w:spacing w:after="0" w:line="133" w:lineRule="exact"/>
              <w:rPr>
                <w:sz w:val="20"/>
                <w:szCs w:val="20"/>
                <w:color w:val="auto"/>
              </w:rPr>
            </w:pPr>
            <w:r>
              <w:rPr>
                <w:rFonts w:ascii="Arial" w:cs="Arial" w:eastAsia="Arial" w:hAnsi="Arial"/>
                <w:sz w:val="14"/>
                <w:szCs w:val="14"/>
                <w:color w:val="231F20"/>
              </w:rPr>
              <w:t>48</w:t>
            </w:r>
          </w:p>
        </w:tc>
        <w:tc>
          <w:tcPr>
            <w:tcW w:w="0" w:type="dxa"/>
            <w:vAlign w:val="bottom"/>
          </w:tcPr>
          <w:p>
            <w:pPr>
              <w:spacing w:after="0"/>
              <w:rPr>
                <w:sz w:val="1"/>
                <w:szCs w:val="1"/>
                <w:color w:val="auto"/>
              </w:rPr>
            </w:pPr>
          </w:p>
        </w:tc>
      </w:tr>
      <w:tr>
        <w:trPr>
          <w:trHeight w:val="133"/>
        </w:trPr>
        <w:tc>
          <w:tcPr>
            <w:tcW w:w="200" w:type="dxa"/>
            <w:vAlign w:val="bottom"/>
          </w:tcPr>
          <w:p>
            <w:pPr>
              <w:spacing w:after="0"/>
              <w:rPr>
                <w:sz w:val="11"/>
                <w:szCs w:val="11"/>
                <w:color w:val="auto"/>
              </w:rPr>
            </w:pPr>
          </w:p>
        </w:tc>
        <w:tc>
          <w:tcPr>
            <w:tcW w:w="2220" w:type="dxa"/>
            <w:vAlign w:val="bottom"/>
            <w:tcBorders>
              <w:top w:val="single" w:sz="8" w:color="231F20"/>
            </w:tcBorders>
            <w:gridSpan w:val="26"/>
          </w:tcPr>
          <w:p>
            <w:pPr>
              <w:spacing w:after="0" w:line="133" w:lineRule="exact"/>
              <w:rPr>
                <w:rFonts w:ascii="Arial" w:cs="Arial" w:eastAsia="Arial" w:hAnsi="Arial"/>
                <w:sz w:val="14"/>
                <w:szCs w:val="14"/>
                <w:color w:val="231F20"/>
                <w:w w:val="94"/>
              </w:rPr>
            </w:pPr>
            <w:hyperlink w:anchor="page52">
              <w:r>
                <w:rPr>
                  <w:rFonts w:ascii="Arial" w:cs="Arial" w:eastAsia="Arial" w:hAnsi="Arial"/>
                  <w:sz w:val="14"/>
                  <w:szCs w:val="14"/>
                  <w:color w:val="231F20"/>
                  <w:w w:val="94"/>
                </w:rPr>
                <w:t>Shareholder Advisory Vote Impact on</w:t>
              </w:r>
            </w:hyperlink>
          </w:p>
        </w:tc>
        <w:tc>
          <w:tcPr>
            <w:tcW w:w="4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340" w:type="dxa"/>
            <w:vAlign w:val="bottom"/>
            <w:gridSpan w:val="27"/>
          </w:tcPr>
          <w:p>
            <w:pPr>
              <w:jc w:val="center"/>
              <w:ind w:right="480"/>
              <w:spacing w:after="0" w:line="133" w:lineRule="exact"/>
              <w:rPr>
                <w:rFonts w:ascii="Arial" w:cs="Arial" w:eastAsia="Arial" w:hAnsi="Arial"/>
                <w:sz w:val="14"/>
                <w:szCs w:val="14"/>
                <w:color w:val="231F20"/>
                <w:w w:val="95"/>
              </w:rPr>
            </w:pPr>
            <w:hyperlink w:anchor="page52">
              <w:r>
                <w:rPr>
                  <w:rFonts w:ascii="Arial" w:cs="Arial" w:eastAsia="Arial" w:hAnsi="Arial"/>
                  <w:sz w:val="14"/>
                  <w:szCs w:val="14"/>
                  <w:color w:val="231F20"/>
                  <w:w w:val="95"/>
                </w:rPr>
                <w:t>Compensation</w:t>
              </w:r>
            </w:hyperlink>
          </w:p>
        </w:tc>
        <w:tc>
          <w:tcPr>
            <w:tcW w:w="420" w:type="dxa"/>
            <w:vAlign w:val="bottom"/>
            <w:vMerge w:val="restart"/>
          </w:tcPr>
          <w:p>
            <w:pPr>
              <w:jc w:val="right"/>
              <w:spacing w:after="0"/>
              <w:rPr>
                <w:sz w:val="20"/>
                <w:szCs w:val="20"/>
                <w:color w:val="auto"/>
              </w:rPr>
            </w:pPr>
            <w:r>
              <w:rPr>
                <w:rFonts w:ascii="Arial" w:cs="Arial" w:eastAsia="Arial" w:hAnsi="Arial"/>
                <w:sz w:val="14"/>
                <w:szCs w:val="14"/>
                <w:color w:val="231F20"/>
              </w:rPr>
              <w:t>49</w:t>
            </w:r>
          </w:p>
        </w:tc>
        <w:tc>
          <w:tcPr>
            <w:tcW w:w="0" w:type="dxa"/>
            <w:vAlign w:val="bottom"/>
          </w:tcPr>
          <w:p>
            <w:pPr>
              <w:spacing w:after="0"/>
              <w:rPr>
                <w:sz w:val="1"/>
                <w:szCs w:val="1"/>
                <w:color w:val="auto"/>
              </w:rPr>
            </w:pPr>
          </w:p>
        </w:tc>
      </w:tr>
      <w:tr>
        <w:trPr>
          <w:trHeight w:val="133"/>
        </w:trPr>
        <w:tc>
          <w:tcPr>
            <w:tcW w:w="200" w:type="dxa"/>
            <w:vAlign w:val="bottom"/>
          </w:tcPr>
          <w:p>
            <w:pPr>
              <w:spacing w:after="0"/>
              <w:rPr>
                <w:sz w:val="11"/>
                <w:szCs w:val="11"/>
                <w:color w:val="auto"/>
              </w:rPr>
            </w:pPr>
          </w:p>
        </w:tc>
        <w:tc>
          <w:tcPr>
            <w:tcW w:w="2260" w:type="dxa"/>
            <w:vAlign w:val="bottom"/>
            <w:tcBorders>
              <w:top w:val="single" w:sz="8" w:color="231F20"/>
            </w:tcBorders>
            <w:gridSpan w:val="28"/>
          </w:tcPr>
          <w:p>
            <w:pPr>
              <w:spacing w:after="0" w:line="133" w:lineRule="exact"/>
              <w:rPr>
                <w:rFonts w:ascii="Arial" w:cs="Arial" w:eastAsia="Arial" w:hAnsi="Arial"/>
                <w:sz w:val="14"/>
                <w:szCs w:val="14"/>
                <w:color w:val="231F20"/>
              </w:rPr>
            </w:pPr>
            <w:hyperlink w:anchor="page52">
              <w:r>
                <w:rPr>
                  <w:rFonts w:ascii="Arial" w:cs="Arial" w:eastAsia="Arial" w:hAnsi="Arial"/>
                  <w:sz w:val="14"/>
                  <w:szCs w:val="14"/>
                  <w:color w:val="231F20"/>
                </w:rPr>
                <w:t>Committee Actions</w:t>
              </w:r>
            </w:hyperlink>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40" w:type="dxa"/>
            <w:vAlign w:val="bottom"/>
            <w:tcBorders>
              <w:top w:val="single" w:sz="8" w:color="231F20"/>
            </w:tcBorders>
            <w:gridSpan w:val="7"/>
          </w:tcPr>
          <w:p>
            <w:pPr>
              <w:spacing w:after="0"/>
              <w:rPr>
                <w:sz w:val="11"/>
                <w:szCs w:val="11"/>
                <w:color w:val="auto"/>
              </w:rPr>
            </w:pPr>
          </w:p>
        </w:tc>
        <w:tc>
          <w:tcPr>
            <w:tcW w:w="160" w:type="dxa"/>
            <w:vAlign w:val="bottom"/>
            <w:tcBorders>
              <w:top w:val="single" w:sz="8" w:color="231F20"/>
            </w:tcBorders>
            <w:gridSpan w:val="3"/>
          </w:tcPr>
          <w:p>
            <w:pPr>
              <w:spacing w:after="0"/>
              <w:rPr>
                <w:sz w:val="11"/>
                <w:szCs w:val="11"/>
                <w:color w:val="auto"/>
              </w:rPr>
            </w:pPr>
          </w:p>
        </w:tc>
        <w:tc>
          <w:tcPr>
            <w:tcW w:w="20" w:type="dxa"/>
            <w:vAlign w:val="bottom"/>
            <w:tcBorders>
              <w:top w:val="single" w:sz="8" w:color="231F20"/>
            </w:tcBorders>
          </w:tcPr>
          <w:p>
            <w:pPr>
              <w:spacing w:after="0"/>
              <w:rPr>
                <w:sz w:val="11"/>
                <w:szCs w:val="11"/>
                <w:color w:val="auto"/>
              </w:rPr>
            </w:pPr>
          </w:p>
        </w:tc>
        <w:tc>
          <w:tcPr>
            <w:tcW w:w="120" w:type="dxa"/>
            <w:vAlign w:val="bottom"/>
            <w:tcBorders>
              <w:top w:val="single" w:sz="8" w:color="231F20"/>
            </w:tcBorders>
            <w:gridSpan w:val="2"/>
          </w:tcPr>
          <w:p>
            <w:pPr>
              <w:spacing w:after="0"/>
              <w:rPr>
                <w:sz w:val="11"/>
                <w:szCs w:val="11"/>
                <w:color w:val="auto"/>
              </w:rPr>
            </w:pPr>
          </w:p>
        </w:tc>
        <w:tc>
          <w:tcPr>
            <w:tcW w:w="40" w:type="dxa"/>
            <w:vAlign w:val="bottom"/>
            <w:tcBorders>
              <w:top w:val="single" w:sz="8" w:color="231F20"/>
            </w:tcBorders>
          </w:tcPr>
          <w:p>
            <w:pPr>
              <w:spacing w:after="0"/>
              <w:rPr>
                <w:sz w:val="11"/>
                <w:szCs w:val="11"/>
                <w:color w:val="auto"/>
              </w:rPr>
            </w:pPr>
          </w:p>
        </w:tc>
        <w:tc>
          <w:tcPr>
            <w:tcW w:w="60" w:type="dxa"/>
            <w:vAlign w:val="bottom"/>
            <w:tcBorders>
              <w:top w:val="single" w:sz="8" w:color="231F20"/>
            </w:tcBorders>
            <w:gridSpan w:val="2"/>
          </w:tcPr>
          <w:p>
            <w:pPr>
              <w:spacing w:after="0"/>
              <w:rPr>
                <w:sz w:val="11"/>
                <w:szCs w:val="11"/>
                <w:color w:val="auto"/>
              </w:rPr>
            </w:pPr>
          </w:p>
        </w:tc>
        <w:tc>
          <w:tcPr>
            <w:tcW w:w="40" w:type="dxa"/>
            <w:vAlign w:val="bottom"/>
            <w:tcBorders>
              <w:top w:val="single" w:sz="8" w:color="231F20"/>
            </w:tcBorders>
          </w:tcPr>
          <w:p>
            <w:pPr>
              <w:spacing w:after="0"/>
              <w:rPr>
                <w:sz w:val="11"/>
                <w:szCs w:val="11"/>
                <w:color w:val="auto"/>
              </w:rPr>
            </w:pPr>
          </w:p>
        </w:tc>
        <w:tc>
          <w:tcPr>
            <w:tcW w:w="80" w:type="dxa"/>
            <w:vAlign w:val="bottom"/>
            <w:tcBorders>
              <w:top w:val="single" w:sz="8" w:color="231F20"/>
            </w:tcBorders>
            <w:gridSpan w:val="3"/>
          </w:tcPr>
          <w:p>
            <w:pPr>
              <w:spacing w:after="0"/>
              <w:rPr>
                <w:sz w:val="11"/>
                <w:szCs w:val="11"/>
                <w:color w:val="auto"/>
              </w:rPr>
            </w:pPr>
          </w:p>
        </w:tc>
        <w:tc>
          <w:tcPr>
            <w:tcW w:w="20" w:type="dxa"/>
            <w:vAlign w:val="bottom"/>
            <w:tcBorders>
              <w:top w:val="single" w:sz="8" w:color="231F20"/>
            </w:tcBorders>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gridSpan w:val="2"/>
          </w:tcPr>
          <w:p>
            <w:pPr>
              <w:spacing w:after="0"/>
              <w:rPr>
                <w:sz w:val="11"/>
                <w:szCs w:val="11"/>
                <w:color w:val="auto"/>
              </w:rPr>
            </w:pPr>
          </w:p>
        </w:tc>
        <w:tc>
          <w:tcPr>
            <w:tcW w:w="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280" w:type="dxa"/>
            <w:vAlign w:val="bottom"/>
            <w:shd w:val="clear" w:color="auto" w:fill="231F20"/>
          </w:tcPr>
          <w:p>
            <w:pPr>
              <w:spacing w:after="0" w:line="20" w:lineRule="exact"/>
              <w:rPr>
                <w:sz w:val="1"/>
                <w:szCs w:val="1"/>
                <w:color w:val="auto"/>
              </w:rPr>
            </w:pPr>
          </w:p>
        </w:tc>
        <w:tc>
          <w:tcPr>
            <w:tcW w:w="120" w:type="dxa"/>
            <w:vAlign w:val="bottom"/>
            <w:shd w:val="clear" w:color="auto" w:fill="231F20"/>
          </w:tcPr>
          <w:p>
            <w:pPr>
              <w:spacing w:after="0" w:line="20" w:lineRule="exact"/>
              <w:rPr>
                <w:sz w:val="1"/>
                <w:szCs w:val="1"/>
                <w:color w:val="auto"/>
              </w:rPr>
            </w:pPr>
          </w:p>
        </w:tc>
        <w:tc>
          <w:tcPr>
            <w:tcW w:w="40" w:type="dxa"/>
            <w:vAlign w:val="bottom"/>
            <w:shd w:val="clear" w:color="auto" w:fill="231F20"/>
          </w:tcPr>
          <w:p>
            <w:pPr>
              <w:spacing w:after="0" w:line="20" w:lineRule="exact"/>
              <w:rPr>
                <w:sz w:val="1"/>
                <w:szCs w:val="1"/>
                <w:color w:val="auto"/>
              </w:rPr>
            </w:pPr>
          </w:p>
        </w:tc>
        <w:tc>
          <w:tcPr>
            <w:tcW w:w="140" w:type="dxa"/>
            <w:vAlign w:val="bottom"/>
            <w:tcBorders>
              <w:right w:val="single" w:sz="8" w:color="231F20"/>
            </w:tcBorders>
            <w:shd w:val="clear" w:color="auto" w:fill="231F20"/>
          </w:tcPr>
          <w:p>
            <w:pPr>
              <w:spacing w:after="0" w:line="20" w:lineRule="exact"/>
              <w:rPr>
                <w:sz w:val="1"/>
                <w:szCs w:val="1"/>
                <w:color w:val="auto"/>
              </w:rPr>
            </w:pPr>
          </w:p>
        </w:tc>
        <w:tc>
          <w:tcPr>
            <w:tcW w:w="160" w:type="dxa"/>
            <w:vAlign w:val="bottom"/>
            <w:gridSpan w:val="2"/>
            <w:shd w:val="clear" w:color="auto" w:fill="231F20"/>
          </w:tcPr>
          <w:p>
            <w:pPr>
              <w:spacing w:after="0" w:line="20" w:lineRule="exact"/>
              <w:rPr>
                <w:sz w:val="1"/>
                <w:szCs w:val="1"/>
                <w:color w:val="auto"/>
              </w:rPr>
            </w:pPr>
          </w:p>
        </w:tc>
        <w:tc>
          <w:tcPr>
            <w:tcW w:w="140" w:type="dxa"/>
            <w:vAlign w:val="bottom"/>
            <w:shd w:val="clear" w:color="auto" w:fill="231F20"/>
          </w:tcPr>
          <w:p>
            <w:pPr>
              <w:spacing w:after="0" w:line="20" w:lineRule="exact"/>
              <w:rPr>
                <w:sz w:val="1"/>
                <w:szCs w:val="1"/>
                <w:color w:val="auto"/>
              </w:rPr>
            </w:pPr>
          </w:p>
        </w:tc>
        <w:tc>
          <w:tcPr>
            <w:tcW w:w="140" w:type="dxa"/>
            <w:vAlign w:val="bottom"/>
            <w:shd w:val="clear" w:color="auto" w:fill="231F20"/>
          </w:tcPr>
          <w:p>
            <w:pPr>
              <w:spacing w:after="0" w:line="20" w:lineRule="exact"/>
              <w:rPr>
                <w:sz w:val="1"/>
                <w:szCs w:val="1"/>
                <w:color w:val="auto"/>
              </w:rPr>
            </w:pPr>
          </w:p>
        </w:tc>
        <w:tc>
          <w:tcPr>
            <w:tcW w:w="120" w:type="dxa"/>
            <w:vAlign w:val="bottom"/>
            <w:gridSpan w:val="2"/>
            <w:shd w:val="clear" w:color="auto" w:fill="231F2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5"/>
          </w:tcPr>
          <w:p>
            <w:pPr>
              <w:spacing w:after="0" w:line="20" w:lineRule="exact"/>
              <w:rPr>
                <w:sz w:val="1"/>
                <w:szCs w:val="1"/>
                <w:color w:val="auto"/>
              </w:rPr>
            </w:pPr>
          </w:p>
        </w:tc>
        <w:tc>
          <w:tcPr>
            <w:tcW w:w="360" w:type="dxa"/>
            <w:vAlign w:val="bottom"/>
            <w:gridSpan w:val="8"/>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vMerge w:val="restart"/>
          </w:tcPr>
          <w:p>
            <w:pPr>
              <w:jc w:val="right"/>
              <w:spacing w:after="0" w:line="153" w:lineRule="exact"/>
              <w:rPr>
                <w:sz w:val="20"/>
                <w:szCs w:val="20"/>
                <w:color w:val="auto"/>
              </w:rPr>
            </w:pPr>
            <w:r>
              <w:rPr>
                <w:rFonts w:ascii="Arial" w:cs="Arial" w:eastAsia="Arial" w:hAnsi="Arial"/>
                <w:sz w:val="14"/>
                <w:szCs w:val="14"/>
                <w:b w:val="1"/>
                <w:bCs w:val="1"/>
                <w:color w:val="455986"/>
              </w:rPr>
              <w:t>50</w:t>
            </w:r>
          </w:p>
        </w:tc>
        <w:tc>
          <w:tcPr>
            <w:tcW w:w="0" w:type="dxa"/>
            <w:vAlign w:val="bottom"/>
          </w:tcPr>
          <w:p>
            <w:pPr>
              <w:spacing w:after="0" w:line="20" w:lineRule="exact"/>
              <w:rPr>
                <w:sz w:val="1"/>
                <w:szCs w:val="1"/>
                <w:color w:val="auto"/>
              </w:rPr>
            </w:pPr>
          </w:p>
        </w:tc>
      </w:tr>
      <w:tr>
        <w:trPr>
          <w:trHeight w:val="133"/>
        </w:trPr>
        <w:tc>
          <w:tcPr>
            <w:tcW w:w="3840" w:type="dxa"/>
            <w:vAlign w:val="bottom"/>
            <w:gridSpan w:val="58"/>
          </w:tcPr>
          <w:p>
            <w:pPr>
              <w:spacing w:after="0" w:line="133" w:lineRule="exact"/>
              <w:rPr>
                <w:rFonts w:ascii="Arial" w:cs="Arial" w:eastAsia="Arial" w:hAnsi="Arial"/>
                <w:sz w:val="14"/>
                <w:szCs w:val="14"/>
                <w:b w:val="1"/>
                <w:bCs w:val="1"/>
                <w:color w:val="4395D4"/>
              </w:rPr>
            </w:pPr>
            <w:hyperlink w:anchor="page53">
              <w:r>
                <w:rPr>
                  <w:rFonts w:ascii="Arial" w:cs="Arial" w:eastAsia="Arial" w:hAnsi="Arial"/>
                  <w:sz w:val="14"/>
                  <w:szCs w:val="14"/>
                  <w:b w:val="1"/>
                  <w:bCs w:val="1"/>
                  <w:color w:val="4395D4"/>
                </w:rPr>
                <w:t xml:space="preserve">Section 3. </w:t>
              </w:r>
              <w:r>
                <w:rPr>
                  <w:rFonts w:ascii="Arial" w:cs="Arial" w:eastAsia="Arial" w:hAnsi="Arial"/>
                  <w:sz w:val="14"/>
                  <w:szCs w:val="14"/>
                  <w:b w:val="1"/>
                  <w:bCs w:val="1"/>
                  <w:color w:val="455986"/>
                </w:rPr>
                <w:t>2020 Executive Compensation Program</w:t>
              </w:r>
            </w:hyperlink>
          </w:p>
        </w:tc>
        <w:tc>
          <w:tcPr>
            <w:tcW w:w="4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0" w:type="dxa"/>
            <w:vAlign w:val="bottom"/>
            <w:tcBorders>
              <w:top w:val="single" w:sz="8" w:color="4395D4"/>
            </w:tcBorders>
          </w:tcPr>
          <w:p>
            <w:pPr>
              <w:spacing w:after="0"/>
              <w:rPr>
                <w:sz w:val="11"/>
                <w:szCs w:val="11"/>
                <w:color w:val="auto"/>
              </w:rPr>
            </w:pPr>
          </w:p>
        </w:tc>
        <w:tc>
          <w:tcPr>
            <w:tcW w:w="580" w:type="dxa"/>
            <w:vAlign w:val="bottom"/>
            <w:tcBorders>
              <w:top w:val="single" w:sz="8" w:color="4395D4"/>
              <w:bottom w:val="single" w:sz="8" w:color="231F20"/>
            </w:tcBorders>
            <w:gridSpan w:val="4"/>
          </w:tcPr>
          <w:p>
            <w:pPr>
              <w:spacing w:after="0" w:line="133" w:lineRule="exact"/>
              <w:rPr>
                <w:rFonts w:ascii="Arial" w:cs="Arial" w:eastAsia="Arial" w:hAnsi="Arial"/>
                <w:sz w:val="14"/>
                <w:szCs w:val="14"/>
                <w:color w:val="231F20"/>
                <w:w w:val="92"/>
              </w:rPr>
            </w:pPr>
            <w:hyperlink w:anchor="page53">
              <w:r>
                <w:rPr>
                  <w:rFonts w:ascii="Arial" w:cs="Arial" w:eastAsia="Arial" w:hAnsi="Arial"/>
                  <w:sz w:val="14"/>
                  <w:szCs w:val="14"/>
                  <w:color w:val="231F20"/>
                  <w:w w:val="92"/>
                </w:rPr>
                <w:t>Overview</w:t>
              </w:r>
            </w:hyperlink>
          </w:p>
        </w:tc>
        <w:tc>
          <w:tcPr>
            <w:tcW w:w="160" w:type="dxa"/>
            <w:vAlign w:val="bottom"/>
            <w:tcBorders>
              <w:top w:val="single" w:sz="8" w:color="455986"/>
            </w:tcBorders>
            <w:gridSpan w:val="2"/>
          </w:tcPr>
          <w:p>
            <w:pPr>
              <w:spacing w:after="0"/>
              <w:rPr>
                <w:sz w:val="11"/>
                <w:szCs w:val="11"/>
                <w:color w:val="auto"/>
              </w:rPr>
            </w:pPr>
          </w:p>
        </w:tc>
        <w:tc>
          <w:tcPr>
            <w:tcW w:w="140" w:type="dxa"/>
            <w:vAlign w:val="bottom"/>
            <w:tcBorders>
              <w:top w:val="single" w:sz="8" w:color="455986"/>
            </w:tcBorders>
          </w:tcPr>
          <w:p>
            <w:pPr>
              <w:spacing w:after="0"/>
              <w:rPr>
                <w:sz w:val="11"/>
                <w:szCs w:val="11"/>
                <w:color w:val="auto"/>
              </w:rPr>
            </w:pPr>
          </w:p>
        </w:tc>
        <w:tc>
          <w:tcPr>
            <w:tcW w:w="140" w:type="dxa"/>
            <w:vAlign w:val="bottom"/>
            <w:tcBorders>
              <w:top w:val="single" w:sz="8" w:color="455986"/>
            </w:tcBorders>
          </w:tcPr>
          <w:p>
            <w:pPr>
              <w:spacing w:after="0"/>
              <w:rPr>
                <w:sz w:val="11"/>
                <w:szCs w:val="11"/>
                <w:color w:val="auto"/>
              </w:rPr>
            </w:pPr>
          </w:p>
        </w:tc>
        <w:tc>
          <w:tcPr>
            <w:tcW w:w="360" w:type="dxa"/>
            <w:vAlign w:val="bottom"/>
            <w:tcBorders>
              <w:top w:val="single" w:sz="8" w:color="455986"/>
            </w:tcBorders>
            <w:gridSpan w:val="3"/>
          </w:tcPr>
          <w:p>
            <w:pPr>
              <w:spacing w:after="0"/>
              <w:rPr>
                <w:sz w:val="11"/>
                <w:szCs w:val="11"/>
                <w:color w:val="auto"/>
              </w:rPr>
            </w:pPr>
          </w:p>
        </w:tc>
        <w:tc>
          <w:tcPr>
            <w:tcW w:w="340" w:type="dxa"/>
            <w:vAlign w:val="bottom"/>
            <w:tcBorders>
              <w:top w:val="single" w:sz="8" w:color="455986"/>
            </w:tcBorders>
            <w:gridSpan w:val="4"/>
          </w:tcPr>
          <w:p>
            <w:pPr>
              <w:spacing w:after="0"/>
              <w:rPr>
                <w:sz w:val="11"/>
                <w:szCs w:val="11"/>
                <w:color w:val="auto"/>
              </w:rPr>
            </w:pPr>
          </w:p>
        </w:tc>
        <w:tc>
          <w:tcPr>
            <w:tcW w:w="20" w:type="dxa"/>
            <w:vAlign w:val="bottom"/>
            <w:tcBorders>
              <w:top w:val="single" w:sz="8" w:color="455986"/>
            </w:tcBorders>
          </w:tcPr>
          <w:p>
            <w:pPr>
              <w:spacing w:after="0"/>
              <w:rPr>
                <w:sz w:val="11"/>
                <w:szCs w:val="11"/>
                <w:color w:val="auto"/>
              </w:rPr>
            </w:pPr>
          </w:p>
        </w:tc>
        <w:tc>
          <w:tcPr>
            <w:tcW w:w="20" w:type="dxa"/>
            <w:vAlign w:val="bottom"/>
            <w:tcBorders>
              <w:top w:val="single" w:sz="8" w:color="455986"/>
            </w:tcBorders>
          </w:tcPr>
          <w:p>
            <w:pPr>
              <w:spacing w:after="0"/>
              <w:rPr>
                <w:sz w:val="11"/>
                <w:szCs w:val="11"/>
                <w:color w:val="auto"/>
              </w:rPr>
            </w:pPr>
          </w:p>
        </w:tc>
        <w:tc>
          <w:tcPr>
            <w:tcW w:w="20" w:type="dxa"/>
            <w:vAlign w:val="bottom"/>
            <w:tcBorders>
              <w:top w:val="single" w:sz="8" w:color="455986"/>
            </w:tcBorders>
          </w:tcPr>
          <w:p>
            <w:pPr>
              <w:spacing w:after="0"/>
              <w:rPr>
                <w:sz w:val="11"/>
                <w:szCs w:val="11"/>
                <w:color w:val="auto"/>
              </w:rPr>
            </w:pPr>
          </w:p>
        </w:tc>
        <w:tc>
          <w:tcPr>
            <w:tcW w:w="80" w:type="dxa"/>
            <w:vAlign w:val="bottom"/>
            <w:tcBorders>
              <w:top w:val="single" w:sz="8" w:color="455986"/>
            </w:tcBorders>
          </w:tcPr>
          <w:p>
            <w:pPr>
              <w:spacing w:after="0"/>
              <w:rPr>
                <w:sz w:val="11"/>
                <w:szCs w:val="11"/>
                <w:color w:val="auto"/>
              </w:rPr>
            </w:pPr>
          </w:p>
        </w:tc>
        <w:tc>
          <w:tcPr>
            <w:tcW w:w="20" w:type="dxa"/>
            <w:vAlign w:val="bottom"/>
            <w:tcBorders>
              <w:top w:val="single" w:sz="8" w:color="455986"/>
            </w:tcBorders>
          </w:tcPr>
          <w:p>
            <w:pPr>
              <w:spacing w:after="0"/>
              <w:rPr>
                <w:sz w:val="11"/>
                <w:szCs w:val="11"/>
                <w:color w:val="auto"/>
              </w:rPr>
            </w:pPr>
          </w:p>
        </w:tc>
        <w:tc>
          <w:tcPr>
            <w:tcW w:w="220" w:type="dxa"/>
            <w:vAlign w:val="bottom"/>
            <w:tcBorders>
              <w:top w:val="single" w:sz="8" w:color="455986"/>
            </w:tcBorders>
            <w:gridSpan w:val="2"/>
          </w:tcPr>
          <w:p>
            <w:pPr>
              <w:spacing w:after="0"/>
              <w:rPr>
                <w:sz w:val="11"/>
                <w:szCs w:val="11"/>
                <w:color w:val="auto"/>
              </w:rPr>
            </w:pPr>
          </w:p>
        </w:tc>
        <w:tc>
          <w:tcPr>
            <w:tcW w:w="40" w:type="dxa"/>
            <w:vAlign w:val="bottom"/>
            <w:tcBorders>
              <w:top w:val="single" w:sz="8" w:color="455986"/>
            </w:tcBorders>
          </w:tcPr>
          <w:p>
            <w:pPr>
              <w:spacing w:after="0"/>
              <w:rPr>
                <w:sz w:val="11"/>
                <w:szCs w:val="11"/>
                <w:color w:val="auto"/>
              </w:rPr>
            </w:pPr>
          </w:p>
        </w:tc>
        <w:tc>
          <w:tcPr>
            <w:tcW w:w="20" w:type="dxa"/>
            <w:vAlign w:val="bottom"/>
            <w:tcBorders>
              <w:top w:val="single" w:sz="8" w:color="455986"/>
            </w:tcBorders>
          </w:tcPr>
          <w:p>
            <w:pPr>
              <w:spacing w:after="0"/>
              <w:rPr>
                <w:sz w:val="11"/>
                <w:szCs w:val="11"/>
                <w:color w:val="auto"/>
              </w:rPr>
            </w:pPr>
          </w:p>
        </w:tc>
        <w:tc>
          <w:tcPr>
            <w:tcW w:w="120" w:type="dxa"/>
            <w:vAlign w:val="bottom"/>
            <w:tcBorders>
              <w:top w:val="single" w:sz="8" w:color="455986"/>
            </w:tcBorders>
            <w:gridSpan w:val="5"/>
          </w:tcPr>
          <w:p>
            <w:pPr>
              <w:spacing w:after="0"/>
              <w:rPr>
                <w:sz w:val="11"/>
                <w:szCs w:val="11"/>
                <w:color w:val="auto"/>
              </w:rPr>
            </w:pPr>
          </w:p>
        </w:tc>
        <w:tc>
          <w:tcPr>
            <w:tcW w:w="360" w:type="dxa"/>
            <w:vAlign w:val="bottom"/>
            <w:tcBorders>
              <w:top w:val="single" w:sz="8" w:color="455986"/>
            </w:tcBorders>
            <w:gridSpan w:val="8"/>
          </w:tcPr>
          <w:p>
            <w:pPr>
              <w:spacing w:after="0"/>
              <w:rPr>
                <w:sz w:val="11"/>
                <w:szCs w:val="11"/>
                <w:color w:val="auto"/>
              </w:rPr>
            </w:pPr>
          </w:p>
        </w:tc>
        <w:tc>
          <w:tcPr>
            <w:tcW w:w="160" w:type="dxa"/>
            <w:vAlign w:val="bottom"/>
            <w:tcBorders>
              <w:top w:val="single" w:sz="8" w:color="455986"/>
            </w:tcBorders>
            <w:gridSpan w:val="3"/>
          </w:tcPr>
          <w:p>
            <w:pPr>
              <w:spacing w:after="0"/>
              <w:rPr>
                <w:sz w:val="11"/>
                <w:szCs w:val="11"/>
                <w:color w:val="auto"/>
              </w:rPr>
            </w:pPr>
          </w:p>
        </w:tc>
        <w:tc>
          <w:tcPr>
            <w:tcW w:w="20" w:type="dxa"/>
            <w:vAlign w:val="bottom"/>
            <w:tcBorders>
              <w:top w:val="single" w:sz="8" w:color="455986"/>
            </w:tcBorders>
          </w:tcPr>
          <w:p>
            <w:pPr>
              <w:spacing w:after="0"/>
              <w:rPr>
                <w:sz w:val="11"/>
                <w:szCs w:val="11"/>
                <w:color w:val="auto"/>
              </w:rPr>
            </w:pPr>
          </w:p>
        </w:tc>
        <w:tc>
          <w:tcPr>
            <w:tcW w:w="120" w:type="dxa"/>
            <w:vAlign w:val="bottom"/>
            <w:tcBorders>
              <w:top w:val="single" w:sz="8" w:color="455986"/>
            </w:tcBorders>
            <w:gridSpan w:val="2"/>
          </w:tcPr>
          <w:p>
            <w:pPr>
              <w:spacing w:after="0"/>
              <w:rPr>
                <w:sz w:val="11"/>
                <w:szCs w:val="11"/>
                <w:color w:val="auto"/>
              </w:rPr>
            </w:pPr>
          </w:p>
        </w:tc>
        <w:tc>
          <w:tcPr>
            <w:tcW w:w="40" w:type="dxa"/>
            <w:vAlign w:val="bottom"/>
            <w:tcBorders>
              <w:top w:val="single" w:sz="8" w:color="455986"/>
            </w:tcBorders>
          </w:tcPr>
          <w:p>
            <w:pPr>
              <w:spacing w:after="0"/>
              <w:rPr>
                <w:sz w:val="11"/>
                <w:szCs w:val="11"/>
                <w:color w:val="auto"/>
              </w:rPr>
            </w:pPr>
          </w:p>
        </w:tc>
        <w:tc>
          <w:tcPr>
            <w:tcW w:w="60" w:type="dxa"/>
            <w:vAlign w:val="bottom"/>
            <w:tcBorders>
              <w:top w:val="single" w:sz="8" w:color="455986"/>
            </w:tcBorders>
            <w:gridSpan w:val="2"/>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gridSpan w:val="3"/>
          </w:tcPr>
          <w:p>
            <w:pPr>
              <w:spacing w:after="0"/>
              <w:rPr>
                <w:sz w:val="11"/>
                <w:szCs w:val="11"/>
                <w:color w:val="auto"/>
              </w:rPr>
            </w:pPr>
          </w:p>
        </w:tc>
        <w:tc>
          <w:tcPr>
            <w:tcW w:w="40" w:type="dxa"/>
            <w:vAlign w:val="bottom"/>
            <w:gridSpan w:val="2"/>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gridSpan w:val="2"/>
          </w:tcPr>
          <w:p>
            <w:pPr>
              <w:spacing w:after="0"/>
              <w:rPr>
                <w:sz w:val="11"/>
                <w:szCs w:val="11"/>
                <w:color w:val="auto"/>
              </w:rPr>
            </w:pPr>
          </w:p>
        </w:tc>
        <w:tc>
          <w:tcPr>
            <w:tcW w:w="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20" w:type="dxa"/>
            <w:vAlign w:val="bottom"/>
          </w:tcPr>
          <w:p>
            <w:pPr>
              <w:jc w:val="right"/>
              <w:spacing w:after="0" w:line="133" w:lineRule="exact"/>
              <w:rPr>
                <w:sz w:val="20"/>
                <w:szCs w:val="20"/>
                <w:color w:val="auto"/>
              </w:rPr>
            </w:pPr>
            <w:r>
              <w:rPr>
                <w:rFonts w:ascii="Arial" w:cs="Arial" w:eastAsia="Arial" w:hAnsi="Arial"/>
                <w:sz w:val="14"/>
                <w:szCs w:val="14"/>
                <w:color w:val="231F20"/>
              </w:rPr>
              <w:t>50</w:t>
            </w:r>
          </w:p>
        </w:tc>
        <w:tc>
          <w:tcPr>
            <w:tcW w:w="0" w:type="dxa"/>
            <w:vAlign w:val="bottom"/>
          </w:tcPr>
          <w:p>
            <w:pPr>
              <w:spacing w:after="0"/>
              <w:rPr>
                <w:sz w:val="1"/>
                <w:szCs w:val="1"/>
                <w:color w:val="auto"/>
              </w:rPr>
            </w:pPr>
          </w:p>
        </w:tc>
      </w:tr>
      <w:tr>
        <w:trPr>
          <w:trHeight w:val="133"/>
        </w:trPr>
        <w:tc>
          <w:tcPr>
            <w:tcW w:w="200" w:type="dxa"/>
            <w:vAlign w:val="bottom"/>
          </w:tcPr>
          <w:p>
            <w:pPr>
              <w:spacing w:after="0"/>
              <w:rPr>
                <w:sz w:val="11"/>
                <w:szCs w:val="11"/>
                <w:color w:val="auto"/>
              </w:rPr>
            </w:pPr>
          </w:p>
        </w:tc>
        <w:tc>
          <w:tcPr>
            <w:tcW w:w="3640" w:type="dxa"/>
            <w:vAlign w:val="bottom"/>
            <w:gridSpan w:val="57"/>
          </w:tcPr>
          <w:p>
            <w:pPr>
              <w:spacing w:after="0" w:line="133" w:lineRule="exact"/>
              <w:rPr>
                <w:rFonts w:ascii="Arial" w:cs="Arial" w:eastAsia="Arial" w:hAnsi="Arial"/>
                <w:sz w:val="14"/>
                <w:szCs w:val="14"/>
                <w:color w:val="231F20"/>
              </w:rPr>
            </w:pPr>
            <w:hyperlink w:anchor="page54">
              <w:r>
                <w:rPr>
                  <w:rFonts w:ascii="Arial" w:cs="Arial" w:eastAsia="Arial" w:hAnsi="Arial"/>
                  <w:sz w:val="14"/>
                  <w:szCs w:val="14"/>
                  <w:color w:val="231F20"/>
                </w:rPr>
                <w:t>Base Salary</w:t>
              </w:r>
            </w:hyperlink>
          </w:p>
        </w:tc>
        <w:tc>
          <w:tcPr>
            <w:tcW w:w="420" w:type="dxa"/>
            <w:vAlign w:val="bottom"/>
          </w:tcPr>
          <w:p>
            <w:pPr>
              <w:jc w:val="right"/>
              <w:spacing w:after="0" w:line="133" w:lineRule="exact"/>
              <w:rPr>
                <w:sz w:val="20"/>
                <w:szCs w:val="20"/>
                <w:color w:val="auto"/>
              </w:rPr>
            </w:pPr>
            <w:r>
              <w:rPr>
                <w:rFonts w:ascii="Arial" w:cs="Arial" w:eastAsia="Arial" w:hAnsi="Arial"/>
                <w:sz w:val="14"/>
                <w:szCs w:val="14"/>
                <w:color w:val="231F20"/>
              </w:rPr>
              <w:t>51</w:t>
            </w:r>
          </w:p>
        </w:tc>
        <w:tc>
          <w:tcPr>
            <w:tcW w:w="0" w:type="dxa"/>
            <w:vAlign w:val="bottom"/>
          </w:tcPr>
          <w:p>
            <w:pPr>
              <w:spacing w:after="0"/>
              <w:rPr>
                <w:sz w:val="1"/>
                <w:szCs w:val="1"/>
                <w:color w:val="auto"/>
              </w:rPr>
            </w:pPr>
          </w:p>
        </w:tc>
      </w:tr>
      <w:tr>
        <w:trPr>
          <w:trHeight w:val="133"/>
        </w:trPr>
        <w:tc>
          <w:tcPr>
            <w:tcW w:w="200" w:type="dxa"/>
            <w:vAlign w:val="bottom"/>
          </w:tcPr>
          <w:p>
            <w:pPr>
              <w:spacing w:after="0"/>
              <w:rPr>
                <w:sz w:val="11"/>
                <w:szCs w:val="11"/>
                <w:color w:val="auto"/>
              </w:rPr>
            </w:pPr>
          </w:p>
        </w:tc>
        <w:tc>
          <w:tcPr>
            <w:tcW w:w="740" w:type="dxa"/>
            <w:vAlign w:val="bottom"/>
            <w:tcBorders>
              <w:top w:val="single" w:sz="8" w:color="231F20"/>
            </w:tcBorders>
            <w:gridSpan w:val="6"/>
          </w:tcPr>
          <w:p>
            <w:pPr>
              <w:spacing w:after="0" w:line="133" w:lineRule="exact"/>
              <w:rPr>
                <w:rFonts w:ascii="Arial" w:cs="Arial" w:eastAsia="Arial" w:hAnsi="Arial"/>
                <w:sz w:val="14"/>
                <w:szCs w:val="14"/>
                <w:color w:val="231F20"/>
              </w:rPr>
            </w:pPr>
            <w:hyperlink w:anchor="page55">
              <w:r>
                <w:rPr>
                  <w:rFonts w:ascii="Arial" w:cs="Arial" w:eastAsia="Arial" w:hAnsi="Arial"/>
                  <w:sz w:val="14"/>
                  <w:szCs w:val="14"/>
                  <w:color w:val="231F20"/>
                </w:rPr>
                <w:t>Short-Term</w:t>
              </w:r>
            </w:hyperlink>
          </w:p>
        </w:tc>
        <w:tc>
          <w:tcPr>
            <w:tcW w:w="2900" w:type="dxa"/>
            <w:vAlign w:val="bottom"/>
            <w:gridSpan w:val="51"/>
          </w:tcPr>
          <w:p>
            <w:pPr>
              <w:spacing w:after="0" w:line="133" w:lineRule="exact"/>
              <w:rPr>
                <w:rFonts w:ascii="Arial" w:cs="Arial" w:eastAsia="Arial" w:hAnsi="Arial"/>
                <w:sz w:val="14"/>
                <w:szCs w:val="14"/>
                <w:color w:val="231F20"/>
              </w:rPr>
            </w:pPr>
            <w:hyperlink w:anchor="page55">
              <w:r>
                <w:rPr>
                  <w:rFonts w:ascii="Arial" w:cs="Arial" w:eastAsia="Arial" w:hAnsi="Arial"/>
                  <w:sz w:val="14"/>
                  <w:szCs w:val="14"/>
                  <w:color w:val="231F20"/>
                </w:rPr>
                <w:t>Incentive Awards</w:t>
              </w:r>
            </w:hyperlink>
          </w:p>
        </w:tc>
        <w:tc>
          <w:tcPr>
            <w:tcW w:w="420" w:type="dxa"/>
            <w:vAlign w:val="bottom"/>
          </w:tcPr>
          <w:p>
            <w:pPr>
              <w:jc w:val="right"/>
              <w:spacing w:after="0" w:line="133" w:lineRule="exact"/>
              <w:rPr>
                <w:sz w:val="20"/>
                <w:szCs w:val="20"/>
                <w:color w:val="auto"/>
              </w:rPr>
            </w:pPr>
            <w:r>
              <w:rPr>
                <w:rFonts w:ascii="Arial" w:cs="Arial" w:eastAsia="Arial" w:hAnsi="Arial"/>
                <w:sz w:val="14"/>
                <w:szCs w:val="14"/>
                <w:color w:val="231F20"/>
              </w:rPr>
              <w:t>52</w:t>
            </w:r>
          </w:p>
        </w:tc>
        <w:tc>
          <w:tcPr>
            <w:tcW w:w="0" w:type="dxa"/>
            <w:vAlign w:val="bottom"/>
          </w:tcPr>
          <w:p>
            <w:pPr>
              <w:spacing w:after="0"/>
              <w:rPr>
                <w:sz w:val="1"/>
                <w:szCs w:val="1"/>
                <w:color w:val="auto"/>
              </w:rPr>
            </w:pPr>
          </w:p>
        </w:tc>
      </w:tr>
      <w:tr>
        <w:trPr>
          <w:trHeight w:val="133"/>
        </w:trPr>
        <w:tc>
          <w:tcPr>
            <w:tcW w:w="200" w:type="dxa"/>
            <w:vAlign w:val="bottom"/>
          </w:tcPr>
          <w:p>
            <w:pPr>
              <w:spacing w:after="0"/>
              <w:rPr>
                <w:sz w:val="11"/>
                <w:szCs w:val="11"/>
                <w:color w:val="auto"/>
              </w:rPr>
            </w:pPr>
          </w:p>
        </w:tc>
        <w:tc>
          <w:tcPr>
            <w:tcW w:w="1760" w:type="dxa"/>
            <w:vAlign w:val="bottom"/>
            <w:tcBorders>
              <w:top w:val="single" w:sz="8" w:color="231F20"/>
            </w:tcBorders>
            <w:gridSpan w:val="17"/>
          </w:tcPr>
          <w:p>
            <w:pPr>
              <w:spacing w:after="0" w:line="133" w:lineRule="exact"/>
              <w:rPr>
                <w:rFonts w:ascii="Arial" w:cs="Arial" w:eastAsia="Arial" w:hAnsi="Arial"/>
                <w:sz w:val="14"/>
                <w:szCs w:val="14"/>
                <w:color w:val="231F20"/>
              </w:rPr>
            </w:pPr>
            <w:hyperlink w:anchor="page58">
              <w:r>
                <w:rPr>
                  <w:rFonts w:ascii="Arial" w:cs="Arial" w:eastAsia="Arial" w:hAnsi="Arial"/>
                  <w:sz w:val="14"/>
                  <w:szCs w:val="14"/>
                  <w:color w:val="231F20"/>
                </w:rPr>
                <w:t>Long-Term Equity Incentive</w:t>
              </w:r>
            </w:hyperlink>
          </w:p>
        </w:tc>
        <w:tc>
          <w:tcPr>
            <w:tcW w:w="1880" w:type="dxa"/>
            <w:vAlign w:val="bottom"/>
            <w:gridSpan w:val="40"/>
          </w:tcPr>
          <w:p>
            <w:pPr>
              <w:spacing w:after="0" w:line="133" w:lineRule="exact"/>
              <w:rPr>
                <w:rFonts w:ascii="Arial" w:cs="Arial" w:eastAsia="Arial" w:hAnsi="Arial"/>
                <w:sz w:val="14"/>
                <w:szCs w:val="14"/>
                <w:color w:val="231F20"/>
              </w:rPr>
            </w:pPr>
            <w:hyperlink w:anchor="page58">
              <w:r>
                <w:rPr>
                  <w:rFonts w:ascii="Arial" w:cs="Arial" w:eastAsia="Arial" w:hAnsi="Arial"/>
                  <w:sz w:val="14"/>
                  <w:szCs w:val="14"/>
                  <w:color w:val="231F20"/>
                </w:rPr>
                <w:t>Awards</w:t>
              </w:r>
            </w:hyperlink>
          </w:p>
        </w:tc>
        <w:tc>
          <w:tcPr>
            <w:tcW w:w="420" w:type="dxa"/>
            <w:vAlign w:val="bottom"/>
          </w:tcPr>
          <w:p>
            <w:pPr>
              <w:jc w:val="right"/>
              <w:spacing w:after="0" w:line="133" w:lineRule="exact"/>
              <w:rPr>
                <w:sz w:val="20"/>
                <w:szCs w:val="20"/>
                <w:color w:val="auto"/>
              </w:rPr>
            </w:pPr>
            <w:r>
              <w:rPr>
                <w:rFonts w:ascii="Arial" w:cs="Arial" w:eastAsia="Arial" w:hAnsi="Arial"/>
                <w:sz w:val="14"/>
                <w:szCs w:val="14"/>
                <w:color w:val="231F20"/>
              </w:rPr>
              <w:t>55</w:t>
            </w:r>
          </w:p>
        </w:tc>
        <w:tc>
          <w:tcPr>
            <w:tcW w:w="0" w:type="dxa"/>
            <w:vAlign w:val="bottom"/>
          </w:tcPr>
          <w:p>
            <w:pPr>
              <w:spacing w:after="0"/>
              <w:rPr>
                <w:sz w:val="1"/>
                <w:szCs w:val="1"/>
                <w:color w:val="auto"/>
              </w:rPr>
            </w:pPr>
          </w:p>
        </w:tc>
      </w:tr>
      <w:tr>
        <w:trPr>
          <w:trHeight w:val="133"/>
        </w:trPr>
        <w:tc>
          <w:tcPr>
            <w:tcW w:w="200" w:type="dxa"/>
            <w:vAlign w:val="bottom"/>
          </w:tcPr>
          <w:p>
            <w:pPr>
              <w:spacing w:after="0"/>
              <w:rPr>
                <w:sz w:val="11"/>
                <w:szCs w:val="11"/>
                <w:color w:val="auto"/>
              </w:rPr>
            </w:pPr>
          </w:p>
        </w:tc>
        <w:tc>
          <w:tcPr>
            <w:tcW w:w="880" w:type="dxa"/>
            <w:vAlign w:val="bottom"/>
            <w:tcBorders>
              <w:top w:val="single" w:sz="8" w:color="231F20"/>
              <w:bottom w:val="single" w:sz="8" w:color="231F20"/>
            </w:tcBorders>
            <w:gridSpan w:val="7"/>
          </w:tcPr>
          <w:p>
            <w:pPr>
              <w:spacing w:after="0" w:line="133" w:lineRule="exact"/>
              <w:rPr>
                <w:rFonts w:ascii="Arial" w:cs="Arial" w:eastAsia="Arial" w:hAnsi="Arial"/>
                <w:sz w:val="14"/>
                <w:szCs w:val="14"/>
                <w:color w:val="231F20"/>
                <w:w w:val="96"/>
              </w:rPr>
            </w:pPr>
            <w:hyperlink w:anchor="page62">
              <w:r>
                <w:rPr>
                  <w:rFonts w:ascii="Arial" w:cs="Arial" w:eastAsia="Arial" w:hAnsi="Arial"/>
                  <w:sz w:val="14"/>
                  <w:szCs w:val="14"/>
                  <w:color w:val="231F20"/>
                  <w:w w:val="96"/>
                </w:rPr>
                <w:t>Other Benefits</w:t>
              </w:r>
            </w:hyperlink>
          </w:p>
        </w:tc>
        <w:tc>
          <w:tcPr>
            <w:tcW w:w="1260" w:type="dxa"/>
            <w:vAlign w:val="bottom"/>
            <w:tcBorders>
              <w:top w:val="single" w:sz="8" w:color="231F20"/>
            </w:tcBorders>
            <w:gridSpan w:val="16"/>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gridSpan w:val="5"/>
          </w:tcPr>
          <w:p>
            <w:pPr>
              <w:spacing w:after="0"/>
              <w:rPr>
                <w:sz w:val="11"/>
                <w:szCs w:val="11"/>
                <w:color w:val="auto"/>
              </w:rPr>
            </w:pPr>
          </w:p>
        </w:tc>
        <w:tc>
          <w:tcPr>
            <w:tcW w:w="360" w:type="dxa"/>
            <w:vAlign w:val="bottom"/>
            <w:gridSpan w:val="8"/>
          </w:tcPr>
          <w:p>
            <w:pPr>
              <w:spacing w:after="0"/>
              <w:rPr>
                <w:sz w:val="11"/>
                <w:szCs w:val="11"/>
                <w:color w:val="auto"/>
              </w:rPr>
            </w:pPr>
          </w:p>
        </w:tc>
        <w:tc>
          <w:tcPr>
            <w:tcW w:w="160" w:type="dxa"/>
            <w:vAlign w:val="bottom"/>
            <w:gridSpan w:val="3"/>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gridSpan w:val="2"/>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gridSpan w:val="3"/>
          </w:tcPr>
          <w:p>
            <w:pPr>
              <w:spacing w:after="0"/>
              <w:rPr>
                <w:sz w:val="11"/>
                <w:szCs w:val="11"/>
                <w:color w:val="auto"/>
              </w:rPr>
            </w:pPr>
          </w:p>
        </w:tc>
        <w:tc>
          <w:tcPr>
            <w:tcW w:w="80" w:type="dxa"/>
            <w:vAlign w:val="bottom"/>
            <w:gridSpan w:val="3"/>
          </w:tcPr>
          <w:p>
            <w:pPr>
              <w:spacing w:after="0"/>
              <w:rPr>
                <w:sz w:val="11"/>
                <w:szCs w:val="11"/>
                <w:color w:val="auto"/>
              </w:rPr>
            </w:pPr>
          </w:p>
        </w:tc>
        <w:tc>
          <w:tcPr>
            <w:tcW w:w="40" w:type="dxa"/>
            <w:vAlign w:val="bottom"/>
            <w:gridSpan w:val="2"/>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gridSpan w:val="2"/>
          </w:tcPr>
          <w:p>
            <w:pPr>
              <w:spacing w:after="0"/>
              <w:rPr>
                <w:sz w:val="11"/>
                <w:szCs w:val="11"/>
                <w:color w:val="auto"/>
              </w:rPr>
            </w:pPr>
          </w:p>
        </w:tc>
        <w:tc>
          <w:tcPr>
            <w:tcW w:w="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20" w:type="dxa"/>
            <w:vAlign w:val="bottom"/>
          </w:tcPr>
          <w:p>
            <w:pPr>
              <w:jc w:val="right"/>
              <w:spacing w:after="0" w:line="133" w:lineRule="exact"/>
              <w:rPr>
                <w:sz w:val="20"/>
                <w:szCs w:val="20"/>
                <w:color w:val="auto"/>
              </w:rPr>
            </w:pPr>
            <w:r>
              <w:rPr>
                <w:rFonts w:ascii="Arial" w:cs="Arial" w:eastAsia="Arial" w:hAnsi="Arial"/>
                <w:sz w:val="14"/>
                <w:szCs w:val="14"/>
                <w:color w:val="231F20"/>
              </w:rPr>
              <w:t>59</w:t>
            </w:r>
          </w:p>
        </w:tc>
        <w:tc>
          <w:tcPr>
            <w:tcW w:w="0" w:type="dxa"/>
            <w:vAlign w:val="bottom"/>
          </w:tcPr>
          <w:p>
            <w:pPr>
              <w:spacing w:after="0"/>
              <w:rPr>
                <w:sz w:val="1"/>
                <w:szCs w:val="1"/>
                <w:color w:val="auto"/>
              </w:rPr>
            </w:pPr>
          </w:p>
        </w:tc>
      </w:tr>
      <w:tr>
        <w:trPr>
          <w:trHeight w:val="133"/>
        </w:trPr>
        <w:tc>
          <w:tcPr>
            <w:tcW w:w="1080" w:type="dxa"/>
            <w:vAlign w:val="bottom"/>
            <w:gridSpan w:val="8"/>
          </w:tcPr>
          <w:p>
            <w:pPr>
              <w:spacing w:after="0" w:line="133" w:lineRule="exact"/>
              <w:rPr>
                <w:rFonts w:ascii="Arial" w:cs="Arial" w:eastAsia="Arial" w:hAnsi="Arial"/>
                <w:sz w:val="14"/>
                <w:szCs w:val="14"/>
                <w:b w:val="1"/>
                <w:bCs w:val="1"/>
                <w:color w:val="4395D4"/>
              </w:rPr>
            </w:pPr>
            <w:hyperlink w:anchor="page64">
              <w:r>
                <w:rPr>
                  <w:rFonts w:ascii="Arial" w:cs="Arial" w:eastAsia="Arial" w:hAnsi="Arial"/>
                  <w:sz w:val="14"/>
                  <w:szCs w:val="14"/>
                  <w:b w:val="1"/>
                  <w:bCs w:val="1"/>
                  <w:color w:val="4395D4"/>
                </w:rPr>
                <w:t xml:space="preserve">Section 4. </w:t>
              </w:r>
              <w:r>
                <w:rPr>
                  <w:rFonts w:ascii="Arial" w:cs="Arial" w:eastAsia="Arial" w:hAnsi="Arial"/>
                  <w:sz w:val="14"/>
                  <w:szCs w:val="14"/>
                  <w:b w:val="1"/>
                  <w:bCs w:val="1"/>
                  <w:color w:val="455986"/>
                </w:rPr>
                <w:t>2020</w:t>
              </w:r>
            </w:hyperlink>
          </w:p>
        </w:tc>
        <w:tc>
          <w:tcPr>
            <w:tcW w:w="2760" w:type="dxa"/>
            <w:vAlign w:val="bottom"/>
            <w:gridSpan w:val="50"/>
          </w:tcPr>
          <w:p>
            <w:pPr>
              <w:spacing w:after="0" w:line="133" w:lineRule="exact"/>
              <w:rPr>
                <w:rFonts w:ascii="Arial" w:cs="Arial" w:eastAsia="Arial" w:hAnsi="Arial"/>
                <w:sz w:val="14"/>
                <w:szCs w:val="14"/>
                <w:b w:val="1"/>
                <w:bCs w:val="1"/>
                <w:color w:val="455986"/>
              </w:rPr>
            </w:pPr>
            <w:hyperlink w:anchor="page64">
              <w:r>
                <w:rPr>
                  <w:rFonts w:ascii="Arial" w:cs="Arial" w:eastAsia="Arial" w:hAnsi="Arial"/>
                  <w:sz w:val="14"/>
                  <w:szCs w:val="14"/>
                  <w:b w:val="1"/>
                  <w:bCs w:val="1"/>
                  <w:color w:val="455986"/>
                </w:rPr>
                <w:t>NEO Compensation and Performance</w:t>
              </w:r>
            </w:hyperlink>
          </w:p>
        </w:tc>
        <w:tc>
          <w:tcPr>
            <w:tcW w:w="420" w:type="dxa"/>
            <w:vAlign w:val="bottom"/>
            <w:vMerge w:val="restart"/>
          </w:tcPr>
          <w:p>
            <w:pPr>
              <w:jc w:val="right"/>
              <w:spacing w:after="0"/>
              <w:rPr>
                <w:sz w:val="20"/>
                <w:szCs w:val="20"/>
                <w:color w:val="auto"/>
              </w:rPr>
            </w:pPr>
            <w:r>
              <w:rPr>
                <w:rFonts w:ascii="Arial" w:cs="Arial" w:eastAsia="Arial" w:hAnsi="Arial"/>
                <w:sz w:val="14"/>
                <w:szCs w:val="14"/>
                <w:b w:val="1"/>
                <w:bCs w:val="1"/>
                <w:color w:val="455986"/>
              </w:rPr>
              <w:t>61</w:t>
            </w:r>
          </w:p>
        </w:tc>
        <w:tc>
          <w:tcPr>
            <w:tcW w:w="0" w:type="dxa"/>
            <w:vAlign w:val="bottom"/>
          </w:tcPr>
          <w:p>
            <w:pPr>
              <w:spacing w:after="0"/>
              <w:rPr>
                <w:sz w:val="1"/>
                <w:szCs w:val="1"/>
                <w:color w:val="auto"/>
              </w:rPr>
            </w:pPr>
          </w:p>
        </w:tc>
      </w:tr>
      <w:tr>
        <w:trPr>
          <w:trHeight w:val="133"/>
        </w:trPr>
        <w:tc>
          <w:tcPr>
            <w:tcW w:w="780" w:type="dxa"/>
            <w:vAlign w:val="bottom"/>
            <w:tcBorders>
              <w:top w:val="single" w:sz="8" w:color="4395D4"/>
              <w:bottom w:val="single" w:sz="8" w:color="455986"/>
            </w:tcBorders>
            <w:gridSpan w:val="5"/>
          </w:tcPr>
          <w:p>
            <w:pPr>
              <w:spacing w:after="0" w:line="133" w:lineRule="exact"/>
              <w:rPr>
                <w:rFonts w:ascii="Arial" w:cs="Arial" w:eastAsia="Arial" w:hAnsi="Arial"/>
                <w:sz w:val="14"/>
                <w:szCs w:val="14"/>
                <w:b w:val="1"/>
                <w:bCs w:val="1"/>
                <w:color w:val="455986"/>
                <w:w w:val="97"/>
              </w:rPr>
            </w:pPr>
            <w:hyperlink w:anchor="page64">
              <w:r>
                <w:rPr>
                  <w:rFonts w:ascii="Arial" w:cs="Arial" w:eastAsia="Arial" w:hAnsi="Arial"/>
                  <w:sz w:val="14"/>
                  <w:szCs w:val="14"/>
                  <w:b w:val="1"/>
                  <w:bCs w:val="1"/>
                  <w:color w:val="455986"/>
                  <w:w w:val="97"/>
                </w:rPr>
                <w:t>Summaries</w:t>
              </w:r>
            </w:hyperlink>
          </w:p>
        </w:tc>
        <w:tc>
          <w:tcPr>
            <w:tcW w:w="2660" w:type="dxa"/>
            <w:vAlign w:val="bottom"/>
            <w:tcBorders>
              <w:top w:val="single" w:sz="8" w:color="455986"/>
              <w:bottom w:val="single" w:sz="8" w:color="455986"/>
            </w:tcBorders>
            <w:gridSpan w:val="49"/>
            <w:vMerge w:val="restart"/>
          </w:tcPr>
          <w:p>
            <w:pPr>
              <w:jc w:val="center"/>
              <w:ind w:right="100"/>
              <w:spacing w:after="0"/>
              <w:rPr>
                <w:rFonts w:ascii="Arial" w:cs="Arial" w:eastAsia="Arial" w:hAnsi="Arial"/>
                <w:sz w:val="14"/>
                <w:szCs w:val="14"/>
                <w:b w:val="1"/>
                <w:bCs w:val="1"/>
                <w:color w:val="455986"/>
                <w:w w:val="92"/>
              </w:rPr>
            </w:pPr>
            <w:hyperlink w:anchor="page67">
              <w:r>
                <w:rPr>
                  <w:rFonts w:ascii="Arial" w:cs="Arial" w:eastAsia="Arial" w:hAnsi="Arial"/>
                  <w:sz w:val="14"/>
                  <w:szCs w:val="14"/>
                  <w:b w:val="1"/>
                  <w:bCs w:val="1"/>
                  <w:color w:val="455986"/>
                  <w:w w:val="92"/>
                </w:rPr>
                <w:t>Our 2021 Short- and Long-Term Incentive</w:t>
              </w:r>
            </w:hyperlink>
          </w:p>
        </w:tc>
        <w:tc>
          <w:tcPr>
            <w:tcW w:w="400" w:type="dxa"/>
            <w:vAlign w:val="bottom"/>
            <w:gridSpan w:val="4"/>
            <w:vMerge w:val="restart"/>
          </w:tcPr>
          <w:p>
            <w:pPr>
              <w:spacing w:after="0"/>
              <w:rPr>
                <w:sz w:val="11"/>
                <w:szCs w:val="11"/>
                <w:color w:val="auto"/>
              </w:rPr>
            </w:pPr>
          </w:p>
        </w:tc>
        <w:tc>
          <w:tcPr>
            <w:tcW w:w="4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780" w:type="dxa"/>
            <w:vAlign w:val="bottom"/>
            <w:gridSpan w:val="5"/>
          </w:tcPr>
          <w:p>
            <w:pPr>
              <w:spacing w:after="0" w:line="133" w:lineRule="exact"/>
              <w:rPr>
                <w:rFonts w:ascii="Arial" w:cs="Arial" w:eastAsia="Arial" w:hAnsi="Arial"/>
                <w:sz w:val="14"/>
                <w:szCs w:val="14"/>
                <w:b w:val="1"/>
                <w:bCs w:val="1"/>
                <w:color w:val="4395D4"/>
              </w:rPr>
            </w:pPr>
            <w:hyperlink w:anchor="page67">
              <w:r>
                <w:rPr>
                  <w:rFonts w:ascii="Arial" w:cs="Arial" w:eastAsia="Arial" w:hAnsi="Arial"/>
                  <w:sz w:val="14"/>
                  <w:szCs w:val="14"/>
                  <w:b w:val="1"/>
                  <w:bCs w:val="1"/>
                  <w:color w:val="4395D4"/>
                </w:rPr>
                <w:t>Section 5.</w:t>
              </w:r>
            </w:hyperlink>
          </w:p>
        </w:tc>
        <w:tc>
          <w:tcPr>
            <w:tcW w:w="2660" w:type="dxa"/>
            <w:vAlign w:val="bottom"/>
            <w:gridSpan w:val="49"/>
            <w:vMerge w:val="continue"/>
          </w:tcPr>
          <w:p>
            <w:pPr>
              <w:spacing w:after="0"/>
              <w:rPr>
                <w:sz w:val="11"/>
                <w:szCs w:val="11"/>
                <w:color w:val="auto"/>
              </w:rPr>
            </w:pPr>
          </w:p>
        </w:tc>
        <w:tc>
          <w:tcPr>
            <w:tcW w:w="400" w:type="dxa"/>
            <w:vAlign w:val="bottom"/>
            <w:gridSpan w:val="4"/>
            <w:vMerge w:val="continue"/>
          </w:tcPr>
          <w:p>
            <w:pPr>
              <w:spacing w:after="0"/>
              <w:rPr>
                <w:sz w:val="11"/>
                <w:szCs w:val="11"/>
                <w:color w:val="auto"/>
              </w:rPr>
            </w:pPr>
          </w:p>
        </w:tc>
        <w:tc>
          <w:tcPr>
            <w:tcW w:w="420" w:type="dxa"/>
            <w:vAlign w:val="bottom"/>
            <w:vMerge w:val="restart"/>
          </w:tcPr>
          <w:p>
            <w:pPr>
              <w:jc w:val="right"/>
              <w:spacing w:after="0"/>
              <w:rPr>
                <w:sz w:val="20"/>
                <w:szCs w:val="20"/>
                <w:color w:val="auto"/>
              </w:rPr>
            </w:pPr>
            <w:r>
              <w:rPr>
                <w:rFonts w:ascii="Arial" w:cs="Arial" w:eastAsia="Arial" w:hAnsi="Arial"/>
                <w:sz w:val="14"/>
                <w:szCs w:val="14"/>
                <w:b w:val="1"/>
                <w:bCs w:val="1"/>
                <w:color w:val="455986"/>
              </w:rPr>
              <w:t>64</w:t>
            </w:r>
          </w:p>
        </w:tc>
        <w:tc>
          <w:tcPr>
            <w:tcW w:w="0" w:type="dxa"/>
            <w:vAlign w:val="bottom"/>
          </w:tcPr>
          <w:p>
            <w:pPr>
              <w:spacing w:after="0"/>
              <w:rPr>
                <w:sz w:val="1"/>
                <w:szCs w:val="1"/>
                <w:color w:val="auto"/>
              </w:rPr>
            </w:pPr>
          </w:p>
        </w:tc>
      </w:tr>
      <w:tr>
        <w:trPr>
          <w:trHeight w:val="133"/>
        </w:trPr>
        <w:tc>
          <w:tcPr>
            <w:tcW w:w="780" w:type="dxa"/>
            <w:vAlign w:val="bottom"/>
            <w:tcBorders>
              <w:top w:val="single" w:sz="8" w:color="4395D4"/>
            </w:tcBorders>
            <w:gridSpan w:val="5"/>
          </w:tcPr>
          <w:p>
            <w:pPr>
              <w:spacing w:after="0" w:line="133" w:lineRule="exact"/>
              <w:rPr>
                <w:rFonts w:ascii="Arial" w:cs="Arial" w:eastAsia="Arial" w:hAnsi="Arial"/>
                <w:sz w:val="14"/>
                <w:szCs w:val="14"/>
                <w:b w:val="1"/>
                <w:bCs w:val="1"/>
                <w:color w:val="455986"/>
              </w:rPr>
            </w:pPr>
            <w:hyperlink w:anchor="page67">
              <w:r>
                <w:rPr>
                  <w:rFonts w:ascii="Arial" w:cs="Arial" w:eastAsia="Arial" w:hAnsi="Arial"/>
                  <w:sz w:val="14"/>
                  <w:szCs w:val="14"/>
                  <w:b w:val="1"/>
                  <w:bCs w:val="1"/>
                  <w:color w:val="455986"/>
                </w:rPr>
                <w:t>Programs</w:t>
              </w:r>
            </w:hyperlink>
          </w:p>
        </w:tc>
        <w:tc>
          <w:tcPr>
            <w:tcW w:w="440" w:type="dxa"/>
            <w:vAlign w:val="bottom"/>
            <w:tcBorders>
              <w:top w:val="single" w:sz="8" w:color="455986"/>
            </w:tcBorders>
            <w:gridSpan w:val="4"/>
          </w:tcPr>
          <w:p>
            <w:pPr>
              <w:spacing w:after="0"/>
              <w:rPr>
                <w:sz w:val="11"/>
                <w:szCs w:val="11"/>
                <w:color w:val="auto"/>
              </w:rPr>
            </w:pPr>
          </w:p>
        </w:tc>
        <w:tc>
          <w:tcPr>
            <w:tcW w:w="360" w:type="dxa"/>
            <w:vAlign w:val="bottom"/>
            <w:tcBorders>
              <w:top w:val="single" w:sz="8" w:color="455986"/>
            </w:tcBorders>
            <w:gridSpan w:val="3"/>
          </w:tcPr>
          <w:p>
            <w:pPr>
              <w:spacing w:after="0"/>
              <w:rPr>
                <w:sz w:val="11"/>
                <w:szCs w:val="11"/>
                <w:color w:val="auto"/>
              </w:rPr>
            </w:pPr>
          </w:p>
        </w:tc>
        <w:tc>
          <w:tcPr>
            <w:tcW w:w="340" w:type="dxa"/>
            <w:vAlign w:val="bottom"/>
            <w:tcBorders>
              <w:top w:val="single" w:sz="8" w:color="455986"/>
            </w:tcBorders>
            <w:gridSpan w:val="4"/>
          </w:tcPr>
          <w:p>
            <w:pPr>
              <w:spacing w:after="0"/>
              <w:rPr>
                <w:sz w:val="11"/>
                <w:szCs w:val="11"/>
                <w:color w:val="auto"/>
              </w:rPr>
            </w:pPr>
          </w:p>
        </w:tc>
        <w:tc>
          <w:tcPr>
            <w:tcW w:w="20" w:type="dxa"/>
            <w:vAlign w:val="bottom"/>
            <w:tcBorders>
              <w:top w:val="single" w:sz="8" w:color="455986"/>
            </w:tcBorders>
          </w:tcPr>
          <w:p>
            <w:pPr>
              <w:spacing w:after="0"/>
              <w:rPr>
                <w:sz w:val="11"/>
                <w:szCs w:val="11"/>
                <w:color w:val="auto"/>
              </w:rPr>
            </w:pPr>
          </w:p>
        </w:tc>
        <w:tc>
          <w:tcPr>
            <w:tcW w:w="40" w:type="dxa"/>
            <w:vAlign w:val="bottom"/>
            <w:tcBorders>
              <w:top w:val="single" w:sz="8" w:color="455986"/>
            </w:tcBorders>
            <w:gridSpan w:val="2"/>
          </w:tcPr>
          <w:p>
            <w:pPr>
              <w:spacing w:after="0"/>
              <w:rPr>
                <w:sz w:val="11"/>
                <w:szCs w:val="11"/>
                <w:color w:val="auto"/>
              </w:rPr>
            </w:pPr>
          </w:p>
        </w:tc>
        <w:tc>
          <w:tcPr>
            <w:tcW w:w="80" w:type="dxa"/>
            <w:vAlign w:val="bottom"/>
            <w:tcBorders>
              <w:top w:val="single" w:sz="8" w:color="455986"/>
            </w:tcBorders>
          </w:tcPr>
          <w:p>
            <w:pPr>
              <w:spacing w:after="0"/>
              <w:rPr>
                <w:sz w:val="11"/>
                <w:szCs w:val="11"/>
                <w:color w:val="auto"/>
              </w:rPr>
            </w:pPr>
          </w:p>
        </w:tc>
        <w:tc>
          <w:tcPr>
            <w:tcW w:w="20" w:type="dxa"/>
            <w:vAlign w:val="bottom"/>
            <w:tcBorders>
              <w:top w:val="single" w:sz="8" w:color="455986"/>
            </w:tcBorders>
          </w:tcPr>
          <w:p>
            <w:pPr>
              <w:spacing w:after="0"/>
              <w:rPr>
                <w:sz w:val="11"/>
                <w:szCs w:val="11"/>
                <w:color w:val="auto"/>
              </w:rPr>
            </w:pPr>
          </w:p>
        </w:tc>
        <w:tc>
          <w:tcPr>
            <w:tcW w:w="220" w:type="dxa"/>
            <w:vAlign w:val="bottom"/>
            <w:tcBorders>
              <w:top w:val="single" w:sz="8" w:color="455986"/>
            </w:tcBorders>
            <w:gridSpan w:val="2"/>
          </w:tcPr>
          <w:p>
            <w:pPr>
              <w:spacing w:after="0"/>
              <w:rPr>
                <w:sz w:val="11"/>
                <w:szCs w:val="11"/>
                <w:color w:val="auto"/>
              </w:rPr>
            </w:pPr>
          </w:p>
        </w:tc>
        <w:tc>
          <w:tcPr>
            <w:tcW w:w="60" w:type="dxa"/>
            <w:vAlign w:val="bottom"/>
            <w:tcBorders>
              <w:top w:val="single" w:sz="8" w:color="455986"/>
            </w:tcBorders>
            <w:gridSpan w:val="2"/>
          </w:tcPr>
          <w:p>
            <w:pPr>
              <w:spacing w:after="0"/>
              <w:rPr>
                <w:sz w:val="11"/>
                <w:szCs w:val="11"/>
                <w:color w:val="auto"/>
              </w:rPr>
            </w:pPr>
          </w:p>
        </w:tc>
        <w:tc>
          <w:tcPr>
            <w:tcW w:w="120" w:type="dxa"/>
            <w:vAlign w:val="bottom"/>
            <w:tcBorders>
              <w:top w:val="single" w:sz="8" w:color="455986"/>
            </w:tcBorders>
            <w:gridSpan w:val="5"/>
          </w:tcPr>
          <w:p>
            <w:pPr>
              <w:spacing w:after="0"/>
              <w:rPr>
                <w:sz w:val="11"/>
                <w:szCs w:val="11"/>
                <w:color w:val="auto"/>
              </w:rPr>
            </w:pPr>
          </w:p>
        </w:tc>
        <w:tc>
          <w:tcPr>
            <w:tcW w:w="360" w:type="dxa"/>
            <w:vAlign w:val="bottom"/>
            <w:tcBorders>
              <w:top w:val="single" w:sz="8" w:color="455986"/>
            </w:tcBorders>
            <w:gridSpan w:val="8"/>
          </w:tcPr>
          <w:p>
            <w:pPr>
              <w:spacing w:after="0"/>
              <w:rPr>
                <w:sz w:val="11"/>
                <w:szCs w:val="11"/>
                <w:color w:val="auto"/>
              </w:rPr>
            </w:pPr>
          </w:p>
        </w:tc>
        <w:tc>
          <w:tcPr>
            <w:tcW w:w="160" w:type="dxa"/>
            <w:vAlign w:val="bottom"/>
            <w:tcBorders>
              <w:top w:val="single" w:sz="8" w:color="455986"/>
            </w:tcBorders>
            <w:gridSpan w:val="3"/>
          </w:tcPr>
          <w:p>
            <w:pPr>
              <w:spacing w:after="0"/>
              <w:rPr>
                <w:sz w:val="11"/>
                <w:szCs w:val="11"/>
                <w:color w:val="auto"/>
              </w:rPr>
            </w:pPr>
          </w:p>
        </w:tc>
        <w:tc>
          <w:tcPr>
            <w:tcW w:w="20" w:type="dxa"/>
            <w:vAlign w:val="bottom"/>
            <w:tcBorders>
              <w:top w:val="single" w:sz="8" w:color="455986"/>
            </w:tcBorders>
          </w:tcPr>
          <w:p>
            <w:pPr>
              <w:spacing w:after="0"/>
              <w:rPr>
                <w:sz w:val="11"/>
                <w:szCs w:val="11"/>
                <w:color w:val="auto"/>
              </w:rPr>
            </w:pPr>
          </w:p>
        </w:tc>
        <w:tc>
          <w:tcPr>
            <w:tcW w:w="120" w:type="dxa"/>
            <w:vAlign w:val="bottom"/>
            <w:tcBorders>
              <w:top w:val="single" w:sz="8" w:color="455986"/>
            </w:tcBorders>
            <w:gridSpan w:val="2"/>
          </w:tcPr>
          <w:p>
            <w:pPr>
              <w:spacing w:after="0"/>
              <w:rPr>
                <w:sz w:val="11"/>
                <w:szCs w:val="11"/>
                <w:color w:val="auto"/>
              </w:rPr>
            </w:pPr>
          </w:p>
        </w:tc>
        <w:tc>
          <w:tcPr>
            <w:tcW w:w="40" w:type="dxa"/>
            <w:vAlign w:val="bottom"/>
            <w:tcBorders>
              <w:top w:val="single" w:sz="8" w:color="455986"/>
            </w:tcBorders>
          </w:tcPr>
          <w:p>
            <w:pPr>
              <w:spacing w:after="0"/>
              <w:rPr>
                <w:sz w:val="11"/>
                <w:szCs w:val="11"/>
                <w:color w:val="auto"/>
              </w:rPr>
            </w:pPr>
          </w:p>
        </w:tc>
        <w:tc>
          <w:tcPr>
            <w:tcW w:w="100" w:type="dxa"/>
            <w:vAlign w:val="bottom"/>
            <w:tcBorders>
              <w:top w:val="single" w:sz="8" w:color="455986"/>
            </w:tcBorders>
            <w:gridSpan w:val="3"/>
          </w:tcPr>
          <w:p>
            <w:pPr>
              <w:spacing w:after="0"/>
              <w:rPr>
                <w:sz w:val="11"/>
                <w:szCs w:val="11"/>
                <w:color w:val="auto"/>
              </w:rPr>
            </w:pPr>
          </w:p>
        </w:tc>
        <w:tc>
          <w:tcPr>
            <w:tcW w:w="80" w:type="dxa"/>
            <w:vAlign w:val="bottom"/>
            <w:tcBorders>
              <w:top w:val="single" w:sz="8" w:color="455986"/>
            </w:tcBorders>
            <w:gridSpan w:val="3"/>
          </w:tcPr>
          <w:p>
            <w:pPr>
              <w:spacing w:after="0"/>
              <w:rPr>
                <w:sz w:val="11"/>
                <w:szCs w:val="11"/>
                <w:color w:val="auto"/>
              </w:rPr>
            </w:pPr>
          </w:p>
        </w:tc>
        <w:tc>
          <w:tcPr>
            <w:tcW w:w="40" w:type="dxa"/>
            <w:vAlign w:val="bottom"/>
            <w:gridSpan w:val="2"/>
          </w:tcPr>
          <w:p>
            <w:pPr>
              <w:spacing w:after="0"/>
              <w:rPr>
                <w:sz w:val="11"/>
                <w:szCs w:val="11"/>
                <w:color w:val="auto"/>
              </w:rPr>
            </w:pPr>
          </w:p>
        </w:tc>
        <w:tc>
          <w:tcPr>
            <w:tcW w:w="120" w:type="dxa"/>
            <w:vAlign w:val="bottom"/>
            <w:gridSpan w:val="3"/>
          </w:tcPr>
          <w:p>
            <w:pPr>
              <w:spacing w:after="0"/>
              <w:rPr>
                <w:sz w:val="11"/>
                <w:szCs w:val="11"/>
                <w:color w:val="auto"/>
              </w:rPr>
            </w:pPr>
          </w:p>
        </w:tc>
        <w:tc>
          <w:tcPr>
            <w:tcW w:w="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640" w:type="dxa"/>
            <w:vAlign w:val="bottom"/>
            <w:tcBorders>
              <w:top w:val="single" w:sz="8" w:color="455986"/>
            </w:tcBorders>
            <w:gridSpan w:val="4"/>
          </w:tcPr>
          <w:p>
            <w:pPr>
              <w:spacing w:after="0" w:line="133" w:lineRule="exact"/>
              <w:rPr>
                <w:rFonts w:ascii="Arial" w:cs="Arial" w:eastAsia="Arial" w:hAnsi="Arial"/>
                <w:sz w:val="14"/>
                <w:szCs w:val="14"/>
                <w:b w:val="1"/>
                <w:bCs w:val="1"/>
                <w:color w:val="4395D4"/>
                <w:w w:val="93"/>
              </w:rPr>
            </w:pPr>
            <w:hyperlink w:anchor="page71">
              <w:r>
                <w:rPr>
                  <w:rFonts w:ascii="Arial" w:cs="Arial" w:eastAsia="Arial" w:hAnsi="Arial"/>
                  <w:sz w:val="14"/>
                  <w:szCs w:val="14"/>
                  <w:b w:val="1"/>
                  <w:bCs w:val="1"/>
                  <w:color w:val="4395D4"/>
                  <w:w w:val="93"/>
                </w:rPr>
                <w:t>Section 6.</w:t>
              </w:r>
            </w:hyperlink>
          </w:p>
        </w:tc>
        <w:tc>
          <w:tcPr>
            <w:tcW w:w="3200" w:type="dxa"/>
            <w:vAlign w:val="bottom"/>
            <w:gridSpan w:val="54"/>
          </w:tcPr>
          <w:p>
            <w:pPr>
              <w:jc w:val="center"/>
              <w:ind w:right="520"/>
              <w:spacing w:after="0" w:line="133" w:lineRule="exact"/>
              <w:rPr>
                <w:rFonts w:ascii="Arial" w:cs="Arial" w:eastAsia="Arial" w:hAnsi="Arial"/>
                <w:sz w:val="14"/>
                <w:szCs w:val="14"/>
                <w:b w:val="1"/>
                <w:bCs w:val="1"/>
                <w:color w:val="455986"/>
                <w:w w:val="97"/>
              </w:rPr>
            </w:pPr>
            <w:hyperlink w:anchor="page71">
              <w:r>
                <w:rPr>
                  <w:rFonts w:ascii="Arial" w:cs="Arial" w:eastAsia="Arial" w:hAnsi="Arial"/>
                  <w:sz w:val="14"/>
                  <w:szCs w:val="14"/>
                  <w:b w:val="1"/>
                  <w:bCs w:val="1"/>
                  <w:color w:val="455986"/>
                  <w:w w:val="97"/>
                </w:rPr>
                <w:t>Compensation Governance Policies and</w:t>
              </w:r>
            </w:hyperlink>
          </w:p>
        </w:tc>
        <w:tc>
          <w:tcPr>
            <w:tcW w:w="420" w:type="dxa"/>
            <w:vAlign w:val="bottom"/>
            <w:vMerge w:val="restart"/>
          </w:tcPr>
          <w:p>
            <w:pPr>
              <w:jc w:val="right"/>
              <w:spacing w:after="0"/>
              <w:rPr>
                <w:sz w:val="20"/>
                <w:szCs w:val="20"/>
                <w:color w:val="auto"/>
              </w:rPr>
            </w:pPr>
            <w:r>
              <w:rPr>
                <w:rFonts w:ascii="Arial" w:cs="Arial" w:eastAsia="Arial" w:hAnsi="Arial"/>
                <w:sz w:val="14"/>
                <w:szCs w:val="14"/>
                <w:b w:val="1"/>
                <w:bCs w:val="1"/>
                <w:color w:val="455986"/>
              </w:rPr>
              <w:t>68</w:t>
            </w:r>
          </w:p>
        </w:tc>
        <w:tc>
          <w:tcPr>
            <w:tcW w:w="0" w:type="dxa"/>
            <w:vAlign w:val="bottom"/>
          </w:tcPr>
          <w:p>
            <w:pPr>
              <w:spacing w:after="0"/>
              <w:rPr>
                <w:sz w:val="1"/>
                <w:szCs w:val="1"/>
                <w:color w:val="auto"/>
              </w:rPr>
            </w:pPr>
          </w:p>
        </w:tc>
      </w:tr>
      <w:tr>
        <w:trPr>
          <w:trHeight w:val="133"/>
        </w:trPr>
        <w:tc>
          <w:tcPr>
            <w:tcW w:w="780" w:type="dxa"/>
            <w:vAlign w:val="bottom"/>
            <w:tcBorders>
              <w:top w:val="single" w:sz="8" w:color="4395D4"/>
            </w:tcBorders>
            <w:gridSpan w:val="5"/>
          </w:tcPr>
          <w:p>
            <w:pPr>
              <w:spacing w:after="0" w:line="133" w:lineRule="exact"/>
              <w:rPr>
                <w:rFonts w:ascii="Arial" w:cs="Arial" w:eastAsia="Arial" w:hAnsi="Arial"/>
                <w:sz w:val="14"/>
                <w:szCs w:val="14"/>
                <w:b w:val="1"/>
                <w:bCs w:val="1"/>
                <w:color w:val="455986"/>
              </w:rPr>
            </w:pPr>
            <w:hyperlink w:anchor="page71">
              <w:r>
                <w:rPr>
                  <w:rFonts w:ascii="Arial" w:cs="Arial" w:eastAsia="Arial" w:hAnsi="Arial"/>
                  <w:sz w:val="14"/>
                  <w:szCs w:val="14"/>
                  <w:b w:val="1"/>
                  <w:bCs w:val="1"/>
                  <w:color w:val="455986"/>
                </w:rPr>
                <w:t>Practices</w:t>
              </w:r>
            </w:hyperlink>
          </w:p>
        </w:tc>
        <w:tc>
          <w:tcPr>
            <w:tcW w:w="440" w:type="dxa"/>
            <w:vAlign w:val="bottom"/>
            <w:tcBorders>
              <w:top w:val="single" w:sz="8" w:color="455986"/>
            </w:tcBorders>
            <w:gridSpan w:val="4"/>
          </w:tcPr>
          <w:p>
            <w:pPr>
              <w:spacing w:after="0"/>
              <w:rPr>
                <w:sz w:val="11"/>
                <w:szCs w:val="11"/>
                <w:color w:val="auto"/>
              </w:rPr>
            </w:pPr>
          </w:p>
        </w:tc>
        <w:tc>
          <w:tcPr>
            <w:tcW w:w="360" w:type="dxa"/>
            <w:vAlign w:val="bottom"/>
            <w:tcBorders>
              <w:top w:val="single" w:sz="8" w:color="455986"/>
            </w:tcBorders>
            <w:gridSpan w:val="3"/>
          </w:tcPr>
          <w:p>
            <w:pPr>
              <w:spacing w:after="0"/>
              <w:rPr>
                <w:sz w:val="11"/>
                <w:szCs w:val="11"/>
                <w:color w:val="auto"/>
              </w:rPr>
            </w:pPr>
          </w:p>
        </w:tc>
        <w:tc>
          <w:tcPr>
            <w:tcW w:w="340" w:type="dxa"/>
            <w:vAlign w:val="bottom"/>
            <w:tcBorders>
              <w:top w:val="single" w:sz="8" w:color="455986"/>
            </w:tcBorders>
            <w:gridSpan w:val="4"/>
          </w:tcPr>
          <w:p>
            <w:pPr>
              <w:spacing w:after="0"/>
              <w:rPr>
                <w:sz w:val="11"/>
                <w:szCs w:val="11"/>
                <w:color w:val="auto"/>
              </w:rPr>
            </w:pPr>
          </w:p>
        </w:tc>
        <w:tc>
          <w:tcPr>
            <w:tcW w:w="20" w:type="dxa"/>
            <w:vAlign w:val="bottom"/>
            <w:tcBorders>
              <w:top w:val="single" w:sz="8" w:color="455986"/>
            </w:tcBorders>
          </w:tcPr>
          <w:p>
            <w:pPr>
              <w:spacing w:after="0"/>
              <w:rPr>
                <w:sz w:val="11"/>
                <w:szCs w:val="11"/>
                <w:color w:val="auto"/>
              </w:rPr>
            </w:pPr>
          </w:p>
        </w:tc>
        <w:tc>
          <w:tcPr>
            <w:tcW w:w="40" w:type="dxa"/>
            <w:vAlign w:val="bottom"/>
            <w:tcBorders>
              <w:top w:val="single" w:sz="8" w:color="455986"/>
            </w:tcBorders>
            <w:gridSpan w:val="2"/>
          </w:tcPr>
          <w:p>
            <w:pPr>
              <w:spacing w:after="0"/>
              <w:rPr>
                <w:sz w:val="11"/>
                <w:szCs w:val="11"/>
                <w:color w:val="auto"/>
              </w:rPr>
            </w:pPr>
          </w:p>
        </w:tc>
        <w:tc>
          <w:tcPr>
            <w:tcW w:w="80" w:type="dxa"/>
            <w:vAlign w:val="bottom"/>
            <w:tcBorders>
              <w:top w:val="single" w:sz="8" w:color="455986"/>
            </w:tcBorders>
          </w:tcPr>
          <w:p>
            <w:pPr>
              <w:spacing w:after="0"/>
              <w:rPr>
                <w:sz w:val="11"/>
                <w:szCs w:val="11"/>
                <w:color w:val="auto"/>
              </w:rPr>
            </w:pPr>
          </w:p>
        </w:tc>
        <w:tc>
          <w:tcPr>
            <w:tcW w:w="20" w:type="dxa"/>
            <w:vAlign w:val="bottom"/>
            <w:tcBorders>
              <w:top w:val="single" w:sz="8" w:color="455986"/>
            </w:tcBorders>
          </w:tcPr>
          <w:p>
            <w:pPr>
              <w:spacing w:after="0"/>
              <w:rPr>
                <w:sz w:val="11"/>
                <w:szCs w:val="11"/>
                <w:color w:val="auto"/>
              </w:rPr>
            </w:pPr>
          </w:p>
        </w:tc>
        <w:tc>
          <w:tcPr>
            <w:tcW w:w="220" w:type="dxa"/>
            <w:vAlign w:val="bottom"/>
            <w:tcBorders>
              <w:top w:val="single" w:sz="8" w:color="455986"/>
            </w:tcBorders>
            <w:gridSpan w:val="2"/>
          </w:tcPr>
          <w:p>
            <w:pPr>
              <w:spacing w:after="0"/>
              <w:rPr>
                <w:sz w:val="11"/>
                <w:szCs w:val="11"/>
                <w:color w:val="auto"/>
              </w:rPr>
            </w:pPr>
          </w:p>
        </w:tc>
        <w:tc>
          <w:tcPr>
            <w:tcW w:w="60" w:type="dxa"/>
            <w:vAlign w:val="bottom"/>
            <w:tcBorders>
              <w:top w:val="single" w:sz="8" w:color="455986"/>
            </w:tcBorders>
            <w:gridSpan w:val="2"/>
          </w:tcPr>
          <w:p>
            <w:pPr>
              <w:spacing w:after="0"/>
              <w:rPr>
                <w:sz w:val="11"/>
                <w:szCs w:val="11"/>
                <w:color w:val="auto"/>
              </w:rPr>
            </w:pPr>
          </w:p>
        </w:tc>
        <w:tc>
          <w:tcPr>
            <w:tcW w:w="120" w:type="dxa"/>
            <w:vAlign w:val="bottom"/>
            <w:tcBorders>
              <w:top w:val="single" w:sz="8" w:color="455986"/>
            </w:tcBorders>
            <w:gridSpan w:val="5"/>
          </w:tcPr>
          <w:p>
            <w:pPr>
              <w:spacing w:after="0"/>
              <w:rPr>
                <w:sz w:val="11"/>
                <w:szCs w:val="11"/>
                <w:color w:val="auto"/>
              </w:rPr>
            </w:pPr>
          </w:p>
        </w:tc>
        <w:tc>
          <w:tcPr>
            <w:tcW w:w="360" w:type="dxa"/>
            <w:vAlign w:val="bottom"/>
            <w:tcBorders>
              <w:top w:val="single" w:sz="8" w:color="455986"/>
            </w:tcBorders>
            <w:gridSpan w:val="8"/>
          </w:tcPr>
          <w:p>
            <w:pPr>
              <w:spacing w:after="0"/>
              <w:rPr>
                <w:sz w:val="11"/>
                <w:szCs w:val="11"/>
                <w:color w:val="auto"/>
              </w:rPr>
            </w:pPr>
          </w:p>
        </w:tc>
        <w:tc>
          <w:tcPr>
            <w:tcW w:w="160" w:type="dxa"/>
            <w:vAlign w:val="bottom"/>
            <w:tcBorders>
              <w:top w:val="single" w:sz="8" w:color="455986"/>
            </w:tcBorders>
            <w:gridSpan w:val="3"/>
          </w:tcPr>
          <w:p>
            <w:pPr>
              <w:spacing w:after="0"/>
              <w:rPr>
                <w:sz w:val="11"/>
                <w:szCs w:val="11"/>
                <w:color w:val="auto"/>
              </w:rPr>
            </w:pPr>
          </w:p>
        </w:tc>
        <w:tc>
          <w:tcPr>
            <w:tcW w:w="20" w:type="dxa"/>
            <w:vAlign w:val="bottom"/>
            <w:tcBorders>
              <w:top w:val="single" w:sz="8" w:color="455986"/>
            </w:tcBorders>
          </w:tcPr>
          <w:p>
            <w:pPr>
              <w:spacing w:after="0"/>
              <w:rPr>
                <w:sz w:val="11"/>
                <w:szCs w:val="11"/>
                <w:color w:val="auto"/>
              </w:rPr>
            </w:pPr>
          </w:p>
        </w:tc>
        <w:tc>
          <w:tcPr>
            <w:tcW w:w="120" w:type="dxa"/>
            <w:vAlign w:val="bottom"/>
            <w:tcBorders>
              <w:top w:val="single" w:sz="8" w:color="455986"/>
            </w:tcBorders>
            <w:gridSpan w:val="2"/>
          </w:tcPr>
          <w:p>
            <w:pPr>
              <w:spacing w:after="0"/>
              <w:rPr>
                <w:sz w:val="11"/>
                <w:szCs w:val="11"/>
                <w:color w:val="auto"/>
              </w:rPr>
            </w:pPr>
          </w:p>
        </w:tc>
        <w:tc>
          <w:tcPr>
            <w:tcW w:w="40" w:type="dxa"/>
            <w:vAlign w:val="bottom"/>
            <w:tcBorders>
              <w:top w:val="single" w:sz="8" w:color="455986"/>
            </w:tcBorders>
          </w:tcPr>
          <w:p>
            <w:pPr>
              <w:spacing w:after="0"/>
              <w:rPr>
                <w:sz w:val="11"/>
                <w:szCs w:val="11"/>
                <w:color w:val="auto"/>
              </w:rPr>
            </w:pPr>
          </w:p>
        </w:tc>
        <w:tc>
          <w:tcPr>
            <w:tcW w:w="100" w:type="dxa"/>
            <w:vAlign w:val="bottom"/>
            <w:tcBorders>
              <w:top w:val="single" w:sz="8" w:color="455986"/>
            </w:tcBorders>
            <w:gridSpan w:val="3"/>
          </w:tcPr>
          <w:p>
            <w:pPr>
              <w:spacing w:after="0"/>
              <w:rPr>
                <w:sz w:val="11"/>
                <w:szCs w:val="11"/>
                <w:color w:val="auto"/>
              </w:rPr>
            </w:pPr>
          </w:p>
        </w:tc>
        <w:tc>
          <w:tcPr>
            <w:tcW w:w="120" w:type="dxa"/>
            <w:vAlign w:val="bottom"/>
            <w:gridSpan w:val="5"/>
          </w:tcPr>
          <w:p>
            <w:pPr>
              <w:spacing w:after="0"/>
              <w:rPr>
                <w:sz w:val="11"/>
                <w:szCs w:val="11"/>
                <w:color w:val="auto"/>
              </w:rPr>
            </w:pPr>
          </w:p>
        </w:tc>
        <w:tc>
          <w:tcPr>
            <w:tcW w:w="120" w:type="dxa"/>
            <w:vAlign w:val="bottom"/>
            <w:gridSpan w:val="3"/>
          </w:tcPr>
          <w:p>
            <w:pPr>
              <w:spacing w:after="0"/>
              <w:rPr>
                <w:sz w:val="11"/>
                <w:szCs w:val="11"/>
                <w:color w:val="auto"/>
              </w:rPr>
            </w:pPr>
          </w:p>
        </w:tc>
        <w:tc>
          <w:tcPr>
            <w:tcW w:w="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0" w:type="dxa"/>
            <w:vAlign w:val="bottom"/>
            <w:tcBorders>
              <w:top w:val="single" w:sz="8" w:color="455986"/>
            </w:tcBorders>
          </w:tcPr>
          <w:p>
            <w:pPr>
              <w:spacing w:after="0"/>
              <w:rPr>
                <w:sz w:val="11"/>
                <w:szCs w:val="11"/>
                <w:color w:val="auto"/>
              </w:rPr>
            </w:pPr>
          </w:p>
        </w:tc>
        <w:tc>
          <w:tcPr>
            <w:tcW w:w="400" w:type="dxa"/>
            <w:vAlign w:val="bottom"/>
            <w:tcBorders>
              <w:top w:val="single" w:sz="8" w:color="455986"/>
              <w:bottom w:val="single" w:sz="8" w:color="231F20"/>
            </w:tcBorders>
            <w:gridSpan w:val="2"/>
          </w:tcPr>
          <w:p>
            <w:pPr>
              <w:spacing w:after="0" w:line="133" w:lineRule="exact"/>
              <w:rPr>
                <w:rFonts w:ascii="Arial" w:cs="Arial" w:eastAsia="Arial" w:hAnsi="Arial"/>
                <w:sz w:val="14"/>
                <w:szCs w:val="14"/>
                <w:color w:val="231F20"/>
              </w:rPr>
            </w:pPr>
            <w:hyperlink w:anchor="page71">
              <w:r>
                <w:rPr>
                  <w:rFonts w:ascii="Arial" w:cs="Arial" w:eastAsia="Arial" w:hAnsi="Arial"/>
                  <w:sz w:val="14"/>
                  <w:szCs w:val="14"/>
                  <w:color w:val="231F20"/>
                </w:rPr>
                <w:t>Stock</w:t>
              </w:r>
            </w:hyperlink>
          </w:p>
        </w:tc>
        <w:tc>
          <w:tcPr>
            <w:tcW w:w="1340" w:type="dxa"/>
            <w:vAlign w:val="bottom"/>
            <w:tcBorders>
              <w:bottom w:val="single" w:sz="8" w:color="231F20"/>
            </w:tcBorders>
            <w:gridSpan w:val="14"/>
          </w:tcPr>
          <w:p>
            <w:pPr>
              <w:spacing w:after="0" w:line="133" w:lineRule="exact"/>
              <w:rPr>
                <w:rFonts w:ascii="Arial" w:cs="Arial" w:eastAsia="Arial" w:hAnsi="Arial"/>
                <w:sz w:val="14"/>
                <w:szCs w:val="14"/>
                <w:color w:val="231F20"/>
                <w:w w:val="96"/>
              </w:rPr>
            </w:pPr>
            <w:hyperlink w:anchor="page71">
              <w:r>
                <w:rPr>
                  <w:rFonts w:ascii="Arial" w:cs="Arial" w:eastAsia="Arial" w:hAnsi="Arial"/>
                  <w:sz w:val="14"/>
                  <w:szCs w:val="14"/>
                  <w:color w:val="231F20"/>
                  <w:w w:val="96"/>
                </w:rPr>
                <w:t>Ownership Guidelines</w:t>
              </w:r>
            </w:hyperlink>
          </w:p>
        </w:tc>
        <w:tc>
          <w:tcPr>
            <w:tcW w:w="1900" w:type="dxa"/>
            <w:vAlign w:val="bottom"/>
            <w:gridSpan w:val="41"/>
          </w:tcPr>
          <w:p>
            <w:pPr>
              <w:spacing w:after="0"/>
              <w:rPr>
                <w:sz w:val="11"/>
                <w:szCs w:val="11"/>
                <w:color w:val="auto"/>
              </w:rPr>
            </w:pPr>
          </w:p>
        </w:tc>
        <w:tc>
          <w:tcPr>
            <w:tcW w:w="420" w:type="dxa"/>
            <w:vAlign w:val="bottom"/>
          </w:tcPr>
          <w:p>
            <w:pPr>
              <w:jc w:val="right"/>
              <w:spacing w:after="0" w:line="133" w:lineRule="exact"/>
              <w:rPr>
                <w:sz w:val="20"/>
                <w:szCs w:val="20"/>
                <w:color w:val="auto"/>
              </w:rPr>
            </w:pPr>
            <w:r>
              <w:rPr>
                <w:rFonts w:ascii="Arial" w:cs="Arial" w:eastAsia="Arial" w:hAnsi="Arial"/>
                <w:sz w:val="14"/>
                <w:szCs w:val="14"/>
                <w:color w:val="231F20"/>
              </w:rPr>
              <w:t>68</w:t>
            </w:r>
          </w:p>
        </w:tc>
        <w:tc>
          <w:tcPr>
            <w:tcW w:w="0" w:type="dxa"/>
            <w:vAlign w:val="bottom"/>
          </w:tcPr>
          <w:p>
            <w:pPr>
              <w:spacing w:after="0"/>
              <w:rPr>
                <w:sz w:val="1"/>
                <w:szCs w:val="1"/>
                <w:color w:val="auto"/>
              </w:rPr>
            </w:pPr>
          </w:p>
        </w:tc>
      </w:tr>
      <w:tr>
        <w:trPr>
          <w:trHeight w:val="133"/>
        </w:trPr>
        <w:tc>
          <w:tcPr>
            <w:tcW w:w="2840" w:type="dxa"/>
            <w:vAlign w:val="bottom"/>
            <w:tcBorders>
              <w:bottom w:val="single" w:sz="8" w:color="455986"/>
            </w:tcBorders>
            <w:gridSpan w:val="38"/>
          </w:tcPr>
          <w:p>
            <w:pPr>
              <w:spacing w:after="0" w:line="133" w:lineRule="exact"/>
              <w:rPr>
                <w:rFonts w:ascii="Arial" w:cs="Arial" w:eastAsia="Arial" w:hAnsi="Arial"/>
                <w:sz w:val="14"/>
                <w:szCs w:val="14"/>
                <w:b w:val="1"/>
                <w:bCs w:val="1"/>
                <w:color w:val="455986"/>
                <w:w w:val="96"/>
              </w:rPr>
            </w:pPr>
            <w:hyperlink w:anchor="page72">
              <w:r>
                <w:rPr>
                  <w:rFonts w:ascii="Arial" w:cs="Arial" w:eastAsia="Arial" w:hAnsi="Arial"/>
                  <w:sz w:val="14"/>
                  <w:szCs w:val="14"/>
                  <w:b w:val="1"/>
                  <w:bCs w:val="1"/>
                  <w:color w:val="455986"/>
                  <w:w w:val="96"/>
                </w:rPr>
                <w:t>Executive Compensation Committee Report</w:t>
              </w:r>
            </w:hyperlink>
          </w:p>
        </w:tc>
        <w:tc>
          <w:tcPr>
            <w:tcW w:w="1000" w:type="dxa"/>
            <w:vAlign w:val="bottom"/>
            <w:gridSpan w:val="20"/>
          </w:tcPr>
          <w:p>
            <w:pPr>
              <w:spacing w:after="0"/>
              <w:rPr>
                <w:sz w:val="11"/>
                <w:szCs w:val="11"/>
                <w:color w:val="auto"/>
              </w:rPr>
            </w:pPr>
          </w:p>
        </w:tc>
        <w:tc>
          <w:tcPr>
            <w:tcW w:w="420" w:type="dxa"/>
            <w:vAlign w:val="bottom"/>
          </w:tcPr>
          <w:p>
            <w:pPr>
              <w:jc w:val="right"/>
              <w:spacing w:after="0" w:line="133" w:lineRule="exact"/>
              <w:rPr>
                <w:sz w:val="20"/>
                <w:szCs w:val="20"/>
                <w:color w:val="auto"/>
              </w:rPr>
            </w:pPr>
            <w:r>
              <w:rPr>
                <w:rFonts w:ascii="Arial" w:cs="Arial" w:eastAsia="Arial" w:hAnsi="Arial"/>
                <w:sz w:val="14"/>
                <w:szCs w:val="14"/>
                <w:b w:val="1"/>
                <w:bCs w:val="1"/>
                <w:color w:val="455986"/>
              </w:rPr>
              <w:t>69</w:t>
            </w:r>
          </w:p>
        </w:tc>
        <w:tc>
          <w:tcPr>
            <w:tcW w:w="0" w:type="dxa"/>
            <w:vAlign w:val="bottom"/>
          </w:tcPr>
          <w:p>
            <w:pPr>
              <w:spacing w:after="0"/>
              <w:rPr>
                <w:sz w:val="1"/>
                <w:szCs w:val="1"/>
                <w:color w:val="auto"/>
              </w:rPr>
            </w:pPr>
          </w:p>
        </w:tc>
      </w:tr>
      <w:tr>
        <w:trPr>
          <w:trHeight w:val="210"/>
        </w:trPr>
        <w:tc>
          <w:tcPr>
            <w:tcW w:w="2080" w:type="dxa"/>
            <w:vAlign w:val="bottom"/>
            <w:tcBorders>
              <w:bottom w:val="single" w:sz="8" w:color="4395D4"/>
            </w:tcBorders>
            <w:gridSpan w:val="21"/>
          </w:tcPr>
          <w:p>
            <w:pPr>
              <w:spacing w:after="0"/>
              <w:rPr>
                <w:rFonts w:ascii="Arial" w:cs="Arial" w:eastAsia="Arial" w:hAnsi="Arial"/>
                <w:sz w:val="14"/>
                <w:szCs w:val="14"/>
                <w:b w:val="1"/>
                <w:bCs w:val="1"/>
                <w:color w:val="4395D4"/>
                <w:w w:val="95"/>
              </w:rPr>
            </w:pPr>
            <w:hyperlink w:anchor="page73">
              <w:r>
                <w:rPr>
                  <w:rFonts w:ascii="Arial" w:cs="Arial" w:eastAsia="Arial" w:hAnsi="Arial"/>
                  <w:sz w:val="14"/>
                  <w:szCs w:val="14"/>
                  <w:b w:val="1"/>
                  <w:bCs w:val="1"/>
                  <w:color w:val="4395D4"/>
                  <w:w w:val="95"/>
                </w:rPr>
                <w:t>Executive Compensation Tables</w:t>
              </w:r>
            </w:hyperlink>
          </w:p>
        </w:tc>
        <w:tc>
          <w:tcPr>
            <w:tcW w:w="1760" w:type="dxa"/>
            <w:vAlign w:val="bottom"/>
            <w:gridSpan w:val="37"/>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4"/>
                <w:szCs w:val="14"/>
                <w:b w:val="1"/>
                <w:bCs w:val="1"/>
                <w:color w:val="4395D4"/>
              </w:rPr>
              <w:t>70</w:t>
            </w:r>
          </w:p>
        </w:tc>
        <w:tc>
          <w:tcPr>
            <w:tcW w:w="0" w:type="dxa"/>
            <w:vAlign w:val="bottom"/>
          </w:tcPr>
          <w:p>
            <w:pPr>
              <w:spacing w:after="0"/>
              <w:rPr>
                <w:sz w:val="1"/>
                <w:szCs w:val="1"/>
                <w:color w:val="auto"/>
              </w:rPr>
            </w:pPr>
          </w:p>
        </w:tc>
      </w:tr>
      <w:tr>
        <w:trPr>
          <w:trHeight w:val="210"/>
        </w:trPr>
        <w:tc>
          <w:tcPr>
            <w:tcW w:w="3840" w:type="dxa"/>
            <w:vAlign w:val="bottom"/>
            <w:gridSpan w:val="58"/>
          </w:tcPr>
          <w:p>
            <w:pPr>
              <w:spacing w:after="0"/>
              <w:rPr>
                <w:rFonts w:ascii="Arial" w:cs="Arial" w:eastAsia="Arial" w:hAnsi="Arial"/>
                <w:sz w:val="14"/>
                <w:szCs w:val="14"/>
                <w:b w:val="1"/>
                <w:bCs w:val="1"/>
                <w:color w:val="455986"/>
              </w:rPr>
            </w:pPr>
            <w:hyperlink w:anchor="page73">
              <w:r>
                <w:rPr>
                  <w:rFonts w:ascii="Arial" w:cs="Arial" w:eastAsia="Arial" w:hAnsi="Arial"/>
                  <w:sz w:val="14"/>
                  <w:szCs w:val="14"/>
                  <w:b w:val="1"/>
                  <w:bCs w:val="1"/>
                  <w:color w:val="455986"/>
                </w:rPr>
                <w:t>Summary Compensation Table</w:t>
              </w:r>
            </w:hyperlink>
          </w:p>
        </w:tc>
        <w:tc>
          <w:tcPr>
            <w:tcW w:w="420" w:type="dxa"/>
            <w:vAlign w:val="bottom"/>
          </w:tcPr>
          <w:p>
            <w:pPr>
              <w:jc w:val="right"/>
              <w:spacing w:after="0"/>
              <w:rPr>
                <w:sz w:val="20"/>
                <w:szCs w:val="20"/>
                <w:color w:val="auto"/>
              </w:rPr>
            </w:pPr>
            <w:r>
              <w:rPr>
                <w:rFonts w:ascii="Arial" w:cs="Arial" w:eastAsia="Arial" w:hAnsi="Arial"/>
                <w:sz w:val="14"/>
                <w:szCs w:val="14"/>
                <w:b w:val="1"/>
                <w:bCs w:val="1"/>
                <w:color w:val="455986"/>
              </w:rPr>
              <w:t>70</w:t>
            </w:r>
          </w:p>
        </w:tc>
        <w:tc>
          <w:tcPr>
            <w:tcW w:w="0" w:type="dxa"/>
            <w:vAlign w:val="bottom"/>
          </w:tcPr>
          <w:p>
            <w:pPr>
              <w:spacing w:after="0"/>
              <w:rPr>
                <w:sz w:val="1"/>
                <w:szCs w:val="1"/>
                <w:color w:val="auto"/>
              </w:rPr>
            </w:pPr>
          </w:p>
        </w:tc>
      </w:tr>
      <w:tr>
        <w:trPr>
          <w:trHeight w:val="133"/>
        </w:trPr>
        <w:tc>
          <w:tcPr>
            <w:tcW w:w="1980" w:type="dxa"/>
            <w:vAlign w:val="bottom"/>
            <w:tcBorders>
              <w:top w:val="single" w:sz="8" w:color="455986"/>
            </w:tcBorders>
            <w:gridSpan w:val="19"/>
          </w:tcPr>
          <w:p>
            <w:pPr>
              <w:spacing w:after="0" w:line="133" w:lineRule="exact"/>
              <w:rPr>
                <w:rFonts w:ascii="Arial" w:cs="Arial" w:eastAsia="Arial" w:hAnsi="Arial"/>
                <w:sz w:val="14"/>
                <w:szCs w:val="14"/>
                <w:b w:val="1"/>
                <w:bCs w:val="1"/>
                <w:color w:val="455986"/>
                <w:w w:val="99"/>
              </w:rPr>
            </w:pPr>
            <w:hyperlink w:anchor="page75">
              <w:r>
                <w:rPr>
                  <w:rFonts w:ascii="Arial" w:cs="Arial" w:eastAsia="Arial" w:hAnsi="Arial"/>
                  <w:sz w:val="14"/>
                  <w:szCs w:val="14"/>
                  <w:b w:val="1"/>
                  <w:bCs w:val="1"/>
                  <w:color w:val="455986"/>
                  <w:w w:val="99"/>
                </w:rPr>
                <w:t>Grants of Plan-Based Awards</w:t>
              </w:r>
            </w:hyperlink>
          </w:p>
        </w:tc>
        <w:tc>
          <w:tcPr>
            <w:tcW w:w="80" w:type="dxa"/>
            <w:vAlign w:val="bottom"/>
          </w:tcPr>
          <w:p>
            <w:pPr>
              <w:spacing w:after="0"/>
              <w:rPr>
                <w:sz w:val="11"/>
                <w:szCs w:val="11"/>
                <w:color w:val="auto"/>
              </w:rPr>
            </w:pPr>
          </w:p>
        </w:tc>
        <w:tc>
          <w:tcPr>
            <w:tcW w:w="240" w:type="dxa"/>
            <w:vAlign w:val="bottom"/>
            <w:gridSpan w:val="3"/>
          </w:tcPr>
          <w:p>
            <w:pPr>
              <w:spacing w:after="0"/>
              <w:rPr>
                <w:sz w:val="11"/>
                <w:szCs w:val="11"/>
                <w:color w:val="auto"/>
              </w:rPr>
            </w:pPr>
          </w:p>
        </w:tc>
        <w:tc>
          <w:tcPr>
            <w:tcW w:w="60" w:type="dxa"/>
            <w:vAlign w:val="bottom"/>
            <w:gridSpan w:val="2"/>
          </w:tcPr>
          <w:p>
            <w:pPr>
              <w:spacing w:after="0"/>
              <w:rPr>
                <w:sz w:val="11"/>
                <w:szCs w:val="11"/>
                <w:color w:val="auto"/>
              </w:rPr>
            </w:pPr>
          </w:p>
        </w:tc>
        <w:tc>
          <w:tcPr>
            <w:tcW w:w="120" w:type="dxa"/>
            <w:vAlign w:val="bottom"/>
            <w:gridSpan w:val="5"/>
          </w:tcPr>
          <w:p>
            <w:pPr>
              <w:spacing w:after="0"/>
              <w:rPr>
                <w:sz w:val="11"/>
                <w:szCs w:val="11"/>
                <w:color w:val="auto"/>
              </w:rPr>
            </w:pPr>
          </w:p>
        </w:tc>
        <w:tc>
          <w:tcPr>
            <w:tcW w:w="520" w:type="dxa"/>
            <w:vAlign w:val="bottom"/>
            <w:gridSpan w:val="11"/>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gridSpan w:val="2"/>
          </w:tcPr>
          <w:p>
            <w:pPr>
              <w:spacing w:after="0"/>
              <w:rPr>
                <w:sz w:val="11"/>
                <w:szCs w:val="11"/>
                <w:color w:val="auto"/>
              </w:rPr>
            </w:pPr>
          </w:p>
        </w:tc>
        <w:tc>
          <w:tcPr>
            <w:tcW w:w="40" w:type="dxa"/>
            <w:vAlign w:val="bottom"/>
          </w:tcPr>
          <w:p>
            <w:pPr>
              <w:spacing w:after="0"/>
              <w:rPr>
                <w:sz w:val="11"/>
                <w:szCs w:val="11"/>
                <w:color w:val="auto"/>
              </w:rPr>
            </w:pPr>
          </w:p>
        </w:tc>
        <w:tc>
          <w:tcPr>
            <w:tcW w:w="220" w:type="dxa"/>
            <w:vAlign w:val="bottom"/>
            <w:gridSpan w:val="8"/>
          </w:tcPr>
          <w:p>
            <w:pPr>
              <w:spacing w:after="0"/>
              <w:rPr>
                <w:sz w:val="11"/>
                <w:szCs w:val="11"/>
                <w:color w:val="auto"/>
              </w:rPr>
            </w:pPr>
          </w:p>
        </w:tc>
        <w:tc>
          <w:tcPr>
            <w:tcW w:w="120" w:type="dxa"/>
            <w:vAlign w:val="bottom"/>
            <w:gridSpan w:val="3"/>
          </w:tcPr>
          <w:p>
            <w:pPr>
              <w:spacing w:after="0"/>
              <w:rPr>
                <w:sz w:val="11"/>
                <w:szCs w:val="11"/>
                <w:color w:val="auto"/>
              </w:rPr>
            </w:pPr>
          </w:p>
        </w:tc>
        <w:tc>
          <w:tcPr>
            <w:tcW w:w="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20" w:type="dxa"/>
            <w:vAlign w:val="bottom"/>
          </w:tcPr>
          <w:p>
            <w:pPr>
              <w:jc w:val="right"/>
              <w:spacing w:after="0" w:line="133" w:lineRule="exact"/>
              <w:rPr>
                <w:sz w:val="20"/>
                <w:szCs w:val="20"/>
                <w:color w:val="auto"/>
              </w:rPr>
            </w:pPr>
            <w:r>
              <w:rPr>
                <w:rFonts w:ascii="Arial" w:cs="Arial" w:eastAsia="Arial" w:hAnsi="Arial"/>
                <w:sz w:val="14"/>
                <w:szCs w:val="14"/>
                <w:b w:val="1"/>
                <w:bCs w:val="1"/>
                <w:color w:val="455986"/>
              </w:rPr>
              <w:t>72</w:t>
            </w:r>
          </w:p>
        </w:tc>
        <w:tc>
          <w:tcPr>
            <w:tcW w:w="0" w:type="dxa"/>
            <w:vAlign w:val="bottom"/>
          </w:tcPr>
          <w:p>
            <w:pPr>
              <w:spacing w:after="0"/>
              <w:rPr>
                <w:sz w:val="1"/>
                <w:szCs w:val="1"/>
                <w:color w:val="auto"/>
              </w:rPr>
            </w:pPr>
          </w:p>
        </w:tc>
      </w:tr>
      <w:tr>
        <w:trPr>
          <w:trHeight w:val="133"/>
        </w:trPr>
        <w:tc>
          <w:tcPr>
            <w:tcW w:w="1920" w:type="dxa"/>
            <w:vAlign w:val="bottom"/>
            <w:tcBorders>
              <w:top w:val="single" w:sz="8" w:color="455986"/>
            </w:tcBorders>
            <w:gridSpan w:val="16"/>
          </w:tcPr>
          <w:p>
            <w:pPr>
              <w:spacing w:after="0" w:line="133" w:lineRule="exact"/>
              <w:rPr>
                <w:rFonts w:ascii="Arial" w:cs="Arial" w:eastAsia="Arial" w:hAnsi="Arial"/>
                <w:sz w:val="14"/>
                <w:szCs w:val="14"/>
                <w:b w:val="1"/>
                <w:bCs w:val="1"/>
                <w:color w:val="455986"/>
                <w:w w:val="95"/>
              </w:rPr>
            </w:pPr>
            <w:hyperlink w:anchor="page76">
              <w:r>
                <w:rPr>
                  <w:rFonts w:ascii="Arial" w:cs="Arial" w:eastAsia="Arial" w:hAnsi="Arial"/>
                  <w:sz w:val="14"/>
                  <w:szCs w:val="14"/>
                  <w:b w:val="1"/>
                  <w:bCs w:val="1"/>
                  <w:color w:val="455986"/>
                  <w:w w:val="95"/>
                </w:rPr>
                <w:t>Outstanding Equity Awards at</w:t>
              </w:r>
            </w:hyperlink>
          </w:p>
        </w:tc>
        <w:tc>
          <w:tcPr>
            <w:tcW w:w="1920" w:type="dxa"/>
            <w:vAlign w:val="bottom"/>
            <w:gridSpan w:val="42"/>
          </w:tcPr>
          <w:p>
            <w:pPr>
              <w:ind w:left="60"/>
              <w:spacing w:after="0" w:line="133" w:lineRule="exact"/>
              <w:rPr>
                <w:rFonts w:ascii="Arial" w:cs="Arial" w:eastAsia="Arial" w:hAnsi="Arial"/>
                <w:sz w:val="14"/>
                <w:szCs w:val="14"/>
                <w:b w:val="1"/>
                <w:bCs w:val="1"/>
                <w:color w:val="455986"/>
              </w:rPr>
            </w:pPr>
            <w:hyperlink w:anchor="page76">
              <w:r>
                <w:rPr>
                  <w:rFonts w:ascii="Arial" w:cs="Arial" w:eastAsia="Arial" w:hAnsi="Arial"/>
                  <w:sz w:val="14"/>
                  <w:szCs w:val="14"/>
                  <w:b w:val="1"/>
                  <w:bCs w:val="1"/>
                  <w:color w:val="455986"/>
                </w:rPr>
                <w:t>Fiscal Year-End</w:t>
              </w:r>
            </w:hyperlink>
          </w:p>
        </w:tc>
        <w:tc>
          <w:tcPr>
            <w:tcW w:w="420" w:type="dxa"/>
            <w:vAlign w:val="bottom"/>
          </w:tcPr>
          <w:p>
            <w:pPr>
              <w:jc w:val="right"/>
              <w:spacing w:after="0" w:line="133" w:lineRule="exact"/>
              <w:rPr>
                <w:sz w:val="20"/>
                <w:szCs w:val="20"/>
                <w:color w:val="auto"/>
              </w:rPr>
            </w:pPr>
            <w:r>
              <w:rPr>
                <w:rFonts w:ascii="Arial" w:cs="Arial" w:eastAsia="Arial" w:hAnsi="Arial"/>
                <w:sz w:val="14"/>
                <w:szCs w:val="14"/>
                <w:b w:val="1"/>
                <w:bCs w:val="1"/>
                <w:color w:val="455986"/>
              </w:rPr>
              <w:t>73</w:t>
            </w:r>
          </w:p>
        </w:tc>
        <w:tc>
          <w:tcPr>
            <w:tcW w:w="0" w:type="dxa"/>
            <w:vAlign w:val="bottom"/>
          </w:tcPr>
          <w:p>
            <w:pPr>
              <w:spacing w:after="0"/>
              <w:rPr>
                <w:sz w:val="1"/>
                <w:szCs w:val="1"/>
                <w:color w:val="auto"/>
              </w:rPr>
            </w:pPr>
          </w:p>
        </w:tc>
      </w:tr>
      <w:tr>
        <w:trPr>
          <w:trHeight w:val="133"/>
        </w:trPr>
        <w:tc>
          <w:tcPr>
            <w:tcW w:w="3000" w:type="dxa"/>
            <w:vAlign w:val="bottom"/>
            <w:tcBorders>
              <w:top w:val="single" w:sz="8" w:color="455986"/>
            </w:tcBorders>
            <w:gridSpan w:val="41"/>
          </w:tcPr>
          <w:p>
            <w:pPr>
              <w:spacing w:after="0" w:line="133" w:lineRule="exact"/>
              <w:rPr>
                <w:rFonts w:ascii="Arial" w:cs="Arial" w:eastAsia="Arial" w:hAnsi="Arial"/>
                <w:sz w:val="14"/>
                <w:szCs w:val="14"/>
                <w:b w:val="1"/>
                <w:bCs w:val="1"/>
                <w:color w:val="455986"/>
              </w:rPr>
            </w:pPr>
            <w:hyperlink w:anchor="page77">
              <w:r>
                <w:rPr>
                  <w:rFonts w:ascii="Arial" w:cs="Arial" w:eastAsia="Arial" w:hAnsi="Arial"/>
                  <w:sz w:val="14"/>
                  <w:szCs w:val="14"/>
                  <w:b w:val="1"/>
                  <w:bCs w:val="1"/>
                  <w:color w:val="455986"/>
                </w:rPr>
                <w:t>Options Exercised and Stock Vested</w:t>
              </w:r>
            </w:hyperlink>
          </w:p>
        </w:tc>
        <w:tc>
          <w:tcPr>
            <w:tcW w:w="20" w:type="dxa"/>
            <w:vAlign w:val="bottom"/>
          </w:tcPr>
          <w:p>
            <w:pPr>
              <w:spacing w:after="0"/>
              <w:rPr>
                <w:sz w:val="11"/>
                <w:szCs w:val="11"/>
                <w:color w:val="auto"/>
              </w:rPr>
            </w:pPr>
          </w:p>
        </w:tc>
        <w:tc>
          <w:tcPr>
            <w:tcW w:w="120" w:type="dxa"/>
            <w:vAlign w:val="bottom"/>
            <w:gridSpan w:val="2"/>
          </w:tcPr>
          <w:p>
            <w:pPr>
              <w:spacing w:after="0"/>
              <w:rPr>
                <w:sz w:val="11"/>
                <w:szCs w:val="11"/>
                <w:color w:val="auto"/>
              </w:rPr>
            </w:pPr>
          </w:p>
        </w:tc>
        <w:tc>
          <w:tcPr>
            <w:tcW w:w="40" w:type="dxa"/>
            <w:vAlign w:val="bottom"/>
          </w:tcPr>
          <w:p>
            <w:pPr>
              <w:spacing w:after="0"/>
              <w:rPr>
                <w:sz w:val="11"/>
                <w:szCs w:val="11"/>
                <w:color w:val="auto"/>
              </w:rPr>
            </w:pPr>
          </w:p>
        </w:tc>
        <w:tc>
          <w:tcPr>
            <w:tcW w:w="220" w:type="dxa"/>
            <w:vAlign w:val="bottom"/>
            <w:gridSpan w:val="8"/>
          </w:tcPr>
          <w:p>
            <w:pPr>
              <w:spacing w:after="0"/>
              <w:rPr>
                <w:sz w:val="11"/>
                <w:szCs w:val="11"/>
                <w:color w:val="auto"/>
              </w:rPr>
            </w:pPr>
          </w:p>
        </w:tc>
        <w:tc>
          <w:tcPr>
            <w:tcW w:w="120" w:type="dxa"/>
            <w:vAlign w:val="bottom"/>
            <w:gridSpan w:val="3"/>
          </w:tcPr>
          <w:p>
            <w:pPr>
              <w:spacing w:after="0"/>
              <w:rPr>
                <w:sz w:val="11"/>
                <w:szCs w:val="11"/>
                <w:color w:val="auto"/>
              </w:rPr>
            </w:pPr>
          </w:p>
        </w:tc>
        <w:tc>
          <w:tcPr>
            <w:tcW w:w="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20" w:type="dxa"/>
            <w:vAlign w:val="bottom"/>
          </w:tcPr>
          <w:p>
            <w:pPr>
              <w:jc w:val="right"/>
              <w:spacing w:after="0" w:line="133" w:lineRule="exact"/>
              <w:rPr>
                <w:sz w:val="20"/>
                <w:szCs w:val="20"/>
                <w:color w:val="auto"/>
              </w:rPr>
            </w:pPr>
            <w:r>
              <w:rPr>
                <w:rFonts w:ascii="Arial" w:cs="Arial" w:eastAsia="Arial" w:hAnsi="Arial"/>
                <w:sz w:val="14"/>
                <w:szCs w:val="14"/>
                <w:b w:val="1"/>
                <w:bCs w:val="1"/>
                <w:color w:val="455986"/>
              </w:rPr>
              <w:t>74</w:t>
            </w:r>
          </w:p>
        </w:tc>
        <w:tc>
          <w:tcPr>
            <w:tcW w:w="0" w:type="dxa"/>
            <w:vAlign w:val="bottom"/>
          </w:tcPr>
          <w:p>
            <w:pPr>
              <w:spacing w:after="0"/>
              <w:rPr>
                <w:sz w:val="1"/>
                <w:szCs w:val="1"/>
                <w:color w:val="auto"/>
              </w:rPr>
            </w:pPr>
          </w:p>
        </w:tc>
      </w:tr>
      <w:tr>
        <w:trPr>
          <w:trHeight w:val="133"/>
        </w:trPr>
        <w:tc>
          <w:tcPr>
            <w:tcW w:w="2360" w:type="dxa"/>
            <w:vAlign w:val="bottom"/>
            <w:tcBorders>
              <w:top w:val="single" w:sz="8" w:color="455986"/>
            </w:tcBorders>
            <w:gridSpan w:val="25"/>
          </w:tcPr>
          <w:p>
            <w:pPr>
              <w:spacing w:after="0" w:line="133" w:lineRule="exact"/>
              <w:rPr>
                <w:rFonts w:ascii="Arial" w:cs="Arial" w:eastAsia="Arial" w:hAnsi="Arial"/>
                <w:sz w:val="14"/>
                <w:szCs w:val="14"/>
                <w:b w:val="1"/>
                <w:bCs w:val="1"/>
                <w:color w:val="455986"/>
                <w:w w:val="98"/>
              </w:rPr>
            </w:pPr>
            <w:hyperlink w:anchor="page78">
              <w:r>
                <w:rPr>
                  <w:rFonts w:ascii="Arial" w:cs="Arial" w:eastAsia="Arial" w:hAnsi="Arial"/>
                  <w:sz w:val="14"/>
                  <w:szCs w:val="14"/>
                  <w:b w:val="1"/>
                  <w:bCs w:val="1"/>
                  <w:color w:val="455986"/>
                  <w:w w:val="98"/>
                </w:rPr>
                <w:t>CEO to Median Employee Pay Ratio</w:t>
              </w:r>
            </w:hyperlink>
          </w:p>
        </w:tc>
        <w:tc>
          <w:tcPr>
            <w:tcW w:w="120" w:type="dxa"/>
            <w:vAlign w:val="bottom"/>
            <w:gridSpan w:val="5"/>
          </w:tcPr>
          <w:p>
            <w:pPr>
              <w:spacing w:after="0"/>
              <w:rPr>
                <w:sz w:val="11"/>
                <w:szCs w:val="11"/>
                <w:color w:val="auto"/>
              </w:rPr>
            </w:pPr>
          </w:p>
        </w:tc>
        <w:tc>
          <w:tcPr>
            <w:tcW w:w="540" w:type="dxa"/>
            <w:vAlign w:val="bottom"/>
            <w:gridSpan w:val="12"/>
          </w:tcPr>
          <w:p>
            <w:pPr>
              <w:spacing w:after="0"/>
              <w:rPr>
                <w:sz w:val="11"/>
                <w:szCs w:val="11"/>
                <w:color w:val="auto"/>
              </w:rPr>
            </w:pPr>
          </w:p>
        </w:tc>
        <w:tc>
          <w:tcPr>
            <w:tcW w:w="120" w:type="dxa"/>
            <w:vAlign w:val="bottom"/>
            <w:gridSpan w:val="2"/>
          </w:tcPr>
          <w:p>
            <w:pPr>
              <w:spacing w:after="0"/>
              <w:rPr>
                <w:sz w:val="11"/>
                <w:szCs w:val="11"/>
                <w:color w:val="auto"/>
              </w:rPr>
            </w:pPr>
          </w:p>
        </w:tc>
        <w:tc>
          <w:tcPr>
            <w:tcW w:w="40" w:type="dxa"/>
            <w:vAlign w:val="bottom"/>
          </w:tcPr>
          <w:p>
            <w:pPr>
              <w:spacing w:after="0"/>
              <w:rPr>
                <w:sz w:val="11"/>
                <w:szCs w:val="11"/>
                <w:color w:val="auto"/>
              </w:rPr>
            </w:pPr>
          </w:p>
        </w:tc>
        <w:tc>
          <w:tcPr>
            <w:tcW w:w="220" w:type="dxa"/>
            <w:vAlign w:val="bottom"/>
            <w:gridSpan w:val="8"/>
          </w:tcPr>
          <w:p>
            <w:pPr>
              <w:spacing w:after="0"/>
              <w:rPr>
                <w:sz w:val="11"/>
                <w:szCs w:val="11"/>
                <w:color w:val="auto"/>
              </w:rPr>
            </w:pPr>
          </w:p>
        </w:tc>
        <w:tc>
          <w:tcPr>
            <w:tcW w:w="120" w:type="dxa"/>
            <w:vAlign w:val="bottom"/>
            <w:gridSpan w:val="3"/>
          </w:tcPr>
          <w:p>
            <w:pPr>
              <w:spacing w:after="0"/>
              <w:rPr>
                <w:sz w:val="11"/>
                <w:szCs w:val="11"/>
                <w:color w:val="auto"/>
              </w:rPr>
            </w:pPr>
          </w:p>
        </w:tc>
        <w:tc>
          <w:tcPr>
            <w:tcW w:w="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20" w:type="dxa"/>
            <w:vAlign w:val="bottom"/>
          </w:tcPr>
          <w:p>
            <w:pPr>
              <w:jc w:val="right"/>
              <w:spacing w:after="0" w:line="133" w:lineRule="exact"/>
              <w:rPr>
                <w:sz w:val="20"/>
                <w:szCs w:val="20"/>
                <w:color w:val="auto"/>
              </w:rPr>
            </w:pPr>
            <w:r>
              <w:rPr>
                <w:rFonts w:ascii="Arial" w:cs="Arial" w:eastAsia="Arial" w:hAnsi="Arial"/>
                <w:sz w:val="14"/>
                <w:szCs w:val="14"/>
                <w:b w:val="1"/>
                <w:bCs w:val="1"/>
                <w:color w:val="455986"/>
              </w:rPr>
              <w:t>75</w:t>
            </w:r>
          </w:p>
        </w:tc>
        <w:tc>
          <w:tcPr>
            <w:tcW w:w="0" w:type="dxa"/>
            <w:vAlign w:val="bottom"/>
          </w:tcPr>
          <w:p>
            <w:pPr>
              <w:spacing w:after="0"/>
              <w:rPr>
                <w:sz w:val="1"/>
                <w:szCs w:val="1"/>
                <w:color w:val="auto"/>
              </w:rPr>
            </w:pPr>
          </w:p>
        </w:tc>
      </w:tr>
      <w:tr>
        <w:trPr>
          <w:trHeight w:val="133"/>
        </w:trPr>
        <w:tc>
          <w:tcPr>
            <w:tcW w:w="2300" w:type="dxa"/>
            <w:vAlign w:val="bottom"/>
            <w:tcBorders>
              <w:top w:val="single" w:sz="8" w:color="455986"/>
            </w:tcBorders>
            <w:gridSpan w:val="23"/>
          </w:tcPr>
          <w:p>
            <w:pPr>
              <w:spacing w:after="0" w:line="133" w:lineRule="exact"/>
              <w:rPr>
                <w:rFonts w:ascii="Arial" w:cs="Arial" w:eastAsia="Arial" w:hAnsi="Arial"/>
                <w:sz w:val="14"/>
                <w:szCs w:val="14"/>
                <w:b w:val="1"/>
                <w:bCs w:val="1"/>
                <w:color w:val="455986"/>
              </w:rPr>
            </w:pPr>
            <w:hyperlink w:anchor="page78">
              <w:r>
                <w:rPr>
                  <w:rFonts w:ascii="Arial" w:cs="Arial" w:eastAsia="Arial" w:hAnsi="Arial"/>
                  <w:sz w:val="14"/>
                  <w:szCs w:val="14"/>
                  <w:b w:val="1"/>
                  <w:bCs w:val="1"/>
                  <w:color w:val="455986"/>
                </w:rPr>
                <w:t>Retirement Plans and Other Post-</w:t>
              </w:r>
            </w:hyperlink>
          </w:p>
        </w:tc>
        <w:tc>
          <w:tcPr>
            <w:tcW w:w="1540" w:type="dxa"/>
            <w:vAlign w:val="bottom"/>
            <w:gridSpan w:val="35"/>
          </w:tcPr>
          <w:p>
            <w:pPr>
              <w:jc w:val="center"/>
              <w:ind w:right="280"/>
              <w:spacing w:after="0" w:line="133" w:lineRule="exact"/>
              <w:rPr>
                <w:rFonts w:ascii="Arial" w:cs="Arial" w:eastAsia="Arial" w:hAnsi="Arial"/>
                <w:sz w:val="14"/>
                <w:szCs w:val="14"/>
                <w:b w:val="1"/>
                <w:bCs w:val="1"/>
                <w:color w:val="455986"/>
                <w:w w:val="87"/>
              </w:rPr>
            </w:pPr>
            <w:hyperlink w:anchor="page78">
              <w:r>
                <w:rPr>
                  <w:rFonts w:ascii="Arial" w:cs="Arial" w:eastAsia="Arial" w:hAnsi="Arial"/>
                  <w:sz w:val="14"/>
                  <w:szCs w:val="14"/>
                  <w:b w:val="1"/>
                  <w:bCs w:val="1"/>
                  <w:color w:val="455986"/>
                  <w:w w:val="87"/>
                </w:rPr>
                <w:t>Employment Benefits</w:t>
              </w:r>
            </w:hyperlink>
          </w:p>
        </w:tc>
        <w:tc>
          <w:tcPr>
            <w:tcW w:w="420" w:type="dxa"/>
            <w:vAlign w:val="bottom"/>
          </w:tcPr>
          <w:p>
            <w:pPr>
              <w:jc w:val="right"/>
              <w:spacing w:after="0" w:line="133" w:lineRule="exact"/>
              <w:rPr>
                <w:sz w:val="20"/>
                <w:szCs w:val="20"/>
                <w:color w:val="auto"/>
              </w:rPr>
            </w:pPr>
            <w:r>
              <w:rPr>
                <w:rFonts w:ascii="Arial" w:cs="Arial" w:eastAsia="Arial" w:hAnsi="Arial"/>
                <w:sz w:val="14"/>
                <w:szCs w:val="14"/>
                <w:b w:val="1"/>
                <w:bCs w:val="1"/>
                <w:color w:val="455986"/>
              </w:rPr>
              <w:t>75</w:t>
            </w:r>
          </w:p>
        </w:tc>
        <w:tc>
          <w:tcPr>
            <w:tcW w:w="0" w:type="dxa"/>
            <w:vAlign w:val="bottom"/>
          </w:tcPr>
          <w:p>
            <w:pPr>
              <w:spacing w:after="0"/>
              <w:rPr>
                <w:sz w:val="1"/>
                <w:szCs w:val="1"/>
                <w:color w:val="auto"/>
              </w:rPr>
            </w:pPr>
          </w:p>
        </w:tc>
      </w:tr>
      <w:tr>
        <w:trPr>
          <w:trHeight w:val="133"/>
        </w:trPr>
        <w:tc>
          <w:tcPr>
            <w:tcW w:w="200" w:type="dxa"/>
            <w:vAlign w:val="bottom"/>
            <w:tcBorders>
              <w:top w:val="single" w:sz="8" w:color="455986"/>
            </w:tcBorders>
          </w:tcPr>
          <w:p>
            <w:pPr>
              <w:spacing w:after="0"/>
              <w:rPr>
                <w:sz w:val="11"/>
                <w:szCs w:val="11"/>
                <w:color w:val="auto"/>
              </w:rPr>
            </w:pPr>
          </w:p>
        </w:tc>
        <w:tc>
          <w:tcPr>
            <w:tcW w:w="3380" w:type="dxa"/>
            <w:vAlign w:val="bottom"/>
            <w:tcBorders>
              <w:top w:val="single" w:sz="8" w:color="455986"/>
            </w:tcBorders>
            <w:gridSpan w:val="56"/>
          </w:tcPr>
          <w:p>
            <w:pPr>
              <w:spacing w:after="0" w:line="133" w:lineRule="exact"/>
              <w:rPr>
                <w:rFonts w:ascii="Arial" w:cs="Arial" w:eastAsia="Arial" w:hAnsi="Arial"/>
                <w:sz w:val="14"/>
                <w:szCs w:val="14"/>
                <w:color w:val="231F20"/>
              </w:rPr>
            </w:pPr>
            <w:hyperlink w:anchor="page78">
              <w:r>
                <w:rPr>
                  <w:rFonts w:ascii="Arial" w:cs="Arial" w:eastAsia="Arial" w:hAnsi="Arial"/>
                  <w:sz w:val="14"/>
                  <w:szCs w:val="14"/>
                  <w:color w:val="231F20"/>
                </w:rPr>
                <w:t>Pension Benefits</w:t>
              </w:r>
            </w:hyperlink>
          </w:p>
        </w:tc>
        <w:tc>
          <w:tcPr>
            <w:tcW w:w="260" w:type="dxa"/>
            <w:vAlign w:val="bottom"/>
          </w:tcPr>
          <w:p>
            <w:pPr>
              <w:spacing w:after="0"/>
              <w:rPr>
                <w:sz w:val="11"/>
                <w:szCs w:val="11"/>
                <w:color w:val="auto"/>
              </w:rPr>
            </w:pPr>
          </w:p>
        </w:tc>
        <w:tc>
          <w:tcPr>
            <w:tcW w:w="420" w:type="dxa"/>
            <w:vAlign w:val="bottom"/>
          </w:tcPr>
          <w:p>
            <w:pPr>
              <w:jc w:val="right"/>
              <w:spacing w:after="0" w:line="133" w:lineRule="exact"/>
              <w:rPr>
                <w:sz w:val="20"/>
                <w:szCs w:val="20"/>
                <w:color w:val="auto"/>
              </w:rPr>
            </w:pPr>
            <w:r>
              <w:rPr>
                <w:rFonts w:ascii="Arial" w:cs="Arial" w:eastAsia="Arial" w:hAnsi="Arial"/>
                <w:sz w:val="14"/>
                <w:szCs w:val="14"/>
                <w:color w:val="231F20"/>
              </w:rPr>
              <w:t>75</w:t>
            </w: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280" w:type="dxa"/>
            <w:vAlign w:val="bottom"/>
            <w:shd w:val="clear" w:color="auto" w:fill="231F20"/>
          </w:tcPr>
          <w:p>
            <w:pPr>
              <w:spacing w:after="0" w:line="20" w:lineRule="exact"/>
              <w:rPr>
                <w:sz w:val="1"/>
                <w:szCs w:val="1"/>
                <w:color w:val="auto"/>
              </w:rPr>
            </w:pPr>
          </w:p>
        </w:tc>
        <w:tc>
          <w:tcPr>
            <w:tcW w:w="740" w:type="dxa"/>
            <w:vAlign w:val="bottom"/>
            <w:gridSpan w:val="7"/>
            <w:shd w:val="clear" w:color="auto" w:fill="231F20"/>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480" w:type="dxa"/>
            <w:vAlign w:val="bottom"/>
            <w:gridSpan w:val="8"/>
          </w:tcPr>
          <w:p>
            <w:pPr>
              <w:spacing w:after="0" w:line="20" w:lineRule="exact"/>
              <w:rPr>
                <w:sz w:val="1"/>
                <w:szCs w:val="1"/>
                <w:color w:val="auto"/>
              </w:rPr>
            </w:pPr>
          </w:p>
        </w:tc>
        <w:tc>
          <w:tcPr>
            <w:tcW w:w="420" w:type="dxa"/>
            <w:vAlign w:val="bottom"/>
            <w:gridSpan w:val="10"/>
          </w:tcPr>
          <w:p>
            <w:pPr>
              <w:spacing w:after="0" w:line="20" w:lineRule="exact"/>
              <w:rPr>
                <w:sz w:val="1"/>
                <w:szCs w:val="1"/>
                <w:color w:val="auto"/>
              </w:rPr>
            </w:pPr>
          </w:p>
        </w:tc>
        <w:tc>
          <w:tcPr>
            <w:tcW w:w="540" w:type="dxa"/>
            <w:vAlign w:val="bottom"/>
            <w:gridSpan w:val="1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gridSpan w:val="8"/>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420" w:type="dxa"/>
            <w:vAlign w:val="bottom"/>
            <w:vMerge w:val="restart"/>
          </w:tcPr>
          <w:p>
            <w:pPr>
              <w:jc w:val="right"/>
              <w:spacing w:after="0" w:line="153" w:lineRule="exact"/>
              <w:rPr>
                <w:sz w:val="20"/>
                <w:szCs w:val="20"/>
                <w:color w:val="auto"/>
              </w:rPr>
            </w:pPr>
            <w:r>
              <w:rPr>
                <w:rFonts w:ascii="Arial" w:cs="Arial" w:eastAsia="Arial" w:hAnsi="Arial"/>
                <w:sz w:val="14"/>
                <w:szCs w:val="14"/>
                <w:color w:val="231F20"/>
              </w:rPr>
              <w:t>76</w:t>
            </w:r>
          </w:p>
        </w:tc>
        <w:tc>
          <w:tcPr>
            <w:tcW w:w="0" w:type="dxa"/>
            <w:vAlign w:val="bottom"/>
          </w:tcPr>
          <w:p>
            <w:pPr>
              <w:spacing w:after="0" w:line="20" w:lineRule="exact"/>
              <w:rPr>
                <w:sz w:val="1"/>
                <w:szCs w:val="1"/>
                <w:color w:val="auto"/>
              </w:rPr>
            </w:pPr>
          </w:p>
        </w:tc>
      </w:tr>
      <w:tr>
        <w:trPr>
          <w:trHeight w:val="133"/>
        </w:trPr>
        <w:tc>
          <w:tcPr>
            <w:tcW w:w="200" w:type="dxa"/>
            <w:vAlign w:val="bottom"/>
          </w:tcPr>
          <w:p>
            <w:pPr>
              <w:spacing w:after="0"/>
              <w:rPr>
                <w:sz w:val="11"/>
                <w:szCs w:val="11"/>
                <w:color w:val="auto"/>
              </w:rPr>
            </w:pPr>
          </w:p>
        </w:tc>
        <w:tc>
          <w:tcPr>
            <w:tcW w:w="3640" w:type="dxa"/>
            <w:vAlign w:val="bottom"/>
            <w:gridSpan w:val="57"/>
          </w:tcPr>
          <w:p>
            <w:pPr>
              <w:spacing w:after="0" w:line="133" w:lineRule="exact"/>
              <w:rPr>
                <w:rFonts w:ascii="Arial" w:cs="Arial" w:eastAsia="Arial" w:hAnsi="Arial"/>
                <w:sz w:val="14"/>
                <w:szCs w:val="14"/>
                <w:color w:val="231F20"/>
              </w:rPr>
            </w:pPr>
            <w:hyperlink w:anchor="page79">
              <w:r>
                <w:rPr>
                  <w:rFonts w:ascii="Arial" w:cs="Arial" w:eastAsia="Arial" w:hAnsi="Arial"/>
                  <w:sz w:val="14"/>
                  <w:szCs w:val="14"/>
                  <w:color w:val="231F20"/>
                </w:rPr>
                <w:t>Retirement Income Plan (the Retirement Plan)</w:t>
              </w:r>
            </w:hyperlink>
          </w:p>
        </w:tc>
        <w:tc>
          <w:tcPr>
            <w:tcW w:w="4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0" w:type="dxa"/>
            <w:vAlign w:val="bottom"/>
          </w:tcPr>
          <w:p>
            <w:pPr>
              <w:spacing w:after="0"/>
              <w:rPr>
                <w:sz w:val="11"/>
                <w:szCs w:val="11"/>
                <w:color w:val="auto"/>
              </w:rPr>
            </w:pPr>
          </w:p>
        </w:tc>
        <w:tc>
          <w:tcPr>
            <w:tcW w:w="2820" w:type="dxa"/>
            <w:vAlign w:val="bottom"/>
            <w:tcBorders>
              <w:top w:val="single" w:sz="8" w:color="231F20"/>
            </w:tcBorders>
            <w:gridSpan w:val="41"/>
          </w:tcPr>
          <w:p>
            <w:pPr>
              <w:spacing w:after="0" w:line="133" w:lineRule="exact"/>
              <w:rPr>
                <w:rFonts w:ascii="Arial" w:cs="Arial" w:eastAsia="Arial" w:hAnsi="Arial"/>
                <w:sz w:val="14"/>
                <w:szCs w:val="14"/>
                <w:color w:val="231F20"/>
              </w:rPr>
            </w:pPr>
            <w:hyperlink w:anchor="page79">
              <w:r>
                <w:rPr>
                  <w:rFonts w:ascii="Arial" w:cs="Arial" w:eastAsia="Arial" w:hAnsi="Arial"/>
                  <w:sz w:val="14"/>
                  <w:szCs w:val="14"/>
                  <w:color w:val="231F20"/>
                </w:rPr>
                <w:t>Non-Qualified Retirement Plan</w:t>
              </w:r>
            </w:hyperlink>
          </w:p>
        </w:tc>
        <w:tc>
          <w:tcPr>
            <w:tcW w:w="120" w:type="dxa"/>
            <w:vAlign w:val="bottom"/>
            <w:gridSpan w:val="2"/>
          </w:tcPr>
          <w:p>
            <w:pPr>
              <w:spacing w:after="0"/>
              <w:rPr>
                <w:sz w:val="11"/>
                <w:szCs w:val="11"/>
                <w:color w:val="auto"/>
              </w:rPr>
            </w:pPr>
          </w:p>
        </w:tc>
        <w:tc>
          <w:tcPr>
            <w:tcW w:w="40" w:type="dxa"/>
            <w:vAlign w:val="bottom"/>
          </w:tcPr>
          <w:p>
            <w:pPr>
              <w:spacing w:after="0"/>
              <w:rPr>
                <w:sz w:val="11"/>
                <w:szCs w:val="11"/>
                <w:color w:val="auto"/>
              </w:rPr>
            </w:pPr>
          </w:p>
        </w:tc>
        <w:tc>
          <w:tcPr>
            <w:tcW w:w="220" w:type="dxa"/>
            <w:vAlign w:val="bottom"/>
            <w:gridSpan w:val="8"/>
          </w:tcPr>
          <w:p>
            <w:pPr>
              <w:spacing w:after="0"/>
              <w:rPr>
                <w:sz w:val="11"/>
                <w:szCs w:val="11"/>
                <w:color w:val="auto"/>
              </w:rPr>
            </w:pPr>
          </w:p>
        </w:tc>
        <w:tc>
          <w:tcPr>
            <w:tcW w:w="120" w:type="dxa"/>
            <w:vAlign w:val="bottom"/>
            <w:gridSpan w:val="3"/>
          </w:tcPr>
          <w:p>
            <w:pPr>
              <w:spacing w:after="0"/>
              <w:rPr>
                <w:sz w:val="11"/>
                <w:szCs w:val="11"/>
                <w:color w:val="auto"/>
              </w:rPr>
            </w:pPr>
          </w:p>
        </w:tc>
        <w:tc>
          <w:tcPr>
            <w:tcW w:w="320" w:type="dxa"/>
            <w:vAlign w:val="bottom"/>
            <w:gridSpan w:val="2"/>
          </w:tcPr>
          <w:p>
            <w:pPr>
              <w:spacing w:after="0"/>
              <w:rPr>
                <w:sz w:val="11"/>
                <w:szCs w:val="11"/>
                <w:color w:val="auto"/>
              </w:rPr>
            </w:pPr>
          </w:p>
        </w:tc>
        <w:tc>
          <w:tcPr>
            <w:tcW w:w="420" w:type="dxa"/>
            <w:vAlign w:val="bottom"/>
          </w:tcPr>
          <w:p>
            <w:pPr>
              <w:jc w:val="right"/>
              <w:spacing w:after="0" w:line="133" w:lineRule="exact"/>
              <w:rPr>
                <w:sz w:val="20"/>
                <w:szCs w:val="20"/>
                <w:color w:val="auto"/>
              </w:rPr>
            </w:pPr>
            <w:r>
              <w:rPr>
                <w:rFonts w:ascii="Arial" w:cs="Arial" w:eastAsia="Arial" w:hAnsi="Arial"/>
                <w:sz w:val="14"/>
                <w:szCs w:val="14"/>
                <w:color w:val="231F20"/>
              </w:rPr>
              <w:t>76</w:t>
            </w:r>
          </w:p>
        </w:tc>
        <w:tc>
          <w:tcPr>
            <w:tcW w:w="0" w:type="dxa"/>
            <w:vAlign w:val="bottom"/>
          </w:tcPr>
          <w:p>
            <w:pPr>
              <w:spacing w:after="0"/>
              <w:rPr>
                <w:sz w:val="1"/>
                <w:szCs w:val="1"/>
                <w:color w:val="auto"/>
              </w:rPr>
            </w:pPr>
          </w:p>
        </w:tc>
      </w:tr>
      <w:tr>
        <w:trPr>
          <w:trHeight w:val="133"/>
        </w:trPr>
        <w:tc>
          <w:tcPr>
            <w:tcW w:w="200" w:type="dxa"/>
            <w:vAlign w:val="bottom"/>
          </w:tcPr>
          <w:p>
            <w:pPr>
              <w:spacing w:after="0"/>
              <w:rPr>
                <w:sz w:val="11"/>
                <w:szCs w:val="11"/>
                <w:color w:val="auto"/>
              </w:rPr>
            </w:pPr>
          </w:p>
        </w:tc>
        <w:tc>
          <w:tcPr>
            <w:tcW w:w="1860" w:type="dxa"/>
            <w:vAlign w:val="bottom"/>
            <w:tcBorders>
              <w:top w:val="single" w:sz="8" w:color="231F20"/>
            </w:tcBorders>
            <w:gridSpan w:val="19"/>
          </w:tcPr>
          <w:p>
            <w:pPr>
              <w:spacing w:after="0" w:line="133" w:lineRule="exact"/>
              <w:rPr>
                <w:rFonts w:ascii="Arial" w:cs="Arial" w:eastAsia="Arial" w:hAnsi="Arial"/>
                <w:sz w:val="14"/>
                <w:szCs w:val="14"/>
                <w:color w:val="231F20"/>
                <w:w w:val="97"/>
              </w:rPr>
            </w:pPr>
            <w:hyperlink w:anchor="page80">
              <w:r>
                <w:rPr>
                  <w:rFonts w:ascii="Arial" w:cs="Arial" w:eastAsia="Arial" w:hAnsi="Arial"/>
                  <w:sz w:val="14"/>
                  <w:szCs w:val="14"/>
                  <w:color w:val="231F20"/>
                  <w:w w:val="97"/>
                </w:rPr>
                <w:t>Actuarial Assumptions used to</w:t>
              </w:r>
            </w:hyperlink>
          </w:p>
        </w:tc>
        <w:tc>
          <w:tcPr>
            <w:tcW w:w="1780" w:type="dxa"/>
            <w:vAlign w:val="bottom"/>
            <w:gridSpan w:val="38"/>
          </w:tcPr>
          <w:p>
            <w:pPr>
              <w:ind w:left="20"/>
              <w:spacing w:after="0" w:line="133" w:lineRule="exact"/>
              <w:rPr>
                <w:rFonts w:ascii="Arial" w:cs="Arial" w:eastAsia="Arial" w:hAnsi="Arial"/>
                <w:sz w:val="14"/>
                <w:szCs w:val="14"/>
                <w:color w:val="231F20"/>
              </w:rPr>
            </w:pPr>
            <w:hyperlink w:anchor="page80">
              <w:r>
                <w:rPr>
                  <w:rFonts w:ascii="Arial" w:cs="Arial" w:eastAsia="Arial" w:hAnsi="Arial"/>
                  <w:sz w:val="14"/>
                  <w:szCs w:val="14"/>
                  <w:color w:val="231F20"/>
                </w:rPr>
                <w:t>Determine Values in the</w:t>
              </w:r>
            </w:hyperlink>
          </w:p>
        </w:tc>
        <w:tc>
          <w:tcPr>
            <w:tcW w:w="420" w:type="dxa"/>
            <w:vAlign w:val="bottom"/>
            <w:vMerge w:val="restart"/>
          </w:tcPr>
          <w:p>
            <w:pPr>
              <w:jc w:val="right"/>
              <w:spacing w:after="0"/>
              <w:rPr>
                <w:sz w:val="20"/>
                <w:szCs w:val="20"/>
                <w:color w:val="auto"/>
              </w:rPr>
            </w:pPr>
            <w:r>
              <w:rPr>
                <w:rFonts w:ascii="Arial" w:cs="Arial" w:eastAsia="Arial" w:hAnsi="Arial"/>
                <w:sz w:val="14"/>
                <w:szCs w:val="14"/>
                <w:color w:val="231F20"/>
              </w:rPr>
              <w:t>77</w:t>
            </w:r>
          </w:p>
        </w:tc>
        <w:tc>
          <w:tcPr>
            <w:tcW w:w="0" w:type="dxa"/>
            <w:vAlign w:val="bottom"/>
          </w:tcPr>
          <w:p>
            <w:pPr>
              <w:spacing w:after="0"/>
              <w:rPr>
                <w:sz w:val="1"/>
                <w:szCs w:val="1"/>
                <w:color w:val="auto"/>
              </w:rPr>
            </w:pPr>
          </w:p>
        </w:tc>
      </w:tr>
      <w:tr>
        <w:trPr>
          <w:trHeight w:val="133"/>
        </w:trPr>
        <w:tc>
          <w:tcPr>
            <w:tcW w:w="200" w:type="dxa"/>
            <w:vAlign w:val="bottom"/>
          </w:tcPr>
          <w:p>
            <w:pPr>
              <w:spacing w:after="0"/>
              <w:rPr>
                <w:sz w:val="11"/>
                <w:szCs w:val="11"/>
                <w:color w:val="auto"/>
              </w:rPr>
            </w:pPr>
          </w:p>
        </w:tc>
        <w:tc>
          <w:tcPr>
            <w:tcW w:w="2940" w:type="dxa"/>
            <w:vAlign w:val="bottom"/>
            <w:tcBorders>
              <w:top w:val="single" w:sz="8" w:color="231F20"/>
            </w:tcBorders>
            <w:gridSpan w:val="43"/>
          </w:tcPr>
          <w:p>
            <w:pPr>
              <w:spacing w:after="0" w:line="133" w:lineRule="exact"/>
              <w:rPr>
                <w:rFonts w:ascii="Arial" w:cs="Arial" w:eastAsia="Arial" w:hAnsi="Arial"/>
                <w:sz w:val="14"/>
                <w:szCs w:val="14"/>
                <w:color w:val="231F20"/>
              </w:rPr>
            </w:pPr>
            <w:hyperlink w:anchor="page80">
              <w:r>
                <w:rPr>
                  <w:rFonts w:ascii="Arial" w:cs="Arial" w:eastAsia="Arial" w:hAnsi="Arial"/>
                  <w:sz w:val="14"/>
                  <w:szCs w:val="14"/>
                  <w:color w:val="231F20"/>
                </w:rPr>
                <w:t>Pension Benefits Table</w:t>
              </w:r>
            </w:hyperlink>
          </w:p>
        </w:tc>
        <w:tc>
          <w:tcPr>
            <w:tcW w:w="40" w:type="dxa"/>
            <w:vAlign w:val="bottom"/>
          </w:tcPr>
          <w:p>
            <w:pPr>
              <w:spacing w:after="0"/>
              <w:rPr>
                <w:sz w:val="11"/>
                <w:szCs w:val="11"/>
                <w:color w:val="auto"/>
              </w:rPr>
            </w:pPr>
          </w:p>
        </w:tc>
        <w:tc>
          <w:tcPr>
            <w:tcW w:w="220" w:type="dxa"/>
            <w:vAlign w:val="bottom"/>
            <w:tcBorders>
              <w:top w:val="single" w:sz="8" w:color="231F20"/>
            </w:tcBorders>
            <w:gridSpan w:val="8"/>
          </w:tcPr>
          <w:p>
            <w:pPr>
              <w:spacing w:after="0"/>
              <w:rPr>
                <w:sz w:val="11"/>
                <w:szCs w:val="11"/>
                <w:color w:val="auto"/>
              </w:rPr>
            </w:pPr>
          </w:p>
        </w:tc>
        <w:tc>
          <w:tcPr>
            <w:tcW w:w="120" w:type="dxa"/>
            <w:vAlign w:val="bottom"/>
            <w:tcBorders>
              <w:top w:val="single" w:sz="8" w:color="231F20"/>
            </w:tcBorders>
            <w:gridSpan w:val="3"/>
          </w:tcPr>
          <w:p>
            <w:pPr>
              <w:spacing w:after="0"/>
              <w:rPr>
                <w:sz w:val="11"/>
                <w:szCs w:val="11"/>
                <w:color w:val="auto"/>
              </w:rPr>
            </w:pPr>
          </w:p>
        </w:tc>
        <w:tc>
          <w:tcPr>
            <w:tcW w:w="320" w:type="dxa"/>
            <w:vAlign w:val="bottom"/>
            <w:gridSpan w:val="2"/>
          </w:tcPr>
          <w:p>
            <w:pPr>
              <w:spacing w:after="0"/>
              <w:rPr>
                <w:sz w:val="11"/>
                <w:szCs w:val="11"/>
                <w:color w:val="auto"/>
              </w:rPr>
            </w:pPr>
          </w:p>
        </w:tc>
        <w:tc>
          <w:tcPr>
            <w:tcW w:w="4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0" w:type="dxa"/>
            <w:vAlign w:val="bottom"/>
          </w:tcPr>
          <w:p>
            <w:pPr>
              <w:spacing w:after="0" w:line="133" w:lineRule="exact"/>
              <w:rPr>
                <w:rFonts w:ascii="Arial" w:cs="Arial" w:eastAsia="Arial" w:hAnsi="Arial"/>
                <w:sz w:val="12"/>
                <w:szCs w:val="12"/>
                <w:b w:val="1"/>
                <w:bCs w:val="1"/>
                <w:color w:val="455986"/>
                <w:w w:val="76"/>
              </w:rPr>
            </w:pPr>
            <w:hyperlink w:anchor="page81">
              <w:r>
                <w:rPr>
                  <w:rFonts w:ascii="Arial" w:cs="Arial" w:eastAsia="Arial" w:hAnsi="Arial"/>
                  <w:sz w:val="12"/>
                  <w:szCs w:val="12"/>
                  <w:b w:val="1"/>
                  <w:bCs w:val="1"/>
                  <w:color w:val="455986"/>
                  <w:w w:val="76"/>
                </w:rPr>
                <w:t>Non</w:t>
              </w:r>
            </w:hyperlink>
          </w:p>
        </w:tc>
        <w:tc>
          <w:tcPr>
            <w:tcW w:w="1380" w:type="dxa"/>
            <w:vAlign w:val="bottom"/>
            <w:tcBorders>
              <w:top w:val="single" w:sz="8" w:color="231F20"/>
            </w:tcBorders>
            <w:gridSpan w:val="11"/>
          </w:tcPr>
          <w:p>
            <w:pPr>
              <w:ind w:left="60"/>
              <w:spacing w:after="0" w:line="133" w:lineRule="exact"/>
              <w:rPr>
                <w:rFonts w:ascii="Arial" w:cs="Arial" w:eastAsia="Arial" w:hAnsi="Arial"/>
                <w:sz w:val="14"/>
                <w:szCs w:val="14"/>
                <w:b w:val="1"/>
                <w:bCs w:val="1"/>
                <w:color w:val="455986"/>
              </w:rPr>
            </w:pPr>
            <w:hyperlink w:anchor="page81">
              <w:r>
                <w:rPr>
                  <w:rFonts w:ascii="Arial" w:cs="Arial" w:eastAsia="Arial" w:hAnsi="Arial"/>
                  <w:sz w:val="14"/>
                  <w:szCs w:val="14"/>
                  <w:b w:val="1"/>
                  <w:bCs w:val="1"/>
                  <w:color w:val="455986"/>
                </w:rPr>
                <w:t>-Qualified Deferred</w:t>
              </w:r>
            </w:hyperlink>
          </w:p>
        </w:tc>
        <w:tc>
          <w:tcPr>
            <w:tcW w:w="2260" w:type="dxa"/>
            <w:vAlign w:val="bottom"/>
            <w:gridSpan w:val="46"/>
          </w:tcPr>
          <w:p>
            <w:pPr>
              <w:jc w:val="center"/>
              <w:ind w:right="1360"/>
              <w:spacing w:after="0" w:line="133" w:lineRule="exact"/>
              <w:rPr>
                <w:rFonts w:ascii="Arial" w:cs="Arial" w:eastAsia="Arial" w:hAnsi="Arial"/>
                <w:sz w:val="14"/>
                <w:szCs w:val="14"/>
                <w:b w:val="1"/>
                <w:bCs w:val="1"/>
                <w:color w:val="455986"/>
                <w:w w:val="92"/>
              </w:rPr>
            </w:pPr>
            <w:hyperlink w:anchor="page81">
              <w:r>
                <w:rPr>
                  <w:rFonts w:ascii="Arial" w:cs="Arial" w:eastAsia="Arial" w:hAnsi="Arial"/>
                  <w:sz w:val="14"/>
                  <w:szCs w:val="14"/>
                  <w:b w:val="1"/>
                  <w:bCs w:val="1"/>
                  <w:color w:val="455986"/>
                  <w:w w:val="92"/>
                </w:rPr>
                <w:t>Compensation</w:t>
              </w:r>
            </w:hyperlink>
          </w:p>
        </w:tc>
        <w:tc>
          <w:tcPr>
            <w:tcW w:w="420" w:type="dxa"/>
            <w:vAlign w:val="bottom"/>
          </w:tcPr>
          <w:p>
            <w:pPr>
              <w:jc w:val="right"/>
              <w:spacing w:after="0" w:line="133" w:lineRule="exact"/>
              <w:rPr>
                <w:sz w:val="20"/>
                <w:szCs w:val="20"/>
                <w:color w:val="auto"/>
              </w:rPr>
            </w:pPr>
            <w:r>
              <w:rPr>
                <w:rFonts w:ascii="Arial" w:cs="Arial" w:eastAsia="Arial" w:hAnsi="Arial"/>
                <w:sz w:val="14"/>
                <w:szCs w:val="14"/>
                <w:b w:val="1"/>
                <w:bCs w:val="1"/>
                <w:color w:val="455986"/>
              </w:rPr>
              <w:t>78</w:t>
            </w:r>
          </w:p>
        </w:tc>
        <w:tc>
          <w:tcPr>
            <w:tcW w:w="0" w:type="dxa"/>
            <w:vAlign w:val="bottom"/>
          </w:tcPr>
          <w:p>
            <w:pPr>
              <w:spacing w:after="0"/>
              <w:rPr>
                <w:sz w:val="1"/>
                <w:szCs w:val="1"/>
                <w:color w:val="auto"/>
              </w:rPr>
            </w:pPr>
          </w:p>
        </w:tc>
      </w:tr>
      <w:tr>
        <w:trPr>
          <w:trHeight w:val="133"/>
        </w:trPr>
        <w:tc>
          <w:tcPr>
            <w:tcW w:w="2480" w:type="dxa"/>
            <w:vAlign w:val="bottom"/>
            <w:tcBorders>
              <w:top w:val="single" w:sz="8" w:color="455986"/>
            </w:tcBorders>
            <w:gridSpan w:val="30"/>
          </w:tcPr>
          <w:p>
            <w:pPr>
              <w:spacing w:after="0" w:line="133" w:lineRule="exact"/>
              <w:rPr>
                <w:rFonts w:ascii="Arial" w:cs="Arial" w:eastAsia="Arial" w:hAnsi="Arial"/>
                <w:sz w:val="14"/>
                <w:szCs w:val="14"/>
                <w:b w:val="1"/>
                <w:bCs w:val="1"/>
                <w:color w:val="455986"/>
                <w:w w:val="97"/>
              </w:rPr>
            </w:pPr>
            <w:hyperlink w:anchor="page81">
              <w:r>
                <w:rPr>
                  <w:rFonts w:ascii="Arial" w:cs="Arial" w:eastAsia="Arial" w:hAnsi="Arial"/>
                  <w:sz w:val="14"/>
                  <w:szCs w:val="14"/>
                  <w:b w:val="1"/>
                  <w:bCs w:val="1"/>
                  <w:color w:val="455986"/>
                  <w:w w:val="97"/>
                </w:rPr>
                <w:t>Potential Payments Upon Termination</w:t>
              </w:r>
            </w:hyperlink>
          </w:p>
        </w:tc>
        <w:tc>
          <w:tcPr>
            <w:tcW w:w="1360" w:type="dxa"/>
            <w:vAlign w:val="bottom"/>
            <w:gridSpan w:val="28"/>
          </w:tcPr>
          <w:p>
            <w:pPr>
              <w:jc w:val="center"/>
              <w:ind w:right="480"/>
              <w:spacing w:after="0" w:line="133" w:lineRule="exact"/>
              <w:rPr>
                <w:rFonts w:ascii="Arial" w:cs="Arial" w:eastAsia="Arial" w:hAnsi="Arial"/>
                <w:sz w:val="14"/>
                <w:szCs w:val="14"/>
                <w:b w:val="1"/>
                <w:bCs w:val="1"/>
                <w:color w:val="455986"/>
                <w:w w:val="96"/>
              </w:rPr>
            </w:pPr>
            <w:hyperlink w:anchor="page81">
              <w:r>
                <w:rPr>
                  <w:rFonts w:ascii="Arial" w:cs="Arial" w:eastAsia="Arial" w:hAnsi="Arial"/>
                  <w:sz w:val="14"/>
                  <w:szCs w:val="14"/>
                  <w:b w:val="1"/>
                  <w:bCs w:val="1"/>
                  <w:color w:val="455986"/>
                  <w:w w:val="96"/>
                </w:rPr>
                <w:t>or Change-In-</w:t>
              </w:r>
            </w:hyperlink>
          </w:p>
        </w:tc>
        <w:tc>
          <w:tcPr>
            <w:tcW w:w="420" w:type="dxa"/>
            <w:vAlign w:val="bottom"/>
            <w:vMerge w:val="restart"/>
          </w:tcPr>
          <w:p>
            <w:pPr>
              <w:jc w:val="right"/>
              <w:spacing w:after="0"/>
              <w:rPr>
                <w:sz w:val="20"/>
                <w:szCs w:val="20"/>
                <w:color w:val="auto"/>
              </w:rPr>
            </w:pPr>
            <w:r>
              <w:rPr>
                <w:rFonts w:ascii="Arial" w:cs="Arial" w:eastAsia="Arial" w:hAnsi="Arial"/>
                <w:sz w:val="14"/>
                <w:szCs w:val="14"/>
                <w:b w:val="1"/>
                <w:bCs w:val="1"/>
                <w:color w:val="455986"/>
              </w:rPr>
              <w:t>78</w:t>
            </w:r>
          </w:p>
        </w:tc>
        <w:tc>
          <w:tcPr>
            <w:tcW w:w="0" w:type="dxa"/>
            <w:vAlign w:val="bottom"/>
          </w:tcPr>
          <w:p>
            <w:pPr>
              <w:spacing w:after="0"/>
              <w:rPr>
                <w:sz w:val="1"/>
                <w:szCs w:val="1"/>
                <w:color w:val="auto"/>
              </w:rPr>
            </w:pPr>
          </w:p>
        </w:tc>
      </w:tr>
      <w:tr>
        <w:trPr>
          <w:trHeight w:val="133"/>
        </w:trPr>
        <w:tc>
          <w:tcPr>
            <w:tcW w:w="3400" w:type="dxa"/>
            <w:vAlign w:val="bottom"/>
            <w:tcBorders>
              <w:top w:val="single" w:sz="8" w:color="455986"/>
            </w:tcBorders>
            <w:gridSpan w:val="53"/>
          </w:tcPr>
          <w:p>
            <w:pPr>
              <w:spacing w:after="0" w:line="133" w:lineRule="exact"/>
              <w:rPr>
                <w:rFonts w:ascii="Arial" w:cs="Arial" w:eastAsia="Arial" w:hAnsi="Arial"/>
                <w:sz w:val="14"/>
                <w:szCs w:val="14"/>
                <w:b w:val="1"/>
                <w:bCs w:val="1"/>
                <w:color w:val="455986"/>
              </w:rPr>
            </w:pPr>
            <w:hyperlink w:anchor="page81">
              <w:r>
                <w:rPr>
                  <w:rFonts w:ascii="Arial" w:cs="Arial" w:eastAsia="Arial" w:hAnsi="Arial"/>
                  <w:sz w:val="14"/>
                  <w:szCs w:val="14"/>
                  <w:b w:val="1"/>
                  <w:bCs w:val="1"/>
                  <w:color w:val="455986"/>
                </w:rPr>
                <w:t>Control</w:t>
              </w:r>
            </w:hyperlink>
          </w:p>
        </w:tc>
        <w:tc>
          <w:tcPr>
            <w:tcW w:w="440" w:type="dxa"/>
            <w:vAlign w:val="bottom"/>
            <w:gridSpan w:val="5"/>
          </w:tcPr>
          <w:p>
            <w:pPr>
              <w:spacing w:after="0"/>
              <w:rPr>
                <w:sz w:val="11"/>
                <w:szCs w:val="11"/>
                <w:color w:val="auto"/>
              </w:rPr>
            </w:pPr>
          </w:p>
        </w:tc>
        <w:tc>
          <w:tcPr>
            <w:tcW w:w="4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4260" w:type="dxa"/>
            <w:vAlign w:val="bottom"/>
            <w:gridSpan w:val="59"/>
            <w:shd w:val="clear" w:color="auto" w:fill="45598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1523365</wp:posOffset>
            </wp:positionH>
            <wp:positionV relativeFrom="paragraph">
              <wp:posOffset>-4578350</wp:posOffset>
            </wp:positionV>
            <wp:extent cx="24130"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24130" cy="8255"/>
                    </a:xfrm>
                    <a:prstGeom prst="rect">
                      <a:avLst/>
                    </a:prstGeom>
                    <a:noFill/>
                  </pic:spPr>
                </pic:pic>
              </a:graphicData>
            </a:graphic>
          </wp:anchor>
        </w:drawing>
        <w:drawing>
          <wp:anchor simplePos="0" relativeHeight="251657728" behindDoc="1" locked="0" layoutInCell="0" allowOverlap="1">
            <wp:simplePos x="0" y="0"/>
            <wp:positionH relativeFrom="column">
              <wp:posOffset>1724660</wp:posOffset>
            </wp:positionH>
            <wp:positionV relativeFrom="paragraph">
              <wp:posOffset>-3994785</wp:posOffset>
            </wp:positionV>
            <wp:extent cx="24130"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24130" cy="8255"/>
                    </a:xfrm>
                    <a:prstGeom prst="rect">
                      <a:avLst/>
                    </a:prstGeom>
                    <a:noFill/>
                  </pic:spPr>
                </pic:pic>
              </a:graphicData>
            </a:graphic>
          </wp:anchor>
        </w:drawing>
        <w:drawing>
          <wp:anchor simplePos="0" relativeHeight="251657728" behindDoc="1" locked="0" layoutInCell="0" allowOverlap="1">
            <wp:simplePos x="0" y="0"/>
            <wp:positionH relativeFrom="column">
              <wp:posOffset>1557020</wp:posOffset>
            </wp:positionH>
            <wp:positionV relativeFrom="paragraph">
              <wp:posOffset>-3021965</wp:posOffset>
            </wp:positionV>
            <wp:extent cx="24130"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24130" cy="8255"/>
                    </a:xfrm>
                    <a:prstGeom prst="rect">
                      <a:avLst/>
                    </a:prstGeom>
                    <a:noFill/>
                  </pic:spPr>
                </pic:pic>
              </a:graphicData>
            </a:graphic>
          </wp:anchor>
        </w:drawing>
        <w:drawing>
          <wp:anchor simplePos="0" relativeHeight="251657728" behindDoc="1" locked="0" layoutInCell="0" allowOverlap="1">
            <wp:simplePos x="0" y="0"/>
            <wp:positionH relativeFrom="column">
              <wp:posOffset>1996440</wp:posOffset>
            </wp:positionH>
            <wp:positionV relativeFrom="paragraph">
              <wp:posOffset>-396240</wp:posOffset>
            </wp:positionV>
            <wp:extent cx="24130"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2413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74" w:lineRule="exact"/>
        <w:rPr>
          <w:sz w:val="20"/>
          <w:szCs w:val="20"/>
          <w:color w:val="auto"/>
        </w:rPr>
      </w:pPr>
    </w:p>
    <w:p>
      <w:pPr>
        <w:spacing w:after="0"/>
        <w:rPr>
          <w:sz w:val="20"/>
          <w:szCs w:val="20"/>
          <w:color w:val="auto"/>
        </w:rPr>
      </w:pPr>
      <w:r>
        <w:rPr>
          <w:rFonts w:ascii="Arial" w:cs="Arial" w:eastAsia="Arial" w:hAnsi="Arial"/>
          <w:sz w:val="43"/>
          <w:szCs w:val="43"/>
          <w:b w:val="1"/>
          <w:bCs w:val="1"/>
          <w:color w:val="455986"/>
        </w:rPr>
        <w:t>Compensation</w:t>
      </w:r>
    </w:p>
    <w:p>
      <w:pPr>
        <w:spacing w:after="0" w:line="41" w:lineRule="exact"/>
        <w:rPr>
          <w:sz w:val="20"/>
          <w:szCs w:val="20"/>
          <w:color w:val="auto"/>
        </w:rPr>
      </w:pPr>
    </w:p>
    <w:p>
      <w:pPr>
        <w:spacing w:after="0"/>
        <w:rPr>
          <w:sz w:val="20"/>
          <w:szCs w:val="20"/>
          <w:color w:val="auto"/>
        </w:rPr>
      </w:pPr>
      <w:r>
        <w:rPr>
          <w:rFonts w:ascii="Arial" w:cs="Arial" w:eastAsia="Arial" w:hAnsi="Arial"/>
          <w:sz w:val="43"/>
          <w:szCs w:val="43"/>
          <w:b w:val="1"/>
          <w:bCs w:val="1"/>
          <w:color w:val="455986"/>
        </w:rPr>
        <w:t>Discussion and</w:t>
      </w:r>
    </w:p>
    <w:p>
      <w:pPr>
        <w:spacing w:after="0"/>
        <w:rPr>
          <w:sz w:val="20"/>
          <w:szCs w:val="20"/>
          <w:color w:val="auto"/>
        </w:rPr>
      </w:pPr>
      <w:r>
        <w:rPr>
          <w:rFonts w:ascii="Arial" w:cs="Arial" w:eastAsia="Arial" w:hAnsi="Arial"/>
          <w:sz w:val="43"/>
          <w:szCs w:val="43"/>
          <w:b w:val="1"/>
          <w:bCs w:val="1"/>
          <w:color w:val="455986"/>
        </w:rPr>
        <w:t>Analysis</w:t>
      </w:r>
    </w:p>
    <w:p>
      <w:pPr>
        <w:spacing w:after="0" w:line="190" w:lineRule="exact"/>
        <w:rPr>
          <w:sz w:val="20"/>
          <w:szCs w:val="20"/>
          <w:color w:val="auto"/>
        </w:rPr>
      </w:pPr>
    </w:p>
    <w:p>
      <w:pPr>
        <w:jc w:val="both"/>
        <w:ind w:right="180"/>
        <w:spacing w:after="0" w:line="264" w:lineRule="auto"/>
        <w:rPr>
          <w:sz w:val="20"/>
          <w:szCs w:val="20"/>
          <w:color w:val="auto"/>
        </w:rPr>
      </w:pPr>
      <w:r>
        <w:rPr>
          <w:rFonts w:ascii="Arial" w:cs="Arial" w:eastAsia="Arial" w:hAnsi="Arial"/>
          <w:sz w:val="20"/>
          <w:szCs w:val="20"/>
          <w:color w:val="auto"/>
        </w:rPr>
        <w:t>In this Compensation Discussion and Analysis (“CD&amp;A”), we address our compensation philosophy and program, and compensation paid or earned by the following executive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121920</wp:posOffset>
            </wp:positionV>
            <wp:extent cx="2917825" cy="196913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2917825" cy="19691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Arial" w:cs="Arial" w:eastAsia="Arial" w:hAnsi="Arial"/>
          <w:sz w:val="15"/>
          <w:szCs w:val="15"/>
          <w:color w:val="231F20"/>
        </w:rPr>
        <w:t>We refer to these executive officers as our “named executive officers” or “NEOs”.</w:t>
      </w:r>
    </w:p>
    <w:p>
      <w:pPr>
        <w:spacing w:after="0" w:line="198" w:lineRule="exact"/>
        <w:rPr>
          <w:sz w:val="20"/>
          <w:szCs w:val="20"/>
          <w:color w:val="auto"/>
        </w:rPr>
      </w:pPr>
    </w:p>
    <w:p>
      <w:pPr>
        <w:spacing w:after="0"/>
        <w:rPr>
          <w:sz w:val="20"/>
          <w:szCs w:val="20"/>
          <w:color w:val="auto"/>
        </w:rPr>
      </w:pPr>
      <w:r>
        <w:rPr>
          <w:rFonts w:ascii="Arial" w:cs="Arial" w:eastAsia="Arial" w:hAnsi="Arial"/>
          <w:sz w:val="15"/>
          <w:szCs w:val="15"/>
          <w:color w:val="231F20"/>
        </w:rPr>
        <w:t>As used in this CD&amp;A,</w:t>
      </w:r>
    </w:p>
    <w:p>
      <w:pPr>
        <w:spacing w:after="0" w:line="198" w:lineRule="exact"/>
        <w:rPr>
          <w:sz w:val="20"/>
          <w:szCs w:val="20"/>
          <w:color w:val="auto"/>
        </w:rPr>
      </w:pPr>
    </w:p>
    <w:p>
      <w:pPr>
        <w:ind w:left="200" w:right="20" w:hanging="195"/>
        <w:spacing w:after="0" w:line="264" w:lineRule="auto"/>
        <w:tabs>
          <w:tab w:leader="none" w:pos="200" w:val="left"/>
        </w:tabs>
        <w:numPr>
          <w:ilvl w:val="0"/>
          <w:numId w:val="85"/>
        </w:numPr>
        <w:rPr>
          <w:rFonts w:ascii="Times New Roman" w:cs="Times New Roman" w:eastAsia="Times New Roman" w:hAnsi="Times New Roman"/>
          <w:sz w:val="17"/>
          <w:szCs w:val="17"/>
          <w:color w:val="4395D4"/>
        </w:rPr>
      </w:pPr>
      <w:r>
        <w:rPr>
          <w:rFonts w:ascii="Arial" w:cs="Arial" w:eastAsia="Arial" w:hAnsi="Arial"/>
          <w:sz w:val="15"/>
          <w:szCs w:val="15"/>
          <w:color w:val="231F20"/>
        </w:rPr>
        <w:t>“Total cash compensation” is referred to as the total of base salary and annual cash incentive compensation; and</w:t>
      </w:r>
    </w:p>
    <w:p>
      <w:pPr>
        <w:spacing w:after="0" w:line="41" w:lineRule="exact"/>
        <w:rPr>
          <w:rFonts w:ascii="Times New Roman" w:cs="Times New Roman" w:eastAsia="Times New Roman" w:hAnsi="Times New Roman"/>
          <w:sz w:val="17"/>
          <w:szCs w:val="17"/>
          <w:color w:val="4395D4"/>
        </w:rPr>
      </w:pPr>
    </w:p>
    <w:p>
      <w:pPr>
        <w:ind w:left="200" w:right="240" w:hanging="195"/>
        <w:spacing w:after="0" w:line="264" w:lineRule="auto"/>
        <w:tabs>
          <w:tab w:leader="none" w:pos="200" w:val="left"/>
        </w:tabs>
        <w:numPr>
          <w:ilvl w:val="0"/>
          <w:numId w:val="85"/>
        </w:numPr>
        <w:rPr>
          <w:rFonts w:ascii="Times New Roman" w:cs="Times New Roman" w:eastAsia="Times New Roman" w:hAnsi="Times New Roman"/>
          <w:sz w:val="17"/>
          <w:szCs w:val="17"/>
          <w:color w:val="4395D4"/>
        </w:rPr>
      </w:pPr>
      <w:r>
        <w:rPr>
          <w:rFonts w:ascii="Arial" w:cs="Arial" w:eastAsia="Arial" w:hAnsi="Arial"/>
          <w:sz w:val="15"/>
          <w:szCs w:val="15"/>
          <w:color w:val="231F20"/>
        </w:rPr>
        <w:t>“Total direct compensation” is referred to as the total of base salary, annual cash incentive compensation and equity incentive compensation</w:t>
      </w:r>
    </w:p>
    <w:p>
      <w:pPr>
        <w:spacing w:after="0" w:line="131" w:lineRule="exact"/>
        <w:rPr>
          <w:sz w:val="20"/>
          <w:szCs w:val="20"/>
          <w:color w:val="auto"/>
        </w:rPr>
      </w:pPr>
    </w:p>
    <w:p>
      <w:pPr>
        <w:ind w:right="200"/>
        <w:spacing w:after="0" w:line="272" w:lineRule="auto"/>
        <w:rPr>
          <w:sz w:val="20"/>
          <w:szCs w:val="20"/>
          <w:color w:val="auto"/>
        </w:rPr>
      </w:pPr>
      <w:r>
        <w:rPr>
          <w:rFonts w:ascii="Arial" w:cs="Arial" w:eastAsia="Arial" w:hAnsi="Arial"/>
          <w:sz w:val="15"/>
          <w:szCs w:val="15"/>
          <w:color w:val="231F20"/>
        </w:rPr>
        <w:t>The purpose of the CD&amp;A is to explain the elements of compensation; why the Executive Compensation Committee (the “Compensation Committee”) selects these elements; and how the Compensation Committee determines the relative size of each element of compensation.</w:t>
      </w:r>
    </w:p>
    <w:p>
      <w:pPr>
        <w:spacing w:after="0" w:line="141" w:lineRule="exact"/>
        <w:rPr>
          <w:sz w:val="20"/>
          <w:szCs w:val="20"/>
          <w:color w:val="auto"/>
        </w:rPr>
      </w:pPr>
    </w:p>
    <w:p>
      <w:pPr>
        <w:ind w:right="400"/>
        <w:spacing w:after="0" w:line="296" w:lineRule="auto"/>
        <w:rPr>
          <w:sz w:val="20"/>
          <w:szCs w:val="20"/>
          <w:color w:val="auto"/>
        </w:rPr>
      </w:pPr>
      <w:r>
        <w:rPr>
          <w:rFonts w:ascii="Arial" w:cs="Arial" w:eastAsia="Arial" w:hAnsi="Arial"/>
          <w:sz w:val="15"/>
          <w:szCs w:val="15"/>
          <w:color w:val="231F20"/>
        </w:rPr>
        <w:t>Compensation decisions for Messrs. Schuller, Fox, Rhodes, and Luning were made by the Compensation Committee.</w:t>
      </w:r>
    </w:p>
    <w:p>
      <w:pPr>
        <w:spacing w:after="0" w:line="123" w:lineRule="exact"/>
        <w:rPr>
          <w:sz w:val="20"/>
          <w:szCs w:val="20"/>
          <w:color w:val="auto"/>
        </w:rPr>
      </w:pPr>
    </w:p>
    <w:p>
      <w:pPr>
        <w:ind w:right="80"/>
        <w:spacing w:after="0" w:line="296" w:lineRule="auto"/>
        <w:rPr>
          <w:sz w:val="20"/>
          <w:szCs w:val="20"/>
          <w:color w:val="auto"/>
        </w:rPr>
      </w:pPr>
      <w:r>
        <w:rPr>
          <w:rFonts w:ascii="Arial" w:cs="Arial" w:eastAsia="Arial" w:hAnsi="Arial"/>
          <w:sz w:val="15"/>
          <w:szCs w:val="15"/>
          <w:color w:val="231F20"/>
        </w:rPr>
        <w:t>Compensation decisions for Mr. Franklin were made by the independent members of our Board of Directors based on the recommendation of the Compensation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-2995295</wp:posOffset>
            </wp:positionH>
            <wp:positionV relativeFrom="paragraph">
              <wp:posOffset>90170</wp:posOffset>
            </wp:positionV>
            <wp:extent cx="7139940"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39940" cy="8255"/>
                    </a:xfrm>
                    <a:prstGeom prst="rect">
                      <a:avLst/>
                    </a:prstGeom>
                    <a:noFill/>
                  </pic:spPr>
                </pic:pic>
              </a:graphicData>
            </a:graphic>
          </wp:anchor>
        </w:drawing>
      </w:r>
    </w:p>
    <w:p>
      <w:pPr>
        <w:spacing w:after="0" w:line="187" w:lineRule="exact"/>
        <w:rPr>
          <w:sz w:val="20"/>
          <w:szCs w:val="20"/>
          <w:color w:val="auto"/>
        </w:rPr>
      </w:pPr>
    </w:p>
    <w:p>
      <w:pPr>
        <w:sectPr>
          <w:pgSz w:w="11900" w:h="16838" w:orient="portrait"/>
          <w:cols w:equalWidth="0" w:num="2">
            <w:col w:w="4260" w:space="460"/>
            <w:col w:w="6520"/>
          </w:cols>
          <w:pgMar w:left="320" w:top="585" w:right="339" w:bottom="1440" w:gutter="0" w:footer="0" w:header="0"/>
          <w:type w:val="continuous"/>
        </w:sectPr>
      </w:pPr>
    </w:p>
    <w:p>
      <w:pPr>
        <w:ind w:left="7940"/>
        <w:spacing w:after="0"/>
        <w:tabs>
          <w:tab w:leader="none" w:pos="11060" w:val="left"/>
        </w:tabs>
        <w:rPr>
          <w:sz w:val="20"/>
          <w:szCs w:val="20"/>
          <w:color w:val="auto"/>
        </w:rPr>
      </w:pPr>
      <w:r>
        <w:rPr>
          <w:rFonts w:ascii="Arial" w:cs="Arial" w:eastAsia="Arial" w:hAnsi="Arial"/>
          <w:sz w:val="12"/>
          <w:szCs w:val="12"/>
          <w:color w:val="4395D4"/>
        </w:rPr>
        <w:t xml:space="preserve">ESSENTIAL UTILITIES, INC. </w:t>
      </w:r>
      <w:r>
        <w:rPr>
          <w:rFonts w:ascii="Arial" w:cs="Arial" w:eastAsia="Arial" w:hAnsi="Arial"/>
          <w:sz w:val="12"/>
          <w:szCs w:val="12"/>
          <w:color w:val="455986"/>
        </w:rPr>
        <w:t>2021 PROXY STATEMENT</w:t>
      </w:r>
      <w:r>
        <w:rPr>
          <w:sz w:val="20"/>
          <w:szCs w:val="20"/>
          <w:color w:val="auto"/>
        </w:rPr>
        <w:tab/>
      </w:r>
      <w:r>
        <w:rPr>
          <w:rFonts w:ascii="Arial" w:cs="Arial" w:eastAsia="Arial" w:hAnsi="Arial"/>
          <w:sz w:val="14"/>
          <w:szCs w:val="14"/>
          <w:color w:val="455986"/>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339090</wp:posOffset>
            </wp:positionV>
            <wp:extent cx="7139940" cy="2413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39940" cy="24130"/>
                    </a:xfrm>
                    <a:prstGeom prst="rect">
                      <a:avLst/>
                    </a:prstGeom>
                    <a:noFill/>
                  </pic:spPr>
                </pic:pic>
              </a:graphicData>
            </a:graphic>
          </wp:anchor>
        </w:drawing>
      </w:r>
    </w:p>
    <w:p>
      <w:pPr>
        <w:sectPr>
          <w:pgSz w:w="11900" w:h="16838" w:orient="portrait"/>
          <w:cols w:equalWidth="0" w:num="1">
            <w:col w:w="11240"/>
          </w:cols>
          <w:pgMar w:left="320" w:top="585" w:right="339" w:bottom="1440" w:gutter="0" w:footer="0" w:header="0"/>
          <w:type w:val="continuous"/>
        </w:sectPr>
      </w:pPr>
    </w:p>
    <w:bookmarkStart w:id="44" w:name="page45"/>
    <w:bookmarkEnd w:id="44"/>
    <w:p>
      <w:pPr>
        <w:spacing w:after="0"/>
        <w:rPr>
          <w:sz w:val="20"/>
          <w:szCs w:val="20"/>
          <w:color w:val="auto"/>
        </w:rPr>
      </w:pPr>
      <w:r>
        <w:rPr>
          <w:rFonts w:ascii="Arial" w:cs="Arial" w:eastAsia="Arial" w:hAnsi="Arial"/>
          <w:sz w:val="14"/>
          <w:szCs w:val="14"/>
          <w:b w:val="1"/>
          <w:bCs w:val="1"/>
          <w:color w:val="455986"/>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27940</wp:posOffset>
            </wp:positionV>
            <wp:extent cx="7139940"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39940" cy="8255"/>
                    </a:xfrm>
                    <a:prstGeom prst="rect">
                      <a:avLst/>
                    </a:prstGeom>
                    <a:noFill/>
                  </pic:spPr>
                </pic:pic>
              </a:graphicData>
            </a:graphic>
          </wp:anchor>
        </w:drawing>
      </w:r>
    </w:p>
    <w:p>
      <w:pPr>
        <w:spacing w:after="0" w:line="76" w:lineRule="exact"/>
        <w:rPr>
          <w:sz w:val="20"/>
          <w:szCs w:val="20"/>
          <w:color w:val="auto"/>
        </w:rPr>
      </w:pPr>
    </w:p>
    <w:p>
      <w:pPr>
        <w:spacing w:after="0"/>
        <w:rPr>
          <w:sz w:val="20"/>
          <w:szCs w:val="20"/>
          <w:color w:val="auto"/>
        </w:rPr>
      </w:pPr>
      <w:r>
        <w:rPr>
          <w:rFonts w:ascii="Arial" w:cs="Arial" w:eastAsia="Arial" w:hAnsi="Arial"/>
          <w:sz w:val="14"/>
          <w:szCs w:val="14"/>
          <w:color w:val="231F20"/>
        </w:rPr>
        <w:t>Executive Summary</w:t>
      </w:r>
    </w:p>
    <w:p>
      <w:pPr>
        <w:spacing w:after="0" w:line="125" w:lineRule="exact"/>
        <w:rPr>
          <w:sz w:val="20"/>
          <w:szCs w:val="20"/>
          <w:color w:val="auto"/>
        </w:rPr>
      </w:pPr>
    </w:p>
    <w:p>
      <w:pPr>
        <w:spacing w:after="0"/>
        <w:rPr>
          <w:sz w:val="20"/>
          <w:szCs w:val="20"/>
          <w:color w:val="auto"/>
        </w:rPr>
      </w:pPr>
      <w:r>
        <w:rPr>
          <w:rFonts w:ascii="Arial" w:cs="Arial" w:eastAsia="Arial" w:hAnsi="Arial"/>
          <w:sz w:val="49"/>
          <w:szCs w:val="49"/>
          <w:b w:val="1"/>
          <w:bCs w:val="1"/>
          <w:color w:val="4395D4"/>
        </w:rPr>
        <w:t>Executive Summary</w:t>
      </w:r>
    </w:p>
    <w:p>
      <w:pPr>
        <w:spacing w:after="0" w:line="189" w:lineRule="exact"/>
        <w:rPr>
          <w:sz w:val="20"/>
          <w:szCs w:val="20"/>
          <w:color w:val="auto"/>
        </w:rPr>
      </w:pPr>
    </w:p>
    <w:p>
      <w:pPr>
        <w:spacing w:after="0"/>
        <w:rPr>
          <w:sz w:val="20"/>
          <w:szCs w:val="20"/>
          <w:color w:val="auto"/>
        </w:rPr>
      </w:pPr>
      <w:r>
        <w:rPr>
          <w:rFonts w:ascii="Arial" w:cs="Arial" w:eastAsia="Arial" w:hAnsi="Arial"/>
          <w:sz w:val="24"/>
          <w:szCs w:val="24"/>
          <w:b w:val="1"/>
          <w:bCs w:val="1"/>
          <w:color w:val="455986"/>
        </w:rPr>
        <w:t>Introduction</w:t>
      </w:r>
    </w:p>
    <w:p>
      <w:pPr>
        <w:spacing w:after="0" w:line="169" w:lineRule="exact"/>
        <w:rPr>
          <w:sz w:val="20"/>
          <w:szCs w:val="20"/>
          <w:color w:val="auto"/>
        </w:rPr>
      </w:pPr>
    </w:p>
    <w:p>
      <w:pPr>
        <w:ind w:right="40"/>
        <w:spacing w:after="0"/>
        <w:rPr>
          <w:sz w:val="20"/>
          <w:szCs w:val="20"/>
          <w:color w:val="auto"/>
        </w:rPr>
      </w:pPr>
      <w:r>
        <w:rPr>
          <w:rFonts w:ascii="Arial" w:cs="Arial" w:eastAsia="Arial" w:hAnsi="Arial"/>
          <w:sz w:val="14"/>
          <w:szCs w:val="14"/>
          <w:color w:val="4395D4"/>
        </w:rPr>
        <w:t>Essential Utilities, Inc.’s mission is to improve quality of life and economic prosperity by safely and reliably delivering life’s most essential resources. We are uniquely positioned to play an important role in solving today’s water and natural gas infrastructure challenges by renewing and improving infrastructure through thoughtful capital investment, operational excellence, environmental stewardship and rigorous safety standards. Through the work of more than 3,000 employees across ten states, we help strengthen communities, improve service and enhance economic development, enabling people to live better lives. This vital work empowers us to grow as an organization and as individuals. We believe that, together, we will make a difference for generations to come.</w:t>
      </w:r>
    </w:p>
    <w:p>
      <w:pPr>
        <w:spacing w:after="0" w:line="114" w:lineRule="exact"/>
        <w:rPr>
          <w:sz w:val="20"/>
          <w:szCs w:val="20"/>
          <w:color w:val="auto"/>
        </w:rPr>
      </w:pPr>
    </w:p>
    <w:p>
      <w:pPr>
        <w:jc w:val="both"/>
        <w:ind w:right="120"/>
        <w:spacing w:after="0" w:line="245" w:lineRule="auto"/>
        <w:rPr>
          <w:sz w:val="20"/>
          <w:szCs w:val="20"/>
          <w:color w:val="auto"/>
        </w:rPr>
      </w:pPr>
      <w:r>
        <w:rPr>
          <w:rFonts w:ascii="Arial" w:cs="Arial" w:eastAsia="Arial" w:hAnsi="Arial"/>
          <w:sz w:val="14"/>
          <w:szCs w:val="14"/>
          <w:color w:val="231F20"/>
        </w:rPr>
        <w:t>Our executive compensation program is designed to promote this mission and strategy. Our compensation program does so by providing market-based pay and by rewarding the achievement of our strategic objectives. The principles and components of our compensation strategy are regularly reviewed by our Executive Compensation Committee, our Chief Executive Officer, and the Executive Compensation Committee’s independent compensation consultant, Pay Governance, to ensure that they meet the objectives of the program, the Company, and its stakeholders.</w:t>
      </w:r>
    </w:p>
    <w:p>
      <w:pPr>
        <w:spacing w:after="0" w:line="95" w:lineRule="exact"/>
        <w:rPr>
          <w:sz w:val="20"/>
          <w:szCs w:val="20"/>
          <w:color w:val="auto"/>
        </w:rPr>
      </w:pPr>
    </w:p>
    <w:p>
      <w:pPr>
        <w:spacing w:after="0"/>
        <w:rPr>
          <w:sz w:val="20"/>
          <w:szCs w:val="20"/>
          <w:color w:val="auto"/>
        </w:rPr>
      </w:pPr>
      <w:r>
        <w:rPr>
          <w:rFonts w:ascii="Arial" w:cs="Arial" w:eastAsia="Arial" w:hAnsi="Arial"/>
          <w:sz w:val="20"/>
          <w:szCs w:val="20"/>
          <w:b w:val="1"/>
          <w:bCs w:val="1"/>
          <w:color w:val="231F20"/>
        </w:rPr>
        <w:t>Navigating Disruption</w:t>
      </w:r>
    </w:p>
    <w:p>
      <w:pPr>
        <w:spacing w:after="0" w:line="166" w:lineRule="exact"/>
        <w:rPr>
          <w:sz w:val="20"/>
          <w:szCs w:val="20"/>
          <w:color w:val="auto"/>
        </w:rPr>
      </w:pPr>
    </w:p>
    <w:p>
      <w:pPr>
        <w:spacing w:after="0" w:line="245" w:lineRule="auto"/>
        <w:rPr>
          <w:sz w:val="20"/>
          <w:szCs w:val="20"/>
          <w:color w:val="auto"/>
        </w:rPr>
      </w:pPr>
      <w:r>
        <w:rPr>
          <w:rFonts w:ascii="Arial" w:cs="Arial" w:eastAsia="Arial" w:hAnsi="Arial"/>
          <w:sz w:val="14"/>
          <w:szCs w:val="14"/>
          <w:color w:val="231F20"/>
        </w:rPr>
        <w:t>2020 began with the opportunity to build on the momentum of a strong 2019 performance. It ended in the turmoil of a global pandemic and economic crisis, and widespread civil unrest in the United States. Despite these unexpected and unprecedented events, Mr. Franklin and Essential’s executive team led the Company to another year of strong financial performance, while successfully adapting to quickly changing circumstances and demonstrating the resilience needed to ensure our customers have access to their natural resources.</w:t>
      </w:r>
    </w:p>
    <w:p>
      <w:pPr>
        <w:spacing w:after="0" w:line="108" w:lineRule="exact"/>
        <w:rPr>
          <w:sz w:val="20"/>
          <w:szCs w:val="20"/>
          <w:color w:val="auto"/>
        </w:rPr>
      </w:pPr>
    </w:p>
    <w:p>
      <w:pPr>
        <w:ind w:right="220"/>
        <w:spacing w:after="0"/>
        <w:rPr>
          <w:sz w:val="20"/>
          <w:szCs w:val="20"/>
          <w:color w:val="auto"/>
        </w:rPr>
      </w:pPr>
      <w:r>
        <w:rPr>
          <w:rFonts w:ascii="Arial" w:cs="Arial" w:eastAsia="Arial" w:hAnsi="Arial"/>
          <w:sz w:val="14"/>
          <w:szCs w:val="14"/>
          <w:color w:val="231F20"/>
        </w:rPr>
        <w:t>Responding to the pandemic involved both maintaining the reliability and safety of our own operations and accelerating our digital transformations. We took action early to enable remote work and adopt other measures to protect the health and well-being of our workforce and ensure the continuity of our operations. The safety of our front-line employees was and is paramount to ensure our customers reliably receive clean water and gas to their homes and businesses. This was particularly acute in 2020 and now, with the large number of the general workforce suddenly pivoting from working in offices to working in their homes. Through the pandemic, we prioritized the health and well-being of our employees.</w:t>
      </w:r>
    </w:p>
    <w:p>
      <w:pPr>
        <w:spacing w:after="0" w:line="110" w:lineRule="exact"/>
        <w:rPr>
          <w:sz w:val="20"/>
          <w:szCs w:val="20"/>
          <w:color w:val="auto"/>
        </w:rPr>
      </w:pPr>
    </w:p>
    <w:p>
      <w:pPr>
        <w:spacing w:after="0"/>
        <w:rPr>
          <w:sz w:val="20"/>
          <w:szCs w:val="20"/>
          <w:color w:val="auto"/>
        </w:rPr>
      </w:pPr>
      <w:r>
        <w:rPr>
          <w:rFonts w:ascii="Arial" w:cs="Arial" w:eastAsia="Arial" w:hAnsi="Arial"/>
          <w:sz w:val="17"/>
          <w:szCs w:val="17"/>
          <w:b w:val="1"/>
          <w:bCs w:val="1"/>
          <w:color w:val="4395D4"/>
        </w:rPr>
        <w:t>Impact of Peoples Natural Gas Acquisition and Shareholder Feedback on Executive Compensation</w:t>
      </w:r>
    </w:p>
    <w:p>
      <w:pPr>
        <w:spacing w:after="0" w:line="153" w:lineRule="exact"/>
        <w:rPr>
          <w:sz w:val="20"/>
          <w:szCs w:val="20"/>
          <w:color w:val="auto"/>
        </w:rPr>
      </w:pPr>
    </w:p>
    <w:p>
      <w:pPr>
        <w:ind w:right="60"/>
        <w:spacing w:after="0" w:line="245" w:lineRule="auto"/>
        <w:rPr>
          <w:sz w:val="20"/>
          <w:szCs w:val="20"/>
          <w:color w:val="auto"/>
        </w:rPr>
      </w:pPr>
      <w:r>
        <w:rPr>
          <w:rFonts w:ascii="Arial" w:cs="Arial" w:eastAsia="Arial" w:hAnsi="Arial"/>
          <w:sz w:val="14"/>
          <w:szCs w:val="14"/>
          <w:color w:val="231F20"/>
        </w:rPr>
        <w:t>In 2020, we introduced a revised compensation program design for our Essential executives based on an extensive study of industry best practices which was validated by a high say on pay performance rating of 96.2% at the 2020 Shareholders Meeting. In March 2020, the acquisition of Peoples Natural Gas closed which increased the Company’s rate base by 45% and broadened the executive roles to encompass gas and water responsibilities. There were associated changes in the Executive pay levels to reflect their new roles.</w:t>
      </w:r>
    </w:p>
    <w:p>
      <w:pPr>
        <w:spacing w:after="0" w:line="273" w:lineRule="exact"/>
        <w:rPr>
          <w:sz w:val="20"/>
          <w:szCs w:val="20"/>
          <w:color w:val="auto"/>
        </w:rPr>
      </w:pPr>
    </w:p>
    <w:p>
      <w:pPr>
        <w:ind w:right="140"/>
        <w:spacing w:after="0" w:line="237" w:lineRule="auto"/>
        <w:rPr>
          <w:sz w:val="20"/>
          <w:szCs w:val="20"/>
          <w:color w:val="auto"/>
        </w:rPr>
      </w:pPr>
      <w:r>
        <w:rPr>
          <w:rFonts w:ascii="Arial" w:cs="Arial" w:eastAsia="Arial" w:hAnsi="Arial"/>
          <w:sz w:val="14"/>
          <w:szCs w:val="14"/>
          <w:color w:val="231F20"/>
        </w:rPr>
        <w:t>The timing of the acquisition occurred simultaneously with the escalation of the COVID-19 situation across the United States. While the Utilities industry was not as severely affected as most public companies by the pandemic, we are proud to say that we did not make any pandemic-related changes to the executive compensation plan. In fact, we are raising the bar on our executives by including equity, diversity and inclusion measures in our short-term incentive plans moving forward as well as becoming an environmental leader with aggressive environmental standards. In February 2020, we announced that we will, over several years, install mitigation technology at water treatment facilities where source water exceeds 13 parts per trillion (ppt) for any Poly-fluoro alkyl substances (PFAS). This is well below the EPA’s non-enforceable health advisory level of 70 ppt. These initiatives are reflected in our incentive plan goals. Pay Governance LLC (Pay Governance or the consultant), the independent compensation consultant retained by the Compensation Committee, provided advice and guidance throughout the compensation design process.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100965</wp:posOffset>
            </wp:positionV>
            <wp:extent cx="7139940"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39940" cy="8255"/>
                    </a:xfrm>
                    <a:prstGeom prst="rect">
                      <a:avLst/>
                    </a:prstGeom>
                    <a:noFill/>
                  </pic:spPr>
                </pic:pic>
              </a:graphicData>
            </a:graphic>
          </wp:anchor>
        </w:drawing>
      </w:r>
    </w:p>
    <w:p>
      <w:pPr>
        <w:spacing w:after="0" w:line="209" w:lineRule="exact"/>
        <w:rPr>
          <w:sz w:val="20"/>
          <w:szCs w:val="20"/>
          <w:color w:val="auto"/>
        </w:rPr>
      </w:pPr>
    </w:p>
    <w:p>
      <w:pPr>
        <w:ind w:left="300" w:hanging="298"/>
        <w:spacing w:after="0"/>
        <w:tabs>
          <w:tab w:leader="none" w:pos="300" w:val="left"/>
        </w:tabs>
        <w:numPr>
          <w:ilvl w:val="0"/>
          <w:numId w:val="86"/>
        </w:numPr>
        <w:rPr>
          <w:rFonts w:ascii="Arial" w:cs="Arial" w:eastAsia="Arial" w:hAnsi="Arial"/>
          <w:sz w:val="15"/>
          <w:szCs w:val="15"/>
          <w:color w:val="455986"/>
        </w:rPr>
      </w:pPr>
      <w:r>
        <w:rPr>
          <w:rFonts w:ascii="Arial" w:cs="Arial" w:eastAsia="Arial" w:hAnsi="Arial"/>
          <w:sz w:val="12"/>
          <w:szCs w:val="12"/>
          <w:color w:val="4395D4"/>
        </w:rPr>
        <w:t xml:space="preserve">ESSENTIAL UTILITIES, INC. </w:t>
      </w:r>
      <w:r>
        <w:rPr>
          <w:rFonts w:ascii="Arial" w:cs="Arial" w:eastAsia="Arial" w:hAnsi="Arial"/>
          <w:sz w:val="12"/>
          <w:szCs w:val="12"/>
          <w:color w:val="455986"/>
        </w:rPr>
        <w:t>2021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316230</wp:posOffset>
            </wp:positionV>
            <wp:extent cx="7139940" cy="2413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39940" cy="24130"/>
                    </a:xfrm>
                    <a:prstGeom prst="rect">
                      <a:avLst/>
                    </a:prstGeom>
                    <a:noFill/>
                  </pic:spPr>
                </pic:pic>
              </a:graphicData>
            </a:graphic>
          </wp:anchor>
        </w:drawing>
      </w:r>
    </w:p>
    <w:p>
      <w:pPr>
        <w:sectPr>
          <w:pgSz w:w="11900" w:h="16838" w:orient="portrait"/>
          <w:cols w:equalWidth="0" w:num="1">
            <w:col w:w="11240"/>
          </w:cols>
          <w:pgMar w:left="320" w:top="637" w:right="339" w:bottom="1440" w:gutter="0" w:footer="0" w:header="0"/>
        </w:sectPr>
      </w:pPr>
    </w:p>
    <w:bookmarkStart w:id="45" w:name="page46"/>
    <w:bookmarkEnd w:id="45"/>
    <w:p>
      <w:pPr>
        <w:spacing w:after="0"/>
        <w:rPr>
          <w:sz w:val="20"/>
          <w:szCs w:val="20"/>
          <w:color w:val="auto"/>
        </w:rPr>
      </w:pPr>
      <w:r>
        <w:rPr>
          <w:rFonts w:ascii="Arial" w:cs="Arial" w:eastAsia="Arial" w:hAnsi="Arial"/>
          <w:sz w:val="14"/>
          <w:szCs w:val="14"/>
          <w:b w:val="1"/>
          <w:bCs w:val="1"/>
          <w:color w:val="455986"/>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27940</wp:posOffset>
            </wp:positionV>
            <wp:extent cx="7139940"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39940" cy="8255"/>
                    </a:xfrm>
                    <a:prstGeom prst="rect">
                      <a:avLst/>
                    </a:prstGeom>
                    <a:noFill/>
                  </pic:spPr>
                </pic:pic>
              </a:graphicData>
            </a:graphic>
          </wp:anchor>
        </w:drawing>
      </w:r>
    </w:p>
    <w:p>
      <w:pPr>
        <w:spacing w:after="0" w:line="76" w:lineRule="exact"/>
        <w:rPr>
          <w:sz w:val="20"/>
          <w:szCs w:val="20"/>
          <w:color w:val="auto"/>
        </w:rPr>
      </w:pPr>
    </w:p>
    <w:p>
      <w:pPr>
        <w:spacing w:after="0"/>
        <w:rPr>
          <w:sz w:val="20"/>
          <w:szCs w:val="20"/>
          <w:color w:val="auto"/>
        </w:rPr>
      </w:pPr>
      <w:r>
        <w:rPr>
          <w:rFonts w:ascii="Arial" w:cs="Arial" w:eastAsia="Arial" w:hAnsi="Arial"/>
          <w:sz w:val="14"/>
          <w:szCs w:val="14"/>
          <w:color w:val="231F20"/>
        </w:rPr>
        <w:t>Executive Summary</w:t>
      </w:r>
    </w:p>
    <w:p>
      <w:pPr>
        <w:spacing w:after="0" w:line="174" w:lineRule="exact"/>
        <w:rPr>
          <w:sz w:val="20"/>
          <w:szCs w:val="20"/>
          <w:color w:val="auto"/>
        </w:rPr>
      </w:pPr>
    </w:p>
    <w:p>
      <w:pPr>
        <w:ind w:right="40"/>
        <w:spacing w:after="0"/>
        <w:rPr>
          <w:sz w:val="20"/>
          <w:szCs w:val="20"/>
          <w:color w:val="auto"/>
        </w:rPr>
      </w:pPr>
      <w:r>
        <w:rPr>
          <w:rFonts w:ascii="Arial" w:cs="Arial" w:eastAsia="Arial" w:hAnsi="Arial"/>
          <w:sz w:val="14"/>
          <w:szCs w:val="14"/>
          <w:color w:val="231F20"/>
        </w:rPr>
        <w:t>Annually, the Committee incorporates investor feedback on the compensation program design into their review of the plans to ensure alignment with market expectations about our compensation and performance. The peer group adopted by the Committee for 2020 was unchanged. The performance measures for each element of the program were examined to ensure they aligned with the interests of our shareholders, customers, and employees as well as being competitive with the compensation practices of our industry peer group. The program design, types of compensation vehicles, and the relative proportion of the named executive officers’ total direct compensation represented by these vehicles is consistent with current competitive compensation practices in the utility industry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85725</wp:posOffset>
            </wp:positionV>
            <wp:extent cx="5956300" cy="60769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5956300" cy="6076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20"/>
          <w:szCs w:val="20"/>
          <w:b w:val="1"/>
          <w:bCs w:val="1"/>
          <w:color w:val="231F20"/>
        </w:rPr>
        <w:t>2020 Performance Highlights</w:t>
      </w:r>
    </w:p>
    <w:p>
      <w:pPr>
        <w:spacing w:after="0" w:line="166" w:lineRule="exact"/>
        <w:rPr>
          <w:sz w:val="20"/>
          <w:szCs w:val="20"/>
          <w:color w:val="auto"/>
        </w:rPr>
      </w:pPr>
    </w:p>
    <w:p>
      <w:pPr>
        <w:spacing w:after="0"/>
        <w:rPr>
          <w:sz w:val="20"/>
          <w:szCs w:val="20"/>
          <w:color w:val="auto"/>
        </w:rPr>
      </w:pPr>
      <w:r>
        <w:rPr>
          <w:rFonts w:ascii="Arial" w:cs="Arial" w:eastAsia="Arial" w:hAnsi="Arial"/>
          <w:sz w:val="14"/>
          <w:szCs w:val="14"/>
          <w:color w:val="231F20"/>
        </w:rPr>
        <w:t>While 2020 was an unprecedented year given the completion of the transformation acquisition of Peoples Gas and the COVID- 19 pandemic, we remained focused and continued to fulfill our mission to be the best possible provider of essential resources by serving the needs and expectations of our customers, shareholders, employees and the communities we serve. This multi-stakeholder approach is underpinned by a continued focus on growing our customer base through acquisitions, prudent investment of capital to renew our aging infrastructure, and the creation efficiencies across the organization. We continue to see great opportunities ahead and remain focused on investing in infrastructure and delivering sustainable growth for our investors.</w:t>
      </w:r>
    </w:p>
    <w:p>
      <w:pPr>
        <w:sectPr>
          <w:pgSz w:w="11900" w:h="16838" w:orient="portrait"/>
          <w:cols w:equalWidth="0" w:num="1">
            <w:col w:w="11240"/>
          </w:cols>
          <w:pgMar w:left="320" w:top="636" w:right="339" w:bottom="1440" w:gutter="0" w:footer="0" w:header="0"/>
        </w:sectPr>
      </w:pPr>
    </w:p>
    <w:p>
      <w:pPr>
        <w:spacing w:after="0" w:line="112" w:lineRule="exact"/>
        <w:rPr>
          <w:sz w:val="20"/>
          <w:szCs w:val="20"/>
          <w:color w:val="auto"/>
        </w:rPr>
      </w:pPr>
    </w:p>
    <w:p>
      <w:pPr>
        <w:jc w:val="both"/>
        <w:ind w:left="180" w:right="100" w:hanging="178"/>
        <w:spacing w:after="0" w:line="255" w:lineRule="auto"/>
        <w:tabs>
          <w:tab w:leader="none" w:pos="181" w:val="left"/>
        </w:tabs>
        <w:numPr>
          <w:ilvl w:val="0"/>
          <w:numId w:val="87"/>
        </w:numPr>
        <w:rPr>
          <w:rFonts w:ascii="Arial" w:cs="Arial" w:eastAsia="Arial" w:hAnsi="Arial"/>
          <w:sz w:val="14"/>
          <w:szCs w:val="14"/>
          <w:color w:val="4395D4"/>
        </w:rPr>
      </w:pPr>
      <w:r>
        <w:rPr>
          <w:rFonts w:ascii="Arial" w:cs="Arial" w:eastAsia="Arial" w:hAnsi="Arial"/>
          <w:sz w:val="14"/>
          <w:szCs w:val="14"/>
          <w:color w:val="231F20"/>
        </w:rPr>
        <w:t xml:space="preserve">In 2020, </w:t>
      </w:r>
      <w:r>
        <w:rPr>
          <w:rFonts w:ascii="Arial" w:cs="Arial" w:eastAsia="Arial" w:hAnsi="Arial"/>
          <w:sz w:val="14"/>
          <w:szCs w:val="14"/>
          <w:b w:val="1"/>
          <w:bCs w:val="1"/>
          <w:color w:val="4395D4"/>
        </w:rPr>
        <w:t>we invested approximately $900 million in infrastructure projects</w:t>
      </w:r>
      <w:r>
        <w:rPr>
          <w:rFonts w:ascii="Arial" w:cs="Arial" w:eastAsia="Arial" w:hAnsi="Arial"/>
          <w:sz w:val="14"/>
          <w:szCs w:val="14"/>
          <w:color w:val="231F20"/>
        </w:rPr>
        <w:t xml:space="preserve"> </w:t>
      </w:r>
      <w:r>
        <w:rPr>
          <w:rFonts w:ascii="Arial" w:cs="Arial" w:eastAsia="Arial" w:hAnsi="Arial"/>
          <w:sz w:val="14"/>
          <w:szCs w:val="14"/>
          <w:b w:val="1"/>
          <w:bCs w:val="1"/>
          <w:color w:val="4395D4"/>
        </w:rPr>
        <w:t>across the water and gas utilities</w:t>
      </w:r>
      <w:r>
        <w:rPr>
          <w:rFonts w:ascii="Arial" w:cs="Arial" w:eastAsia="Arial" w:hAnsi="Arial"/>
          <w:sz w:val="14"/>
          <w:szCs w:val="14"/>
          <w:color w:val="231F20"/>
        </w:rPr>
        <w:t>, helping to ensure safe and reliable service</w:t>
      </w:r>
      <w:r>
        <w:rPr>
          <w:rFonts w:ascii="Arial" w:cs="Arial" w:eastAsia="Arial" w:hAnsi="Arial"/>
          <w:sz w:val="14"/>
          <w:szCs w:val="14"/>
          <w:b w:val="1"/>
          <w:bCs w:val="1"/>
          <w:color w:val="4395D4"/>
        </w:rPr>
        <w:t xml:space="preserve"> </w:t>
      </w:r>
      <w:r>
        <w:rPr>
          <w:rFonts w:ascii="Arial" w:cs="Arial" w:eastAsia="Arial" w:hAnsi="Arial"/>
          <w:sz w:val="14"/>
          <w:szCs w:val="14"/>
          <w:color w:val="231F20"/>
        </w:rPr>
        <w:t>for all customers.</w:t>
      </w:r>
    </w:p>
    <w:p>
      <w:pPr>
        <w:spacing w:after="0" w:line="22" w:lineRule="exact"/>
        <w:rPr>
          <w:rFonts w:ascii="Arial" w:cs="Arial" w:eastAsia="Arial" w:hAnsi="Arial"/>
          <w:sz w:val="14"/>
          <w:szCs w:val="14"/>
          <w:color w:val="4395D4"/>
        </w:rPr>
      </w:pPr>
    </w:p>
    <w:p>
      <w:pPr>
        <w:ind w:left="180" w:right="160" w:hanging="178"/>
        <w:spacing w:after="0" w:line="281" w:lineRule="auto"/>
        <w:tabs>
          <w:tab w:leader="none" w:pos="181" w:val="left"/>
        </w:tabs>
        <w:numPr>
          <w:ilvl w:val="0"/>
          <w:numId w:val="87"/>
        </w:numPr>
        <w:rPr>
          <w:rFonts w:ascii="Arial" w:cs="Arial" w:eastAsia="Arial" w:hAnsi="Arial"/>
          <w:sz w:val="14"/>
          <w:szCs w:val="14"/>
          <w:color w:val="4395D4"/>
        </w:rPr>
      </w:pPr>
      <w:r>
        <w:rPr>
          <w:rFonts w:ascii="Arial" w:cs="Arial" w:eastAsia="Arial" w:hAnsi="Arial"/>
          <w:sz w:val="14"/>
          <w:szCs w:val="14"/>
          <w:b w:val="1"/>
          <w:bCs w:val="1"/>
          <w:color w:val="4395D4"/>
        </w:rPr>
        <w:t>Revenues were $1.46 billion in 2020</w:t>
      </w:r>
      <w:r>
        <w:rPr>
          <w:rFonts w:ascii="Arial" w:cs="Arial" w:eastAsia="Arial" w:hAnsi="Arial"/>
          <w:sz w:val="14"/>
          <w:szCs w:val="14"/>
          <w:color w:val="231F20"/>
        </w:rPr>
        <w:t>, an increase of 64.4 percent over 2019.</w:t>
      </w:r>
      <w:r>
        <w:rPr>
          <w:rFonts w:ascii="Arial" w:cs="Arial" w:eastAsia="Arial" w:hAnsi="Arial"/>
          <w:sz w:val="14"/>
          <w:szCs w:val="14"/>
          <w:b w:val="1"/>
          <w:bCs w:val="1"/>
          <w:color w:val="4395D4"/>
        </w:rPr>
        <w:t xml:space="preserve"> </w:t>
      </w:r>
      <w:r>
        <w:rPr>
          <w:rFonts w:ascii="Arial" w:cs="Arial" w:eastAsia="Arial" w:hAnsi="Arial"/>
          <w:sz w:val="14"/>
          <w:szCs w:val="14"/>
          <w:color w:val="231F20"/>
        </w:rPr>
        <w:t xml:space="preserve">Adjusted (non-GAAP) revenues were </w:t>
      </w:r>
      <w:r>
        <w:rPr>
          <w:rFonts w:ascii="Arial" w:cs="Arial" w:eastAsia="Arial" w:hAnsi="Arial"/>
          <w:sz w:val="14"/>
          <w:szCs w:val="14"/>
          <w:color w:val="000000"/>
        </w:rPr>
        <w:t>$1.49 billion.*</w:t>
      </w:r>
    </w:p>
    <w:p>
      <w:pPr>
        <w:spacing w:after="0" w:line="18" w:lineRule="exact"/>
        <w:rPr>
          <w:rFonts w:ascii="Arial" w:cs="Arial" w:eastAsia="Arial" w:hAnsi="Arial"/>
          <w:sz w:val="14"/>
          <w:szCs w:val="14"/>
          <w:color w:val="4395D4"/>
        </w:rPr>
      </w:pPr>
    </w:p>
    <w:p>
      <w:pPr>
        <w:ind w:left="180" w:right="280" w:hanging="178"/>
        <w:spacing w:after="0" w:line="255" w:lineRule="auto"/>
        <w:tabs>
          <w:tab w:leader="none" w:pos="181" w:val="left"/>
        </w:tabs>
        <w:numPr>
          <w:ilvl w:val="0"/>
          <w:numId w:val="87"/>
        </w:numPr>
        <w:rPr>
          <w:rFonts w:ascii="Arial" w:cs="Arial" w:eastAsia="Arial" w:hAnsi="Arial"/>
          <w:sz w:val="14"/>
          <w:szCs w:val="14"/>
          <w:color w:val="4395D4"/>
        </w:rPr>
      </w:pPr>
      <w:r>
        <w:rPr>
          <w:rFonts w:ascii="Arial" w:cs="Arial" w:eastAsia="Arial" w:hAnsi="Arial"/>
          <w:sz w:val="14"/>
          <w:szCs w:val="14"/>
          <w:b w:val="1"/>
          <w:bCs w:val="1"/>
          <w:color w:val="4395D4"/>
        </w:rPr>
        <w:t>Earnings per share were $1.12 in 2020</w:t>
      </w:r>
      <w:r>
        <w:rPr>
          <w:rFonts w:ascii="Arial" w:cs="Arial" w:eastAsia="Arial" w:hAnsi="Arial"/>
          <w:sz w:val="14"/>
          <w:szCs w:val="14"/>
          <w:color w:val="231F20"/>
        </w:rPr>
        <w:t>, including items from the Peoples</w:t>
      </w:r>
      <w:r>
        <w:rPr>
          <w:rFonts w:ascii="Arial" w:cs="Arial" w:eastAsia="Arial" w:hAnsi="Arial"/>
          <w:sz w:val="14"/>
          <w:szCs w:val="14"/>
          <w:b w:val="1"/>
          <w:bCs w:val="1"/>
          <w:color w:val="4395D4"/>
        </w:rPr>
        <w:t xml:space="preserve"> </w:t>
      </w:r>
      <w:r>
        <w:rPr>
          <w:rFonts w:ascii="Arial" w:cs="Arial" w:eastAsia="Arial" w:hAnsi="Arial"/>
          <w:sz w:val="14"/>
          <w:szCs w:val="14"/>
          <w:color w:val="231F20"/>
        </w:rPr>
        <w:t>transaction. Excluding these items, adjusted (non-GAAP) earnings per share were $1.58 compared to adjusted earnings per share of $1.47 in 2019.*</w:t>
      </w:r>
    </w:p>
    <w:p>
      <w:pPr>
        <w:spacing w:after="0" w:line="35" w:lineRule="exact"/>
        <w:rPr>
          <w:rFonts w:ascii="Arial" w:cs="Arial" w:eastAsia="Arial" w:hAnsi="Arial"/>
          <w:sz w:val="14"/>
          <w:szCs w:val="14"/>
          <w:color w:val="4395D4"/>
        </w:rPr>
      </w:pPr>
    </w:p>
    <w:p>
      <w:pPr>
        <w:ind w:left="180" w:right="60" w:hanging="178"/>
        <w:spacing w:after="0" w:line="241" w:lineRule="auto"/>
        <w:tabs>
          <w:tab w:leader="none" w:pos="181" w:val="left"/>
        </w:tabs>
        <w:numPr>
          <w:ilvl w:val="0"/>
          <w:numId w:val="87"/>
        </w:numPr>
        <w:rPr>
          <w:rFonts w:ascii="Arial" w:cs="Arial" w:eastAsia="Arial" w:hAnsi="Arial"/>
          <w:sz w:val="14"/>
          <w:szCs w:val="14"/>
          <w:color w:val="4395D4"/>
        </w:rPr>
      </w:pPr>
      <w:r>
        <w:rPr>
          <w:rFonts w:ascii="Arial" w:cs="Arial" w:eastAsia="Arial" w:hAnsi="Arial"/>
          <w:sz w:val="14"/>
          <w:szCs w:val="14"/>
          <w:b w:val="1"/>
          <w:bCs w:val="1"/>
          <w:color w:val="4395D4"/>
        </w:rPr>
        <w:t xml:space="preserve">We added approximately 12,000 water and wastewater customer equivalents through acquisition in 2020 </w:t>
      </w:r>
      <w:r>
        <w:rPr>
          <w:rFonts w:ascii="Arial" w:cs="Arial" w:eastAsia="Arial" w:hAnsi="Arial"/>
          <w:sz w:val="14"/>
          <w:szCs w:val="14"/>
          <w:color w:val="231F20"/>
        </w:rPr>
        <w:t>and increased water and wastewater</w:t>
      </w:r>
      <w:r>
        <w:rPr>
          <w:rFonts w:ascii="Arial" w:cs="Arial" w:eastAsia="Arial" w:hAnsi="Arial"/>
          <w:sz w:val="14"/>
          <w:szCs w:val="14"/>
          <w:b w:val="1"/>
          <w:bCs w:val="1"/>
          <w:color w:val="4395D4"/>
        </w:rPr>
        <w:t xml:space="preserve"> </w:t>
      </w:r>
      <w:r>
        <w:rPr>
          <w:rFonts w:ascii="Arial" w:cs="Arial" w:eastAsia="Arial" w:hAnsi="Arial"/>
          <w:sz w:val="14"/>
          <w:szCs w:val="14"/>
          <w:color w:val="231F20"/>
        </w:rPr>
        <w:t>customers served by 2 percent, which includes customers from organic growth and acquisitions. Our acquisitions in 2020 added approximately $62.9 million in rate base.</w:t>
      </w:r>
    </w:p>
    <w:p>
      <w:pPr>
        <w:spacing w:after="0" w:line="34" w:lineRule="exact"/>
        <w:rPr>
          <w:rFonts w:ascii="Arial" w:cs="Arial" w:eastAsia="Arial" w:hAnsi="Arial"/>
          <w:sz w:val="14"/>
          <w:szCs w:val="14"/>
          <w:color w:val="4395D4"/>
        </w:rPr>
      </w:pPr>
    </w:p>
    <w:p>
      <w:pPr>
        <w:jc w:val="both"/>
        <w:ind w:left="180" w:hanging="178"/>
        <w:spacing w:after="0" w:line="261" w:lineRule="auto"/>
        <w:tabs>
          <w:tab w:leader="none" w:pos="181" w:val="left"/>
        </w:tabs>
        <w:numPr>
          <w:ilvl w:val="0"/>
          <w:numId w:val="87"/>
        </w:numPr>
        <w:rPr>
          <w:rFonts w:ascii="Arial" w:cs="Arial" w:eastAsia="Arial" w:hAnsi="Arial"/>
          <w:sz w:val="14"/>
          <w:szCs w:val="14"/>
          <w:color w:val="4395D4"/>
        </w:rPr>
      </w:pPr>
      <w:r>
        <w:rPr>
          <w:rFonts w:ascii="Arial" w:cs="Arial" w:eastAsia="Arial" w:hAnsi="Arial"/>
          <w:sz w:val="14"/>
          <w:szCs w:val="14"/>
          <w:b w:val="1"/>
          <w:bCs w:val="1"/>
          <w:color w:val="4395D4"/>
        </w:rPr>
        <w:t xml:space="preserve">We continued the approval process for the DELCORA acquisition, a $276.5 million acquisition </w:t>
      </w:r>
      <w:r>
        <w:rPr>
          <w:rFonts w:ascii="Arial" w:cs="Arial" w:eastAsia="Arial" w:hAnsi="Arial"/>
          <w:sz w:val="14"/>
          <w:szCs w:val="14"/>
          <w:color w:val="231F20"/>
        </w:rPr>
        <w:t>of a wastewater authority which provides service to over half</w:t>
      </w:r>
      <w:r>
        <w:rPr>
          <w:rFonts w:ascii="Arial" w:cs="Arial" w:eastAsia="Arial" w:hAnsi="Arial"/>
          <w:sz w:val="14"/>
          <w:szCs w:val="14"/>
          <w:b w:val="1"/>
          <w:bCs w:val="1"/>
          <w:color w:val="4395D4"/>
        </w:rPr>
        <w:t xml:space="preserve"> </w:t>
      </w:r>
      <w:r>
        <w:rPr>
          <w:rFonts w:ascii="Arial" w:cs="Arial" w:eastAsia="Arial" w:hAnsi="Arial"/>
          <w:sz w:val="14"/>
          <w:szCs w:val="14"/>
          <w:color w:val="231F20"/>
        </w:rPr>
        <w:t xml:space="preserve">a million people. </w:t>
      </w:r>
      <w:r>
        <w:rPr>
          <w:rFonts w:ascii="Arial" w:cs="Arial" w:eastAsia="Arial" w:hAnsi="Arial"/>
          <w:sz w:val="14"/>
          <w:szCs w:val="14"/>
          <w:b w:val="1"/>
          <w:bCs w:val="1"/>
          <w:color w:val="4395D4"/>
        </w:rPr>
        <w:t>DELCORA has the equivalent of 198,000 retail customers.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78105</wp:posOffset>
            </wp:positionV>
            <wp:extent cx="5948680" cy="133731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5948680" cy="133731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92" w:lineRule="exact"/>
        <w:rPr>
          <w:sz w:val="20"/>
          <w:szCs w:val="20"/>
          <w:color w:val="auto"/>
        </w:rPr>
      </w:pPr>
    </w:p>
    <w:p>
      <w:pPr>
        <w:ind w:left="180" w:right="340" w:hanging="180"/>
        <w:spacing w:after="0" w:line="255" w:lineRule="auto"/>
        <w:tabs>
          <w:tab w:leader="none" w:pos="181" w:val="left"/>
        </w:tabs>
        <w:numPr>
          <w:ilvl w:val="0"/>
          <w:numId w:val="88"/>
        </w:numPr>
        <w:rPr>
          <w:rFonts w:ascii="Arial" w:cs="Arial" w:eastAsia="Arial" w:hAnsi="Arial"/>
          <w:sz w:val="14"/>
          <w:szCs w:val="14"/>
          <w:color w:val="4395D4"/>
        </w:rPr>
      </w:pPr>
      <w:r>
        <w:rPr>
          <w:rFonts w:ascii="Arial" w:cs="Arial" w:eastAsia="Arial" w:hAnsi="Arial"/>
          <w:sz w:val="14"/>
          <w:szCs w:val="14"/>
          <w:color w:val="231F20"/>
        </w:rPr>
        <w:t xml:space="preserve">From January 1, 2018 to December 31, 2020, </w:t>
      </w:r>
      <w:r>
        <w:rPr>
          <w:rFonts w:ascii="Arial" w:cs="Arial" w:eastAsia="Arial" w:hAnsi="Arial"/>
          <w:sz w:val="14"/>
          <w:szCs w:val="14"/>
          <w:b w:val="1"/>
          <w:bCs w:val="1"/>
          <w:color w:val="4395D4"/>
        </w:rPr>
        <w:t>the total return to our</w:t>
      </w:r>
      <w:r>
        <w:rPr>
          <w:rFonts w:ascii="Arial" w:cs="Arial" w:eastAsia="Arial" w:hAnsi="Arial"/>
          <w:sz w:val="14"/>
          <w:szCs w:val="14"/>
          <w:color w:val="231F20"/>
        </w:rPr>
        <w:t xml:space="preserve"> </w:t>
      </w:r>
      <w:r>
        <w:rPr>
          <w:rFonts w:ascii="Arial" w:cs="Arial" w:eastAsia="Arial" w:hAnsi="Arial"/>
          <w:sz w:val="14"/>
          <w:szCs w:val="14"/>
          <w:b w:val="1"/>
          <w:bCs w:val="1"/>
          <w:color w:val="4395D4"/>
        </w:rPr>
        <w:t>shareholders</w:t>
      </w:r>
      <w:r>
        <w:rPr>
          <w:rFonts w:ascii="Arial" w:cs="Arial" w:eastAsia="Arial" w:hAnsi="Arial"/>
          <w:sz w:val="14"/>
          <w:szCs w:val="14"/>
          <w:color w:val="231F20"/>
        </w:rPr>
        <w:t>, including share price appreciation and dividends paid, shows</w:t>
      </w:r>
      <w:r>
        <w:rPr>
          <w:rFonts w:ascii="Arial" w:cs="Arial" w:eastAsia="Arial" w:hAnsi="Arial"/>
          <w:sz w:val="14"/>
          <w:szCs w:val="14"/>
          <w:b w:val="1"/>
          <w:bCs w:val="1"/>
          <w:color w:val="4395D4"/>
        </w:rPr>
        <w:t xml:space="preserve"> </w:t>
      </w:r>
      <w:r>
        <w:rPr>
          <w:rFonts w:ascii="Arial" w:cs="Arial" w:eastAsia="Arial" w:hAnsi="Arial"/>
          <w:sz w:val="14"/>
          <w:szCs w:val="14"/>
          <w:color w:val="231F20"/>
        </w:rPr>
        <w:t>29.08 percent growth.</w:t>
      </w:r>
    </w:p>
    <w:p>
      <w:pPr>
        <w:spacing w:after="0" w:line="22" w:lineRule="exact"/>
        <w:rPr>
          <w:rFonts w:ascii="Arial" w:cs="Arial" w:eastAsia="Arial" w:hAnsi="Arial"/>
          <w:sz w:val="14"/>
          <w:szCs w:val="14"/>
          <w:color w:val="4395D4"/>
        </w:rPr>
      </w:pPr>
    </w:p>
    <w:p>
      <w:pPr>
        <w:ind w:left="180" w:right="260" w:hanging="180"/>
        <w:spacing w:after="0" w:line="293" w:lineRule="auto"/>
        <w:tabs>
          <w:tab w:leader="none" w:pos="181" w:val="left"/>
        </w:tabs>
        <w:numPr>
          <w:ilvl w:val="0"/>
          <w:numId w:val="88"/>
        </w:numPr>
        <w:rPr>
          <w:rFonts w:ascii="Arial" w:cs="Arial" w:eastAsia="Arial" w:hAnsi="Arial"/>
          <w:sz w:val="14"/>
          <w:szCs w:val="14"/>
          <w:color w:val="4395D4"/>
        </w:rPr>
      </w:pPr>
      <w:r>
        <w:rPr>
          <w:rFonts w:ascii="Arial" w:cs="Arial" w:eastAsia="Arial" w:hAnsi="Arial"/>
          <w:sz w:val="14"/>
          <w:szCs w:val="14"/>
          <w:color w:val="231F20"/>
        </w:rPr>
        <w:t xml:space="preserve">In August 2020, the Board of Directors approved a 7 </w:t>
      </w:r>
      <w:r>
        <w:rPr>
          <w:rFonts w:ascii="Arial" w:cs="Arial" w:eastAsia="Arial" w:hAnsi="Arial"/>
          <w:sz w:val="14"/>
          <w:szCs w:val="14"/>
          <w:b w:val="1"/>
          <w:bCs w:val="1"/>
          <w:color w:val="4395D4"/>
        </w:rPr>
        <w:t>percent increase in the</w:t>
      </w:r>
      <w:r>
        <w:rPr>
          <w:rFonts w:ascii="Arial" w:cs="Arial" w:eastAsia="Arial" w:hAnsi="Arial"/>
          <w:sz w:val="14"/>
          <w:szCs w:val="14"/>
          <w:color w:val="231F20"/>
        </w:rPr>
        <w:t xml:space="preserve"> </w:t>
      </w:r>
      <w:r>
        <w:rPr>
          <w:rFonts w:ascii="Arial" w:cs="Arial" w:eastAsia="Arial" w:hAnsi="Arial"/>
          <w:sz w:val="14"/>
          <w:szCs w:val="14"/>
          <w:b w:val="1"/>
          <w:bCs w:val="1"/>
          <w:color w:val="4395D4"/>
        </w:rPr>
        <w:t xml:space="preserve">quarterly dividend </w:t>
      </w:r>
      <w:r>
        <w:rPr>
          <w:rFonts w:ascii="Arial" w:cs="Arial" w:eastAsia="Arial" w:hAnsi="Arial"/>
          <w:sz w:val="14"/>
          <w:szCs w:val="14"/>
          <w:color w:val="231F20"/>
        </w:rPr>
        <w:t>to an annualized rate of $1.0028 per share.</w:t>
      </w:r>
    </w:p>
    <w:p>
      <w:pPr>
        <w:spacing w:after="0" w:line="4" w:lineRule="exact"/>
        <w:rPr>
          <w:rFonts w:ascii="Arial" w:cs="Arial" w:eastAsia="Arial" w:hAnsi="Arial"/>
          <w:sz w:val="14"/>
          <w:szCs w:val="14"/>
          <w:color w:val="4395D4"/>
        </w:rPr>
      </w:pPr>
    </w:p>
    <w:p>
      <w:pPr>
        <w:ind w:left="180" w:right="40" w:hanging="180"/>
        <w:spacing w:after="0" w:line="241" w:lineRule="auto"/>
        <w:tabs>
          <w:tab w:leader="none" w:pos="181" w:val="left"/>
        </w:tabs>
        <w:numPr>
          <w:ilvl w:val="0"/>
          <w:numId w:val="88"/>
        </w:numPr>
        <w:rPr>
          <w:rFonts w:ascii="Arial" w:cs="Arial" w:eastAsia="Arial" w:hAnsi="Arial"/>
          <w:sz w:val="14"/>
          <w:szCs w:val="14"/>
          <w:color w:val="4395D4"/>
        </w:rPr>
      </w:pPr>
      <w:r>
        <w:rPr>
          <w:rFonts w:ascii="Arial" w:cs="Arial" w:eastAsia="Arial" w:hAnsi="Arial"/>
          <w:sz w:val="14"/>
          <w:szCs w:val="14"/>
          <w:color w:val="231F20"/>
        </w:rPr>
        <w:t xml:space="preserve">We continued to enhance our ESG program with commitments to renewable power at our water utility and to PFAS treatment announced in February 2020. </w:t>
      </w:r>
      <w:r>
        <w:rPr>
          <w:rFonts w:ascii="Arial" w:cs="Arial" w:eastAsia="Arial" w:hAnsi="Arial"/>
          <w:sz w:val="14"/>
          <w:szCs w:val="14"/>
          <w:b w:val="1"/>
          <w:bCs w:val="1"/>
          <w:color w:val="4395D4"/>
        </w:rPr>
        <w:t>In</w:t>
      </w:r>
    </w:p>
    <w:p>
      <w:pPr>
        <w:ind w:left="180" w:right="400"/>
        <w:spacing w:after="0"/>
        <w:rPr>
          <w:rFonts w:ascii="Arial" w:cs="Arial" w:eastAsia="Arial" w:hAnsi="Arial"/>
          <w:sz w:val="14"/>
          <w:szCs w:val="14"/>
          <w:color w:val="4395D4"/>
        </w:rPr>
      </w:pPr>
      <w:r>
        <w:rPr>
          <w:rFonts w:ascii="Arial" w:cs="Arial" w:eastAsia="Arial" w:hAnsi="Arial"/>
          <w:sz w:val="14"/>
          <w:szCs w:val="14"/>
          <w:b w:val="1"/>
          <w:bCs w:val="1"/>
          <w:color w:val="4395D4"/>
        </w:rPr>
        <w:t xml:space="preserve">October 2020 we published what we believe to be an industry-leading, award-winning, and expanded ESG report </w:t>
      </w:r>
      <w:r>
        <w:rPr>
          <w:rFonts w:ascii="Arial" w:cs="Arial" w:eastAsia="Arial" w:hAnsi="Arial"/>
          <w:sz w:val="14"/>
          <w:szCs w:val="14"/>
          <w:color w:val="231F20"/>
        </w:rPr>
        <w:t>which you can find on our</w:t>
      </w:r>
      <w:r>
        <w:rPr>
          <w:rFonts w:ascii="Arial" w:cs="Arial" w:eastAsia="Arial" w:hAnsi="Arial"/>
          <w:sz w:val="14"/>
          <w:szCs w:val="14"/>
          <w:b w:val="1"/>
          <w:bCs w:val="1"/>
          <w:color w:val="4395D4"/>
        </w:rPr>
        <w:t xml:space="preserve"> </w:t>
      </w:r>
      <w:r>
        <w:rPr>
          <w:rFonts w:ascii="Arial" w:cs="Arial" w:eastAsia="Arial" w:hAnsi="Arial"/>
          <w:sz w:val="14"/>
          <w:szCs w:val="14"/>
          <w:color w:val="231F20"/>
        </w:rPr>
        <w:t>interactive ESG microsite ESG.Essential.co.</w:t>
      </w:r>
    </w:p>
    <w:p>
      <w:pPr>
        <w:spacing w:after="0" w:line="47" w:lineRule="exact"/>
        <w:rPr>
          <w:rFonts w:ascii="Arial" w:cs="Arial" w:eastAsia="Arial" w:hAnsi="Arial"/>
          <w:sz w:val="14"/>
          <w:szCs w:val="14"/>
          <w:color w:val="4395D4"/>
        </w:rPr>
      </w:pPr>
    </w:p>
    <w:p>
      <w:pPr>
        <w:ind w:left="180" w:right="80" w:hanging="180"/>
        <w:spacing w:after="0" w:line="259" w:lineRule="auto"/>
        <w:tabs>
          <w:tab w:leader="none" w:pos="181" w:val="left"/>
        </w:tabs>
        <w:numPr>
          <w:ilvl w:val="0"/>
          <w:numId w:val="88"/>
        </w:numPr>
        <w:rPr>
          <w:rFonts w:ascii="Arial" w:cs="Arial" w:eastAsia="Arial" w:hAnsi="Arial"/>
          <w:sz w:val="14"/>
          <w:szCs w:val="14"/>
          <w:color w:val="4395D4"/>
        </w:rPr>
      </w:pPr>
      <w:r>
        <w:rPr>
          <w:rFonts w:ascii="Arial" w:cs="Arial" w:eastAsia="Arial" w:hAnsi="Arial"/>
          <w:sz w:val="14"/>
          <w:szCs w:val="14"/>
          <w:color w:val="231F20"/>
        </w:rPr>
        <w:t xml:space="preserve">In early 2021, we made a greenhouse gas emissions reduction commitment that the entire Company, </w:t>
      </w:r>
      <w:r>
        <w:rPr>
          <w:rFonts w:ascii="Arial" w:cs="Arial" w:eastAsia="Arial" w:hAnsi="Arial"/>
          <w:sz w:val="14"/>
          <w:szCs w:val="14"/>
          <w:b w:val="1"/>
          <w:bCs w:val="1"/>
          <w:color w:val="4395D4"/>
        </w:rPr>
        <w:t>by 2035, will reduce Scope 1 and 2 emissions by 60%</w:t>
      </w:r>
      <w:r>
        <w:rPr>
          <w:rFonts w:ascii="Arial" w:cs="Arial" w:eastAsia="Arial" w:hAnsi="Arial"/>
          <w:sz w:val="14"/>
          <w:szCs w:val="14"/>
          <w:color w:val="231F20"/>
        </w:rPr>
        <w:t xml:space="preserve"> </w:t>
      </w:r>
      <w:r>
        <w:rPr>
          <w:rFonts w:ascii="Arial" w:cs="Arial" w:eastAsia="Arial" w:hAnsi="Arial"/>
          <w:sz w:val="14"/>
          <w:szCs w:val="14"/>
          <w:b w:val="1"/>
          <w:bCs w:val="1"/>
          <w:color w:val="4395D4"/>
        </w:rPr>
        <w:t>from our 2019 baseline</w:t>
      </w:r>
      <w:r>
        <w:rPr>
          <w:rFonts w:ascii="Arial" w:cs="Arial" w:eastAsia="Arial" w:hAnsi="Arial"/>
          <w:sz w:val="14"/>
          <w:szCs w:val="14"/>
          <w:color w:val="231F20"/>
        </w:rPr>
        <w:t>.</w:t>
      </w:r>
    </w:p>
    <w:p>
      <w:pPr>
        <w:spacing w:after="0" w:line="12" w:lineRule="exact"/>
        <w:rPr>
          <w:rFonts w:ascii="Arial" w:cs="Arial" w:eastAsia="Arial" w:hAnsi="Arial"/>
          <w:sz w:val="14"/>
          <w:szCs w:val="14"/>
          <w:color w:val="4395D4"/>
        </w:rPr>
      </w:pPr>
    </w:p>
    <w:p>
      <w:pPr>
        <w:ind w:left="180" w:right="40" w:hanging="180"/>
        <w:spacing w:after="0" w:line="255" w:lineRule="auto"/>
        <w:tabs>
          <w:tab w:leader="none" w:pos="181" w:val="left"/>
        </w:tabs>
        <w:numPr>
          <w:ilvl w:val="0"/>
          <w:numId w:val="88"/>
        </w:numPr>
        <w:rPr>
          <w:rFonts w:ascii="Arial" w:cs="Arial" w:eastAsia="Arial" w:hAnsi="Arial"/>
          <w:sz w:val="14"/>
          <w:szCs w:val="14"/>
          <w:color w:val="4395D4"/>
        </w:rPr>
      </w:pPr>
      <w:r>
        <w:rPr>
          <w:rFonts w:ascii="Arial" w:cs="Arial" w:eastAsia="Arial" w:hAnsi="Arial"/>
          <w:sz w:val="14"/>
          <w:szCs w:val="14"/>
          <w:b w:val="1"/>
          <w:bCs w:val="1"/>
          <w:color w:val="4395D4"/>
        </w:rPr>
        <w:t>Additionally, we set commitments related to supplier diversity and employee diversity</w:t>
      </w:r>
      <w:r>
        <w:rPr>
          <w:rFonts w:ascii="Arial" w:cs="Arial" w:eastAsia="Arial" w:hAnsi="Arial"/>
          <w:sz w:val="14"/>
          <w:szCs w:val="14"/>
          <w:color w:val="231F20"/>
        </w:rPr>
        <w:t>. You can read more about these ESG initiatives on our ESG</w:t>
      </w:r>
      <w:r>
        <w:rPr>
          <w:rFonts w:ascii="Arial" w:cs="Arial" w:eastAsia="Arial" w:hAnsi="Arial"/>
          <w:sz w:val="14"/>
          <w:szCs w:val="14"/>
          <w:b w:val="1"/>
          <w:bCs w:val="1"/>
          <w:color w:val="4395D4"/>
        </w:rPr>
        <w:t xml:space="preserve"> </w:t>
      </w:r>
      <w:r>
        <w:rPr>
          <w:rFonts w:ascii="Arial" w:cs="Arial" w:eastAsia="Arial" w:hAnsi="Arial"/>
          <w:sz w:val="14"/>
          <w:szCs w:val="14"/>
          <w:color w:val="231F20"/>
        </w:rPr>
        <w:t>microsite at ESG.Essential.co.</w:t>
      </w:r>
    </w:p>
    <w:p>
      <w:pPr>
        <w:spacing w:after="0" w:line="212" w:lineRule="exact"/>
        <w:rPr>
          <w:sz w:val="20"/>
          <w:szCs w:val="20"/>
          <w:color w:val="auto"/>
        </w:rPr>
      </w:pPr>
    </w:p>
    <w:p>
      <w:pPr>
        <w:sectPr>
          <w:pgSz w:w="11900" w:h="16838" w:orient="portrait"/>
          <w:cols w:equalWidth="0" w:num="2">
            <w:col w:w="5340" w:space="520"/>
            <w:col w:w="5380"/>
          </w:cols>
          <w:pgMar w:left="320" w:top="636"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left="200" w:hanging="198"/>
        <w:spacing w:after="0"/>
        <w:tabs>
          <w:tab w:leader="none" w:pos="200" w:val="left"/>
        </w:tabs>
        <w:numPr>
          <w:ilvl w:val="0"/>
          <w:numId w:val="89"/>
        </w:numPr>
        <w:rPr>
          <w:rFonts w:ascii="Arial" w:cs="Arial" w:eastAsia="Arial" w:hAnsi="Arial"/>
          <w:sz w:val="13"/>
          <w:szCs w:val="13"/>
          <w:color w:val="231F20"/>
        </w:rPr>
      </w:pPr>
      <w:r>
        <w:rPr>
          <w:rFonts w:ascii="Arial" w:cs="Arial" w:eastAsia="Arial" w:hAnsi="Arial"/>
          <w:sz w:val="13"/>
          <w:szCs w:val="13"/>
          <w:color w:val="231F20"/>
        </w:rPr>
        <w:t>See Appendix B for a reconciliation of non-GAAP financial measures to GAAP financial measures.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126365</wp:posOffset>
            </wp:positionV>
            <wp:extent cx="7139940"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39940" cy="8255"/>
                    </a:xfrm>
                    <a:prstGeom prst="rect">
                      <a:avLst/>
                    </a:prstGeom>
                    <a:noFill/>
                  </pic:spPr>
                </pic:pic>
              </a:graphicData>
            </a:graphic>
          </wp:anchor>
        </w:drawing>
      </w:r>
    </w:p>
    <w:p>
      <w:pPr>
        <w:spacing w:after="0" w:line="225" w:lineRule="exact"/>
        <w:rPr>
          <w:sz w:val="20"/>
          <w:szCs w:val="20"/>
          <w:color w:val="auto"/>
        </w:rPr>
      </w:pPr>
    </w:p>
    <w:p>
      <w:pPr>
        <w:jc w:val="right"/>
        <w:spacing w:after="0"/>
        <w:tabs>
          <w:tab w:leader="none" w:pos="140" w:val="left"/>
        </w:tabs>
        <w:rPr>
          <w:sz w:val="20"/>
          <w:szCs w:val="20"/>
          <w:color w:val="auto"/>
        </w:rPr>
      </w:pPr>
      <w:r>
        <w:rPr>
          <w:rFonts w:ascii="Arial" w:cs="Arial" w:eastAsia="Arial" w:hAnsi="Arial"/>
          <w:sz w:val="12"/>
          <w:szCs w:val="12"/>
          <w:color w:val="4395D4"/>
        </w:rPr>
        <w:t xml:space="preserve">ESSENTIAL UTILITIES, INC. </w:t>
      </w:r>
      <w:r>
        <w:rPr>
          <w:rFonts w:ascii="Arial" w:cs="Arial" w:eastAsia="Arial" w:hAnsi="Arial"/>
          <w:sz w:val="12"/>
          <w:szCs w:val="12"/>
          <w:color w:val="455986"/>
        </w:rPr>
        <w:t>2021 PROXY STATEMENT</w:t>
      </w:r>
      <w:r>
        <w:rPr>
          <w:sz w:val="20"/>
          <w:szCs w:val="20"/>
          <w:color w:val="auto"/>
        </w:rPr>
        <w:tab/>
      </w:r>
      <w:r>
        <w:rPr>
          <w:rFonts w:ascii="Arial" w:cs="Arial" w:eastAsia="Arial" w:hAnsi="Arial"/>
          <w:sz w:val="14"/>
          <w:szCs w:val="14"/>
          <w:color w:val="455986"/>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346710</wp:posOffset>
            </wp:positionV>
            <wp:extent cx="7139940" cy="2413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39940" cy="24130"/>
                    </a:xfrm>
                    <a:prstGeom prst="rect">
                      <a:avLst/>
                    </a:prstGeom>
                    <a:noFill/>
                  </pic:spPr>
                </pic:pic>
              </a:graphicData>
            </a:graphic>
          </wp:anchor>
        </w:drawing>
      </w:r>
    </w:p>
    <w:p>
      <w:pPr>
        <w:sectPr>
          <w:pgSz w:w="11900" w:h="16838" w:orient="portrait"/>
          <w:cols w:equalWidth="0" w:num="1">
            <w:col w:w="11240"/>
          </w:cols>
          <w:pgMar w:left="320" w:top="636" w:right="339" w:bottom="1440" w:gutter="0" w:footer="0" w:header="0"/>
          <w:type w:val="continuous"/>
        </w:sectPr>
      </w:pPr>
    </w:p>
    <w:bookmarkStart w:id="46" w:name="page47"/>
    <w:bookmarkEnd w:id="46"/>
    <w:p>
      <w:pPr>
        <w:spacing w:after="0"/>
        <w:rPr>
          <w:sz w:val="20"/>
          <w:szCs w:val="20"/>
          <w:color w:val="auto"/>
        </w:rPr>
      </w:pPr>
      <w:r>
        <w:rPr>
          <w:rFonts w:ascii="Arial" w:cs="Arial" w:eastAsia="Arial" w:hAnsi="Arial"/>
          <w:sz w:val="14"/>
          <w:szCs w:val="14"/>
          <w:b w:val="1"/>
          <w:bCs w:val="1"/>
          <w:color w:val="455986"/>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27940</wp:posOffset>
            </wp:positionV>
            <wp:extent cx="7139940"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39940" cy="8255"/>
                    </a:xfrm>
                    <a:prstGeom prst="rect">
                      <a:avLst/>
                    </a:prstGeom>
                    <a:noFill/>
                  </pic:spPr>
                </pic:pic>
              </a:graphicData>
            </a:graphic>
          </wp:anchor>
        </w:drawing>
      </w:r>
    </w:p>
    <w:p>
      <w:pPr>
        <w:spacing w:after="0" w:line="76" w:lineRule="exact"/>
        <w:rPr>
          <w:sz w:val="20"/>
          <w:szCs w:val="20"/>
          <w:color w:val="auto"/>
        </w:rPr>
      </w:pPr>
    </w:p>
    <w:p>
      <w:pPr>
        <w:spacing w:after="0"/>
        <w:rPr>
          <w:sz w:val="20"/>
          <w:szCs w:val="20"/>
          <w:color w:val="auto"/>
        </w:rPr>
      </w:pPr>
      <w:r>
        <w:rPr>
          <w:rFonts w:ascii="Arial" w:cs="Arial" w:eastAsia="Arial" w:hAnsi="Arial"/>
          <w:sz w:val="14"/>
          <w:szCs w:val="14"/>
          <w:color w:val="231F20"/>
        </w:rPr>
        <w:t>Executive Summary</w:t>
      </w:r>
    </w:p>
    <w:p>
      <w:pPr>
        <w:spacing w:after="0" w:line="161" w:lineRule="exact"/>
        <w:rPr>
          <w:sz w:val="20"/>
          <w:szCs w:val="20"/>
          <w:color w:val="auto"/>
        </w:rPr>
      </w:pPr>
    </w:p>
    <w:p>
      <w:pPr>
        <w:spacing w:after="0"/>
        <w:rPr>
          <w:sz w:val="20"/>
          <w:szCs w:val="20"/>
          <w:color w:val="auto"/>
        </w:rPr>
      </w:pPr>
      <w:r>
        <w:rPr>
          <w:rFonts w:ascii="Arial" w:cs="Arial" w:eastAsia="Arial" w:hAnsi="Arial"/>
          <w:sz w:val="20"/>
          <w:szCs w:val="20"/>
          <w:b w:val="1"/>
          <w:bCs w:val="1"/>
          <w:color w:val="231F20"/>
        </w:rPr>
        <w:t>2018-2020 Pay for Performance Alignment</w:t>
      </w:r>
    </w:p>
    <w:p>
      <w:pPr>
        <w:spacing w:after="0" w:line="166" w:lineRule="exact"/>
        <w:rPr>
          <w:sz w:val="20"/>
          <w:szCs w:val="20"/>
          <w:color w:val="auto"/>
        </w:rPr>
      </w:pPr>
    </w:p>
    <w:p>
      <w:pPr>
        <w:ind w:right="660"/>
        <w:spacing w:after="0" w:line="278" w:lineRule="auto"/>
        <w:rPr>
          <w:sz w:val="20"/>
          <w:szCs w:val="20"/>
          <w:color w:val="auto"/>
        </w:rPr>
      </w:pPr>
      <w:r>
        <w:rPr>
          <w:rFonts w:ascii="Arial" w:cs="Arial" w:eastAsia="Arial" w:hAnsi="Arial"/>
          <w:sz w:val="14"/>
          <w:szCs w:val="14"/>
          <w:color w:val="231F20"/>
        </w:rPr>
        <w:t>Our pay programs are designed to reflect the Company’s performance. The following table shows the relationship between financial performance goals and executive performance-based payouts over the past three years:</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560" w:type="dxa"/>
            <w:vAlign w:val="bottom"/>
          </w:tcPr>
          <w:p>
            <w:pPr>
              <w:spacing w:after="0"/>
              <w:rPr>
                <w:sz w:val="14"/>
                <w:szCs w:val="14"/>
                <w:color w:val="auto"/>
              </w:rPr>
            </w:pPr>
          </w:p>
        </w:tc>
        <w:tc>
          <w:tcPr>
            <w:tcW w:w="2920" w:type="dxa"/>
            <w:vAlign w:val="bottom"/>
          </w:tcPr>
          <w:p>
            <w:pPr>
              <w:jc w:val="right"/>
              <w:ind w:right="108"/>
              <w:spacing w:after="0"/>
              <w:rPr>
                <w:sz w:val="20"/>
                <w:szCs w:val="20"/>
                <w:color w:val="auto"/>
              </w:rPr>
            </w:pPr>
            <w:r>
              <w:rPr>
                <w:rFonts w:ascii="Arial" w:cs="Arial" w:eastAsia="Arial" w:hAnsi="Arial"/>
                <w:sz w:val="14"/>
                <w:szCs w:val="14"/>
                <w:color w:val="455986"/>
              </w:rPr>
              <w:t>Target EPS</w:t>
            </w:r>
          </w:p>
        </w:tc>
        <w:tc>
          <w:tcPr>
            <w:tcW w:w="2120" w:type="dxa"/>
            <w:vAlign w:val="bottom"/>
          </w:tcPr>
          <w:p>
            <w:pPr>
              <w:jc w:val="right"/>
              <w:ind w:right="328"/>
              <w:spacing w:after="0"/>
              <w:rPr>
                <w:sz w:val="20"/>
                <w:szCs w:val="20"/>
                <w:color w:val="auto"/>
              </w:rPr>
            </w:pPr>
            <w:r>
              <w:rPr>
                <w:rFonts w:ascii="Arial" w:cs="Arial" w:eastAsia="Arial" w:hAnsi="Arial"/>
                <w:sz w:val="14"/>
                <w:szCs w:val="14"/>
                <w:color w:val="455986"/>
              </w:rPr>
              <w:t>EPS</w:t>
            </w:r>
          </w:p>
        </w:tc>
        <w:tc>
          <w:tcPr>
            <w:tcW w:w="1520" w:type="dxa"/>
            <w:vAlign w:val="bottom"/>
            <w:vMerge w:val="restart"/>
          </w:tcPr>
          <w:p>
            <w:pPr>
              <w:jc w:val="right"/>
              <w:ind w:right="168"/>
              <w:spacing w:after="0"/>
              <w:rPr>
                <w:sz w:val="20"/>
                <w:szCs w:val="20"/>
                <w:color w:val="auto"/>
              </w:rPr>
            </w:pPr>
            <w:r>
              <w:rPr>
                <w:rFonts w:ascii="Arial" w:cs="Arial" w:eastAsia="Arial" w:hAnsi="Arial"/>
                <w:sz w:val="14"/>
                <w:szCs w:val="14"/>
                <w:color w:val="455986"/>
              </w:rPr>
              <w:t>STI Payout %</w:t>
            </w:r>
          </w:p>
        </w:tc>
        <w:tc>
          <w:tcPr>
            <w:tcW w:w="1760" w:type="dxa"/>
            <w:vAlign w:val="bottom"/>
            <w:vMerge w:val="restart"/>
          </w:tcPr>
          <w:p>
            <w:pPr>
              <w:jc w:val="right"/>
              <w:ind w:right="248"/>
              <w:spacing w:after="0"/>
              <w:rPr>
                <w:sz w:val="20"/>
                <w:szCs w:val="20"/>
                <w:color w:val="auto"/>
              </w:rPr>
            </w:pPr>
            <w:r>
              <w:rPr>
                <w:rFonts w:ascii="Arial" w:cs="Arial" w:eastAsia="Arial" w:hAnsi="Arial"/>
                <w:sz w:val="14"/>
                <w:szCs w:val="14"/>
                <w:color w:val="455986"/>
              </w:rPr>
              <w:t>3 Year TSR Return</w:t>
            </w:r>
          </w:p>
        </w:tc>
        <w:tc>
          <w:tcPr>
            <w:tcW w:w="1360" w:type="dxa"/>
            <w:vAlign w:val="bottom"/>
            <w:vMerge w:val="restart"/>
          </w:tcPr>
          <w:p>
            <w:pPr>
              <w:jc w:val="right"/>
              <w:ind w:right="8"/>
              <w:spacing w:after="0"/>
              <w:rPr>
                <w:sz w:val="20"/>
                <w:szCs w:val="20"/>
                <w:color w:val="auto"/>
              </w:rPr>
            </w:pPr>
            <w:r>
              <w:rPr>
                <w:rFonts w:ascii="Arial" w:cs="Arial" w:eastAsia="Arial" w:hAnsi="Arial"/>
                <w:sz w:val="14"/>
                <w:szCs w:val="14"/>
                <w:color w:val="455986"/>
              </w:rPr>
              <w:t>PSU Payout %</w:t>
            </w:r>
          </w:p>
        </w:tc>
        <w:tc>
          <w:tcPr>
            <w:tcW w:w="0" w:type="dxa"/>
            <w:vAlign w:val="bottom"/>
          </w:tcPr>
          <w:p>
            <w:pPr>
              <w:spacing w:after="0"/>
              <w:rPr>
                <w:sz w:val="1"/>
                <w:szCs w:val="1"/>
                <w:color w:val="auto"/>
              </w:rPr>
            </w:pPr>
          </w:p>
        </w:tc>
      </w:tr>
      <w:tr>
        <w:trPr>
          <w:trHeight w:val="197"/>
        </w:trPr>
        <w:tc>
          <w:tcPr>
            <w:tcW w:w="1560" w:type="dxa"/>
            <w:vAlign w:val="bottom"/>
            <w:tcBorders>
              <w:bottom w:val="single" w:sz="8" w:color="4395D4"/>
            </w:tcBorders>
          </w:tcPr>
          <w:p>
            <w:pPr>
              <w:spacing w:after="0"/>
              <w:rPr>
                <w:sz w:val="17"/>
                <w:szCs w:val="17"/>
                <w:color w:val="auto"/>
              </w:rPr>
            </w:pPr>
          </w:p>
        </w:tc>
        <w:tc>
          <w:tcPr>
            <w:tcW w:w="2920" w:type="dxa"/>
            <w:vAlign w:val="bottom"/>
            <w:tcBorders>
              <w:bottom w:val="single" w:sz="8" w:color="4395D4"/>
            </w:tcBorders>
          </w:tcPr>
          <w:p>
            <w:pPr>
              <w:jc w:val="right"/>
              <w:ind w:right="68"/>
              <w:spacing w:after="0"/>
              <w:rPr>
                <w:sz w:val="20"/>
                <w:szCs w:val="20"/>
                <w:color w:val="auto"/>
              </w:rPr>
            </w:pPr>
            <w:r>
              <w:rPr>
                <w:rFonts w:ascii="Arial" w:cs="Arial" w:eastAsia="Arial" w:hAnsi="Arial"/>
                <w:sz w:val="14"/>
                <w:szCs w:val="14"/>
                <w:color w:val="455986"/>
              </w:rPr>
              <w:t>(adjusted for comp plan)</w:t>
            </w:r>
          </w:p>
        </w:tc>
        <w:tc>
          <w:tcPr>
            <w:tcW w:w="2120" w:type="dxa"/>
            <w:vAlign w:val="bottom"/>
            <w:tcBorders>
              <w:bottom w:val="single" w:sz="8" w:color="4395D4"/>
            </w:tcBorders>
          </w:tcPr>
          <w:p>
            <w:pPr>
              <w:jc w:val="right"/>
              <w:ind w:right="328"/>
              <w:spacing w:after="0"/>
              <w:rPr>
                <w:sz w:val="20"/>
                <w:szCs w:val="20"/>
                <w:color w:val="auto"/>
              </w:rPr>
            </w:pPr>
            <w:r>
              <w:rPr>
                <w:rFonts w:ascii="Arial" w:cs="Arial" w:eastAsia="Arial" w:hAnsi="Arial"/>
                <w:sz w:val="14"/>
                <w:szCs w:val="14"/>
                <w:color w:val="455986"/>
              </w:rPr>
              <w:t>(adjusted for comp plan)</w:t>
            </w:r>
          </w:p>
        </w:tc>
        <w:tc>
          <w:tcPr>
            <w:tcW w:w="1520" w:type="dxa"/>
            <w:vAlign w:val="bottom"/>
            <w:tcBorders>
              <w:bottom w:val="single" w:sz="8" w:color="4395D4"/>
            </w:tcBorders>
            <w:vMerge w:val="continue"/>
          </w:tcPr>
          <w:p>
            <w:pPr>
              <w:spacing w:after="0"/>
              <w:rPr>
                <w:sz w:val="17"/>
                <w:szCs w:val="17"/>
                <w:color w:val="auto"/>
              </w:rPr>
            </w:pPr>
          </w:p>
        </w:tc>
        <w:tc>
          <w:tcPr>
            <w:tcW w:w="1760" w:type="dxa"/>
            <w:vAlign w:val="bottom"/>
            <w:tcBorders>
              <w:bottom w:val="single" w:sz="8" w:color="4395D4"/>
            </w:tcBorders>
            <w:vMerge w:val="continue"/>
          </w:tcPr>
          <w:p>
            <w:pPr>
              <w:spacing w:after="0"/>
              <w:rPr>
                <w:sz w:val="17"/>
                <w:szCs w:val="17"/>
                <w:color w:val="auto"/>
              </w:rPr>
            </w:pPr>
          </w:p>
        </w:tc>
        <w:tc>
          <w:tcPr>
            <w:tcW w:w="1360" w:type="dxa"/>
            <w:vAlign w:val="bottom"/>
            <w:tcBorders>
              <w:bottom w:val="single" w:sz="8" w:color="4395D4"/>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1560" w:type="dxa"/>
            <w:vAlign w:val="bottom"/>
            <w:tcBorders>
              <w:bottom w:val="single" w:sz="8" w:color="231F20"/>
            </w:tcBorders>
          </w:tcPr>
          <w:p>
            <w:pPr>
              <w:jc w:val="right"/>
              <w:ind w:right="1168"/>
              <w:spacing w:after="0"/>
              <w:rPr>
                <w:sz w:val="20"/>
                <w:szCs w:val="20"/>
                <w:color w:val="auto"/>
              </w:rPr>
            </w:pPr>
            <w:r>
              <w:rPr>
                <w:rFonts w:ascii="Arial" w:cs="Arial" w:eastAsia="Arial" w:hAnsi="Arial"/>
                <w:sz w:val="14"/>
                <w:szCs w:val="14"/>
                <w:b w:val="1"/>
                <w:bCs w:val="1"/>
                <w:color w:val="455986"/>
                <w:w w:val="96"/>
              </w:rPr>
              <w:t>2018</w:t>
            </w:r>
          </w:p>
        </w:tc>
        <w:tc>
          <w:tcPr>
            <w:tcW w:w="2920" w:type="dxa"/>
            <w:vAlign w:val="bottom"/>
            <w:tcBorders>
              <w:bottom w:val="single" w:sz="8" w:color="231F20"/>
            </w:tcBorders>
          </w:tcPr>
          <w:p>
            <w:pPr>
              <w:jc w:val="right"/>
              <w:ind w:right="68"/>
              <w:spacing w:after="0"/>
              <w:rPr>
                <w:sz w:val="20"/>
                <w:szCs w:val="20"/>
                <w:color w:val="auto"/>
              </w:rPr>
            </w:pPr>
            <w:r>
              <w:rPr>
                <w:rFonts w:ascii="Arial" w:cs="Arial" w:eastAsia="Arial" w:hAnsi="Arial"/>
                <w:sz w:val="14"/>
                <w:szCs w:val="14"/>
                <w:color w:val="231F20"/>
              </w:rPr>
              <w:t>$1.39</w:t>
            </w:r>
          </w:p>
        </w:tc>
        <w:tc>
          <w:tcPr>
            <w:tcW w:w="2120" w:type="dxa"/>
            <w:vAlign w:val="bottom"/>
            <w:tcBorders>
              <w:bottom w:val="single" w:sz="8" w:color="231F20"/>
            </w:tcBorders>
          </w:tcPr>
          <w:p>
            <w:pPr>
              <w:jc w:val="right"/>
              <w:ind w:right="328"/>
              <w:spacing w:after="0"/>
              <w:rPr>
                <w:sz w:val="20"/>
                <w:szCs w:val="20"/>
                <w:color w:val="auto"/>
              </w:rPr>
            </w:pPr>
            <w:r>
              <w:rPr>
                <w:rFonts w:ascii="Arial" w:cs="Arial" w:eastAsia="Arial" w:hAnsi="Arial"/>
                <w:sz w:val="14"/>
                <w:szCs w:val="14"/>
                <w:color w:val="231F20"/>
              </w:rPr>
              <w:t>Achieved</w:t>
            </w:r>
          </w:p>
        </w:tc>
        <w:tc>
          <w:tcPr>
            <w:tcW w:w="1520" w:type="dxa"/>
            <w:vAlign w:val="bottom"/>
            <w:tcBorders>
              <w:bottom w:val="single" w:sz="8" w:color="231F20"/>
            </w:tcBorders>
          </w:tcPr>
          <w:p>
            <w:pPr>
              <w:jc w:val="right"/>
              <w:ind w:right="168"/>
              <w:spacing w:after="0"/>
              <w:rPr>
                <w:sz w:val="20"/>
                <w:szCs w:val="20"/>
                <w:color w:val="auto"/>
              </w:rPr>
            </w:pPr>
            <w:r>
              <w:rPr>
                <w:rFonts w:ascii="Arial" w:cs="Arial" w:eastAsia="Arial" w:hAnsi="Arial"/>
                <w:sz w:val="14"/>
                <w:szCs w:val="14"/>
                <w:color w:val="231F20"/>
              </w:rPr>
              <w:t>136.34%</w:t>
            </w:r>
          </w:p>
        </w:tc>
        <w:tc>
          <w:tcPr>
            <w:tcW w:w="1760" w:type="dxa"/>
            <w:vAlign w:val="bottom"/>
            <w:tcBorders>
              <w:bottom w:val="single" w:sz="8" w:color="231F20"/>
            </w:tcBorders>
          </w:tcPr>
          <w:p>
            <w:pPr>
              <w:jc w:val="right"/>
              <w:ind w:right="248"/>
              <w:spacing w:after="0"/>
              <w:rPr>
                <w:sz w:val="20"/>
                <w:szCs w:val="20"/>
                <w:color w:val="auto"/>
              </w:rPr>
            </w:pPr>
            <w:r>
              <w:rPr>
                <w:rFonts w:ascii="Arial" w:cs="Arial" w:eastAsia="Arial" w:hAnsi="Arial"/>
                <w:sz w:val="14"/>
                <w:szCs w:val="14"/>
                <w:color w:val="231F20"/>
              </w:rPr>
              <w:t>23.32%</w:t>
            </w:r>
          </w:p>
        </w:tc>
        <w:tc>
          <w:tcPr>
            <w:tcW w:w="1360" w:type="dxa"/>
            <w:vAlign w:val="bottom"/>
            <w:tcBorders>
              <w:bottom w:val="single" w:sz="8" w:color="231F20"/>
            </w:tcBorders>
          </w:tcPr>
          <w:p>
            <w:pPr>
              <w:jc w:val="right"/>
              <w:ind w:right="8"/>
              <w:spacing w:after="0"/>
              <w:rPr>
                <w:sz w:val="20"/>
                <w:szCs w:val="20"/>
                <w:color w:val="auto"/>
              </w:rPr>
            </w:pPr>
            <w:r>
              <w:rPr>
                <w:rFonts w:ascii="Arial" w:cs="Arial" w:eastAsia="Arial" w:hAnsi="Arial"/>
                <w:sz w:val="14"/>
                <w:szCs w:val="14"/>
                <w:color w:val="231F20"/>
              </w:rPr>
              <w:t>70.68%</w:t>
            </w:r>
          </w:p>
        </w:tc>
        <w:tc>
          <w:tcPr>
            <w:tcW w:w="0" w:type="dxa"/>
            <w:vAlign w:val="bottom"/>
          </w:tcPr>
          <w:p>
            <w:pPr>
              <w:spacing w:after="0"/>
              <w:rPr>
                <w:sz w:val="1"/>
                <w:szCs w:val="1"/>
                <w:color w:val="auto"/>
              </w:rPr>
            </w:pPr>
          </w:p>
        </w:tc>
      </w:tr>
      <w:tr>
        <w:trPr>
          <w:trHeight w:val="197"/>
        </w:trPr>
        <w:tc>
          <w:tcPr>
            <w:tcW w:w="1560" w:type="dxa"/>
            <w:vAlign w:val="bottom"/>
            <w:tcBorders>
              <w:bottom w:val="single" w:sz="8" w:color="231F20"/>
            </w:tcBorders>
          </w:tcPr>
          <w:p>
            <w:pPr>
              <w:jc w:val="right"/>
              <w:ind w:right="1168"/>
              <w:spacing w:after="0"/>
              <w:rPr>
                <w:sz w:val="20"/>
                <w:szCs w:val="20"/>
                <w:color w:val="auto"/>
              </w:rPr>
            </w:pPr>
            <w:r>
              <w:rPr>
                <w:rFonts w:ascii="Arial" w:cs="Arial" w:eastAsia="Arial" w:hAnsi="Arial"/>
                <w:sz w:val="14"/>
                <w:szCs w:val="14"/>
                <w:b w:val="1"/>
                <w:bCs w:val="1"/>
                <w:color w:val="455986"/>
                <w:w w:val="96"/>
              </w:rPr>
              <w:t>2019</w:t>
            </w:r>
          </w:p>
        </w:tc>
        <w:tc>
          <w:tcPr>
            <w:tcW w:w="2920" w:type="dxa"/>
            <w:vAlign w:val="bottom"/>
            <w:tcBorders>
              <w:bottom w:val="single" w:sz="8" w:color="231F20"/>
            </w:tcBorders>
          </w:tcPr>
          <w:p>
            <w:pPr>
              <w:jc w:val="right"/>
              <w:ind w:right="68"/>
              <w:spacing w:after="0"/>
              <w:rPr>
                <w:sz w:val="20"/>
                <w:szCs w:val="20"/>
                <w:color w:val="auto"/>
              </w:rPr>
            </w:pPr>
            <w:r>
              <w:rPr>
                <w:rFonts w:ascii="Arial" w:cs="Arial" w:eastAsia="Arial" w:hAnsi="Arial"/>
                <w:sz w:val="14"/>
                <w:szCs w:val="14"/>
                <w:color w:val="231F20"/>
              </w:rPr>
              <w:t>$1.47</w:t>
            </w:r>
          </w:p>
        </w:tc>
        <w:tc>
          <w:tcPr>
            <w:tcW w:w="2120" w:type="dxa"/>
            <w:vAlign w:val="bottom"/>
            <w:tcBorders>
              <w:bottom w:val="single" w:sz="8" w:color="231F20"/>
            </w:tcBorders>
          </w:tcPr>
          <w:p>
            <w:pPr>
              <w:jc w:val="right"/>
              <w:ind w:right="328"/>
              <w:spacing w:after="0"/>
              <w:rPr>
                <w:sz w:val="20"/>
                <w:szCs w:val="20"/>
                <w:color w:val="auto"/>
              </w:rPr>
            </w:pPr>
            <w:r>
              <w:rPr>
                <w:rFonts w:ascii="Arial" w:cs="Arial" w:eastAsia="Arial" w:hAnsi="Arial"/>
                <w:sz w:val="14"/>
                <w:szCs w:val="14"/>
                <w:color w:val="231F20"/>
              </w:rPr>
              <w:t>Achieved</w:t>
            </w:r>
          </w:p>
        </w:tc>
        <w:tc>
          <w:tcPr>
            <w:tcW w:w="1520" w:type="dxa"/>
            <w:vAlign w:val="bottom"/>
            <w:tcBorders>
              <w:bottom w:val="single" w:sz="8" w:color="231F20"/>
            </w:tcBorders>
          </w:tcPr>
          <w:p>
            <w:pPr>
              <w:jc w:val="right"/>
              <w:ind w:right="168"/>
              <w:spacing w:after="0"/>
              <w:rPr>
                <w:sz w:val="20"/>
                <w:szCs w:val="20"/>
                <w:color w:val="auto"/>
              </w:rPr>
            </w:pPr>
            <w:r>
              <w:rPr>
                <w:rFonts w:ascii="Arial" w:cs="Arial" w:eastAsia="Arial" w:hAnsi="Arial"/>
                <w:sz w:val="14"/>
                <w:szCs w:val="14"/>
                <w:color w:val="231F20"/>
              </w:rPr>
              <w:t>126.45%</w:t>
            </w:r>
          </w:p>
        </w:tc>
        <w:tc>
          <w:tcPr>
            <w:tcW w:w="1760" w:type="dxa"/>
            <w:vAlign w:val="bottom"/>
            <w:tcBorders>
              <w:bottom w:val="single" w:sz="8" w:color="231F20"/>
            </w:tcBorders>
          </w:tcPr>
          <w:p>
            <w:pPr>
              <w:jc w:val="right"/>
              <w:ind w:right="248"/>
              <w:spacing w:after="0"/>
              <w:rPr>
                <w:sz w:val="20"/>
                <w:szCs w:val="20"/>
                <w:color w:val="auto"/>
              </w:rPr>
            </w:pPr>
            <w:r>
              <w:rPr>
                <w:rFonts w:ascii="Arial" w:cs="Arial" w:eastAsia="Arial" w:hAnsi="Arial"/>
                <w:sz w:val="14"/>
                <w:szCs w:val="14"/>
                <w:color w:val="231F20"/>
              </w:rPr>
              <w:t>67.75%</w:t>
            </w:r>
          </w:p>
        </w:tc>
        <w:tc>
          <w:tcPr>
            <w:tcW w:w="1360" w:type="dxa"/>
            <w:vAlign w:val="bottom"/>
            <w:tcBorders>
              <w:bottom w:val="single" w:sz="8" w:color="231F20"/>
            </w:tcBorders>
          </w:tcPr>
          <w:p>
            <w:pPr>
              <w:jc w:val="right"/>
              <w:ind w:right="8"/>
              <w:spacing w:after="0"/>
              <w:rPr>
                <w:sz w:val="20"/>
                <w:szCs w:val="20"/>
                <w:color w:val="auto"/>
              </w:rPr>
            </w:pPr>
            <w:r>
              <w:rPr>
                <w:rFonts w:ascii="Arial" w:cs="Arial" w:eastAsia="Arial" w:hAnsi="Arial"/>
                <w:sz w:val="14"/>
                <w:szCs w:val="14"/>
                <w:color w:val="231F20"/>
              </w:rPr>
              <w:t>159.91%</w:t>
            </w:r>
          </w:p>
        </w:tc>
        <w:tc>
          <w:tcPr>
            <w:tcW w:w="0" w:type="dxa"/>
            <w:vAlign w:val="bottom"/>
          </w:tcPr>
          <w:p>
            <w:pPr>
              <w:spacing w:after="0"/>
              <w:rPr>
                <w:sz w:val="1"/>
                <w:szCs w:val="1"/>
                <w:color w:val="auto"/>
              </w:rPr>
            </w:pPr>
          </w:p>
        </w:tc>
      </w:tr>
      <w:tr>
        <w:trPr>
          <w:trHeight w:val="197"/>
        </w:trPr>
        <w:tc>
          <w:tcPr>
            <w:tcW w:w="1560" w:type="dxa"/>
            <w:vAlign w:val="bottom"/>
            <w:tcBorders>
              <w:bottom w:val="single" w:sz="8" w:color="455986"/>
            </w:tcBorders>
          </w:tcPr>
          <w:p>
            <w:pPr>
              <w:jc w:val="right"/>
              <w:ind w:right="1168"/>
              <w:spacing w:after="0"/>
              <w:rPr>
                <w:sz w:val="20"/>
                <w:szCs w:val="20"/>
                <w:color w:val="auto"/>
              </w:rPr>
            </w:pPr>
            <w:r>
              <w:rPr>
                <w:rFonts w:ascii="Arial" w:cs="Arial" w:eastAsia="Arial" w:hAnsi="Arial"/>
                <w:sz w:val="14"/>
                <w:szCs w:val="14"/>
                <w:b w:val="1"/>
                <w:bCs w:val="1"/>
                <w:color w:val="455986"/>
                <w:w w:val="96"/>
              </w:rPr>
              <w:t>2020</w:t>
            </w:r>
          </w:p>
        </w:tc>
        <w:tc>
          <w:tcPr>
            <w:tcW w:w="2920" w:type="dxa"/>
            <w:vAlign w:val="bottom"/>
            <w:tcBorders>
              <w:bottom w:val="single" w:sz="8" w:color="455986"/>
            </w:tcBorders>
          </w:tcPr>
          <w:p>
            <w:pPr>
              <w:jc w:val="right"/>
              <w:ind w:right="68"/>
              <w:spacing w:after="0"/>
              <w:rPr>
                <w:sz w:val="20"/>
                <w:szCs w:val="20"/>
                <w:color w:val="auto"/>
              </w:rPr>
            </w:pPr>
            <w:r>
              <w:rPr>
                <w:rFonts w:ascii="Arial" w:cs="Arial" w:eastAsia="Arial" w:hAnsi="Arial"/>
                <w:sz w:val="14"/>
                <w:szCs w:val="14"/>
                <w:color w:val="231F20"/>
              </w:rPr>
              <w:t>$1.55</w:t>
            </w:r>
          </w:p>
        </w:tc>
        <w:tc>
          <w:tcPr>
            <w:tcW w:w="2120" w:type="dxa"/>
            <w:vAlign w:val="bottom"/>
            <w:tcBorders>
              <w:bottom w:val="single" w:sz="8" w:color="455986"/>
            </w:tcBorders>
          </w:tcPr>
          <w:p>
            <w:pPr>
              <w:jc w:val="right"/>
              <w:ind w:right="328"/>
              <w:spacing w:after="0"/>
              <w:rPr>
                <w:sz w:val="20"/>
                <w:szCs w:val="20"/>
                <w:color w:val="auto"/>
              </w:rPr>
            </w:pPr>
            <w:r>
              <w:rPr>
                <w:rFonts w:ascii="Arial" w:cs="Arial" w:eastAsia="Arial" w:hAnsi="Arial"/>
                <w:sz w:val="14"/>
                <w:szCs w:val="14"/>
                <w:color w:val="231F20"/>
              </w:rPr>
              <w:t>Achieved</w:t>
            </w:r>
          </w:p>
        </w:tc>
        <w:tc>
          <w:tcPr>
            <w:tcW w:w="1520" w:type="dxa"/>
            <w:vAlign w:val="bottom"/>
            <w:tcBorders>
              <w:bottom w:val="single" w:sz="8" w:color="455986"/>
            </w:tcBorders>
          </w:tcPr>
          <w:p>
            <w:pPr>
              <w:jc w:val="right"/>
              <w:ind w:right="168"/>
              <w:spacing w:after="0"/>
              <w:rPr>
                <w:sz w:val="20"/>
                <w:szCs w:val="20"/>
                <w:color w:val="auto"/>
              </w:rPr>
            </w:pPr>
            <w:r>
              <w:rPr>
                <w:rFonts w:ascii="Arial" w:cs="Arial" w:eastAsia="Arial" w:hAnsi="Arial"/>
                <w:sz w:val="14"/>
                <w:szCs w:val="14"/>
                <w:color w:val="231F20"/>
              </w:rPr>
              <w:t>137.10%</w:t>
            </w:r>
          </w:p>
        </w:tc>
        <w:tc>
          <w:tcPr>
            <w:tcW w:w="1760" w:type="dxa"/>
            <w:vAlign w:val="bottom"/>
            <w:tcBorders>
              <w:bottom w:val="single" w:sz="8" w:color="455986"/>
            </w:tcBorders>
          </w:tcPr>
          <w:p>
            <w:pPr>
              <w:jc w:val="right"/>
              <w:ind w:right="248"/>
              <w:spacing w:after="0"/>
              <w:rPr>
                <w:sz w:val="20"/>
                <w:szCs w:val="20"/>
                <w:color w:val="auto"/>
              </w:rPr>
            </w:pPr>
            <w:r>
              <w:rPr>
                <w:rFonts w:ascii="Arial" w:cs="Arial" w:eastAsia="Arial" w:hAnsi="Arial"/>
                <w:sz w:val="14"/>
                <w:szCs w:val="14"/>
                <w:color w:val="231F20"/>
              </w:rPr>
              <w:t>29.08%</w:t>
            </w:r>
          </w:p>
        </w:tc>
        <w:tc>
          <w:tcPr>
            <w:tcW w:w="1360" w:type="dxa"/>
            <w:vAlign w:val="bottom"/>
            <w:tcBorders>
              <w:bottom w:val="single" w:sz="8" w:color="455986"/>
            </w:tcBorders>
          </w:tcPr>
          <w:p>
            <w:pPr>
              <w:jc w:val="right"/>
              <w:ind w:right="8"/>
              <w:spacing w:after="0"/>
              <w:rPr>
                <w:sz w:val="20"/>
                <w:szCs w:val="20"/>
                <w:color w:val="auto"/>
              </w:rPr>
            </w:pPr>
            <w:r>
              <w:rPr>
                <w:rFonts w:ascii="Arial" w:cs="Arial" w:eastAsia="Arial" w:hAnsi="Arial"/>
                <w:sz w:val="14"/>
                <w:szCs w:val="14"/>
                <w:color w:val="231F20"/>
              </w:rPr>
              <w:t>175.00%</w:t>
            </w:r>
          </w:p>
        </w:tc>
        <w:tc>
          <w:tcPr>
            <w:tcW w:w="0" w:type="dxa"/>
            <w:vAlign w:val="bottom"/>
          </w:tcPr>
          <w:p>
            <w:pPr>
              <w:spacing w:after="0"/>
              <w:rPr>
                <w:sz w:val="1"/>
                <w:szCs w:val="1"/>
                <w:color w:val="auto"/>
              </w:rPr>
            </w:pPr>
          </w:p>
        </w:tc>
      </w:tr>
    </w:tbl>
    <w:p>
      <w:pPr>
        <w:spacing w:after="0" w:line="121" w:lineRule="exact"/>
        <w:rPr>
          <w:sz w:val="20"/>
          <w:szCs w:val="20"/>
          <w:color w:val="auto"/>
        </w:rPr>
      </w:pPr>
    </w:p>
    <w:p>
      <w:pPr>
        <w:spacing w:after="0"/>
        <w:rPr>
          <w:sz w:val="20"/>
          <w:szCs w:val="20"/>
          <w:color w:val="auto"/>
        </w:rPr>
      </w:pPr>
      <w:r>
        <w:rPr>
          <w:rFonts w:ascii="Arial" w:cs="Arial" w:eastAsia="Arial" w:hAnsi="Arial"/>
          <w:sz w:val="24"/>
          <w:szCs w:val="24"/>
          <w:b w:val="1"/>
          <w:bCs w:val="1"/>
          <w:color w:val="455986"/>
        </w:rPr>
        <w:t>Our Pay for Performance Compensation Program</w:t>
      </w:r>
    </w:p>
    <w:p>
      <w:pPr>
        <w:spacing w:after="0" w:line="169" w:lineRule="exact"/>
        <w:rPr>
          <w:sz w:val="20"/>
          <w:szCs w:val="20"/>
          <w:color w:val="auto"/>
        </w:rPr>
      </w:pPr>
    </w:p>
    <w:p>
      <w:pPr>
        <w:spacing w:after="0"/>
        <w:rPr>
          <w:sz w:val="20"/>
          <w:szCs w:val="20"/>
          <w:color w:val="auto"/>
        </w:rPr>
      </w:pPr>
      <w:r>
        <w:rPr>
          <w:rFonts w:ascii="Arial" w:cs="Arial" w:eastAsia="Arial" w:hAnsi="Arial"/>
          <w:sz w:val="14"/>
          <w:szCs w:val="14"/>
          <w:color w:val="231F20"/>
        </w:rPr>
        <w:t>Our compensation program for named executive officers is designed to:</w:t>
      </w:r>
    </w:p>
    <w:p>
      <w:pPr>
        <w:spacing w:after="0" w:line="145" w:lineRule="exact"/>
        <w:rPr>
          <w:sz w:val="20"/>
          <w:szCs w:val="20"/>
          <w:color w:val="auto"/>
        </w:rPr>
      </w:pPr>
    </w:p>
    <w:p>
      <w:pPr>
        <w:ind w:left="200" w:right="60" w:hanging="198"/>
        <w:spacing w:after="0" w:line="278" w:lineRule="auto"/>
        <w:tabs>
          <w:tab w:leader="none" w:pos="200" w:val="left"/>
        </w:tabs>
        <w:numPr>
          <w:ilvl w:val="0"/>
          <w:numId w:val="90"/>
        </w:numPr>
        <w:rPr>
          <w:rFonts w:ascii="Arial" w:cs="Arial" w:eastAsia="Arial" w:hAnsi="Arial"/>
          <w:sz w:val="14"/>
          <w:szCs w:val="14"/>
          <w:color w:val="4395D4"/>
        </w:rPr>
      </w:pPr>
      <w:r>
        <w:rPr>
          <w:rFonts w:ascii="Arial" w:cs="Arial" w:eastAsia="Arial" w:hAnsi="Arial"/>
          <w:sz w:val="14"/>
          <w:szCs w:val="14"/>
          <w:color w:val="231F20"/>
        </w:rPr>
        <w:t>Provide compensation that is competitive with our industry peers and appropriately correlates incentive compensation to the achievement of the Company’s short- and long-term performance for customers and shareholders;</w:t>
      </w:r>
    </w:p>
    <w:p>
      <w:pPr>
        <w:spacing w:after="0" w:line="9" w:lineRule="exact"/>
        <w:rPr>
          <w:rFonts w:ascii="Arial" w:cs="Arial" w:eastAsia="Arial" w:hAnsi="Arial"/>
          <w:sz w:val="14"/>
          <w:szCs w:val="14"/>
          <w:color w:val="4395D4"/>
        </w:rPr>
      </w:pPr>
    </w:p>
    <w:p>
      <w:pPr>
        <w:ind w:left="200" w:hanging="198"/>
        <w:spacing w:after="0"/>
        <w:tabs>
          <w:tab w:leader="none" w:pos="200" w:val="left"/>
        </w:tabs>
        <w:numPr>
          <w:ilvl w:val="0"/>
          <w:numId w:val="90"/>
        </w:numPr>
        <w:rPr>
          <w:rFonts w:ascii="Arial" w:cs="Arial" w:eastAsia="Arial" w:hAnsi="Arial"/>
          <w:sz w:val="14"/>
          <w:szCs w:val="14"/>
          <w:color w:val="4395D4"/>
        </w:rPr>
      </w:pPr>
      <w:r>
        <w:rPr>
          <w:rFonts w:ascii="Arial" w:cs="Arial" w:eastAsia="Arial" w:hAnsi="Arial"/>
          <w:sz w:val="14"/>
          <w:szCs w:val="14"/>
          <w:color w:val="231F20"/>
        </w:rPr>
        <w:t>Provide a total compensation package that is aligned with industry standards and enhances our ability to:</w:t>
      </w:r>
    </w:p>
    <w:p>
      <w:pPr>
        <w:spacing w:after="0" w:line="81" w:lineRule="exact"/>
        <w:rPr>
          <w:rFonts w:ascii="Arial" w:cs="Arial" w:eastAsia="Arial" w:hAnsi="Arial"/>
          <w:sz w:val="14"/>
          <w:szCs w:val="14"/>
          <w:color w:val="4395D4"/>
        </w:rPr>
      </w:pPr>
    </w:p>
    <w:p>
      <w:pPr>
        <w:ind w:left="200"/>
        <w:spacing w:after="0"/>
        <w:rPr>
          <w:rFonts w:ascii="Arial" w:cs="Arial" w:eastAsia="Arial" w:hAnsi="Arial"/>
          <w:sz w:val="14"/>
          <w:szCs w:val="14"/>
          <w:color w:val="4395D4"/>
        </w:rPr>
      </w:pPr>
      <w:r>
        <w:rPr>
          <w:rFonts w:ascii="Arial" w:cs="Arial" w:eastAsia="Arial" w:hAnsi="Arial"/>
          <w:sz w:val="14"/>
          <w:szCs w:val="14"/>
          <w:color w:val="455986"/>
        </w:rPr>
        <w:t xml:space="preserve">–  </w:t>
      </w:r>
      <w:r>
        <w:rPr>
          <w:rFonts w:ascii="Arial" w:cs="Arial" w:eastAsia="Arial" w:hAnsi="Arial"/>
          <w:sz w:val="14"/>
          <w:szCs w:val="14"/>
          <w:color w:val="231F20"/>
        </w:rPr>
        <w:t>Motivate and reward our named executive officers for contributions to our financial success;</w:t>
      </w:r>
    </w:p>
    <w:p>
      <w:pPr>
        <w:spacing w:after="0" w:line="81" w:lineRule="exact"/>
        <w:rPr>
          <w:rFonts w:ascii="Arial" w:cs="Arial" w:eastAsia="Arial" w:hAnsi="Arial"/>
          <w:sz w:val="14"/>
          <w:szCs w:val="14"/>
          <w:color w:val="4395D4"/>
        </w:rPr>
      </w:pPr>
    </w:p>
    <w:p>
      <w:pPr>
        <w:ind w:left="200"/>
        <w:spacing w:after="0"/>
        <w:rPr>
          <w:rFonts w:ascii="Arial" w:cs="Arial" w:eastAsia="Arial" w:hAnsi="Arial"/>
          <w:sz w:val="14"/>
          <w:szCs w:val="14"/>
          <w:color w:val="4395D4"/>
        </w:rPr>
      </w:pPr>
      <w:r>
        <w:rPr>
          <w:rFonts w:ascii="Arial" w:cs="Arial" w:eastAsia="Arial" w:hAnsi="Arial"/>
          <w:sz w:val="14"/>
          <w:szCs w:val="14"/>
          <w:color w:val="455986"/>
        </w:rPr>
        <w:t xml:space="preserve">–  </w:t>
      </w:r>
      <w:r>
        <w:rPr>
          <w:rFonts w:ascii="Arial" w:cs="Arial" w:eastAsia="Arial" w:hAnsi="Arial"/>
          <w:sz w:val="14"/>
          <w:szCs w:val="14"/>
          <w:color w:val="231F20"/>
        </w:rPr>
        <w:t>Attract and retain talented and experienced named executive officers; and</w:t>
      </w:r>
    </w:p>
    <w:p>
      <w:pPr>
        <w:spacing w:after="0" w:line="69" w:lineRule="exact"/>
        <w:rPr>
          <w:sz w:val="20"/>
          <w:szCs w:val="20"/>
          <w:color w:val="auto"/>
        </w:rPr>
      </w:pPr>
    </w:p>
    <w:p>
      <w:pPr>
        <w:ind w:left="200"/>
        <w:spacing w:after="0"/>
        <w:rPr>
          <w:sz w:val="20"/>
          <w:szCs w:val="20"/>
          <w:color w:val="auto"/>
        </w:rPr>
      </w:pPr>
      <w:r>
        <w:rPr>
          <w:rFonts w:ascii="Arial" w:cs="Arial" w:eastAsia="Arial" w:hAnsi="Arial"/>
          <w:sz w:val="14"/>
          <w:szCs w:val="14"/>
          <w:color w:val="455986"/>
        </w:rPr>
        <w:t xml:space="preserve">−  </w:t>
      </w:r>
      <w:r>
        <w:rPr>
          <w:rFonts w:ascii="Arial" w:cs="Arial" w:eastAsia="Arial" w:hAnsi="Arial"/>
          <w:sz w:val="14"/>
          <w:szCs w:val="14"/>
          <w:color w:val="231F20"/>
        </w:rPr>
        <w:t>Ensure a significant portion of pay is performance based to better align pay with the successful achievement of our business objectives;</w:t>
      </w:r>
    </w:p>
    <w:p>
      <w:pPr>
        <w:spacing w:after="0" w:line="81" w:lineRule="exact"/>
        <w:rPr>
          <w:sz w:val="20"/>
          <w:szCs w:val="20"/>
          <w:color w:val="auto"/>
        </w:rPr>
      </w:pPr>
    </w:p>
    <w:p>
      <w:pPr>
        <w:ind w:left="200" w:hanging="198"/>
        <w:spacing w:after="0"/>
        <w:tabs>
          <w:tab w:leader="none" w:pos="200" w:val="left"/>
        </w:tabs>
        <w:numPr>
          <w:ilvl w:val="0"/>
          <w:numId w:val="91"/>
        </w:numPr>
        <w:rPr>
          <w:rFonts w:ascii="Arial" w:cs="Arial" w:eastAsia="Arial" w:hAnsi="Arial"/>
          <w:sz w:val="14"/>
          <w:szCs w:val="14"/>
          <w:color w:val="4395D4"/>
        </w:rPr>
      </w:pPr>
      <w:r>
        <w:rPr>
          <w:rFonts w:ascii="Arial" w:cs="Arial" w:eastAsia="Arial" w:hAnsi="Arial"/>
          <w:sz w:val="14"/>
          <w:szCs w:val="14"/>
          <w:color w:val="231F20"/>
        </w:rPr>
        <w:t>Reward our named executive officers for leadership excellence and contribution to the organization’s success; and</w:t>
      </w:r>
    </w:p>
    <w:p>
      <w:pPr>
        <w:spacing w:after="0" w:line="81" w:lineRule="exact"/>
        <w:rPr>
          <w:rFonts w:ascii="Arial" w:cs="Arial" w:eastAsia="Arial" w:hAnsi="Arial"/>
          <w:sz w:val="14"/>
          <w:szCs w:val="14"/>
          <w:color w:val="4395D4"/>
        </w:rPr>
      </w:pPr>
    </w:p>
    <w:p>
      <w:pPr>
        <w:ind w:left="200" w:hanging="198"/>
        <w:spacing w:after="0"/>
        <w:tabs>
          <w:tab w:leader="none" w:pos="200" w:val="left"/>
        </w:tabs>
        <w:numPr>
          <w:ilvl w:val="0"/>
          <w:numId w:val="91"/>
        </w:numPr>
        <w:rPr>
          <w:rFonts w:ascii="Arial" w:cs="Arial" w:eastAsia="Arial" w:hAnsi="Arial"/>
          <w:sz w:val="14"/>
          <w:szCs w:val="14"/>
          <w:color w:val="4395D4"/>
        </w:rPr>
      </w:pPr>
      <w:r>
        <w:rPr>
          <w:rFonts w:ascii="Arial" w:cs="Arial" w:eastAsia="Arial" w:hAnsi="Arial"/>
          <w:sz w:val="14"/>
          <w:szCs w:val="14"/>
          <w:color w:val="231F20"/>
        </w:rPr>
        <w:t>Maintain an important focus on environmental, social, and governance issues while building shareholder value.</w:t>
      </w:r>
    </w:p>
    <w:p>
      <w:pPr>
        <w:spacing w:after="0" w:line="134" w:lineRule="exact"/>
        <w:rPr>
          <w:sz w:val="20"/>
          <w:szCs w:val="20"/>
          <w:color w:val="auto"/>
        </w:rPr>
      </w:pPr>
    </w:p>
    <w:p>
      <w:pPr>
        <w:spacing w:after="0"/>
        <w:rPr>
          <w:sz w:val="20"/>
          <w:szCs w:val="20"/>
          <w:color w:val="auto"/>
        </w:rPr>
      </w:pPr>
      <w:r>
        <w:rPr>
          <w:rFonts w:ascii="Arial" w:cs="Arial" w:eastAsia="Arial" w:hAnsi="Arial"/>
          <w:sz w:val="24"/>
          <w:szCs w:val="24"/>
          <w:b w:val="1"/>
          <w:bCs w:val="1"/>
          <w:color w:val="455986"/>
        </w:rPr>
        <w:t>Highlights of our Compensation Policies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121285</wp:posOffset>
            </wp:positionV>
            <wp:extent cx="7139940" cy="21799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39940" cy="21799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300" w:hanging="298"/>
        <w:spacing w:after="0"/>
        <w:tabs>
          <w:tab w:leader="none" w:pos="300" w:val="left"/>
        </w:tabs>
        <w:numPr>
          <w:ilvl w:val="0"/>
          <w:numId w:val="92"/>
        </w:numPr>
        <w:rPr>
          <w:rFonts w:ascii="Arial" w:cs="Arial" w:eastAsia="Arial" w:hAnsi="Arial"/>
          <w:sz w:val="15"/>
          <w:szCs w:val="15"/>
          <w:color w:val="455986"/>
        </w:rPr>
      </w:pPr>
      <w:r>
        <w:rPr>
          <w:rFonts w:ascii="Arial" w:cs="Arial" w:eastAsia="Arial" w:hAnsi="Arial"/>
          <w:sz w:val="12"/>
          <w:szCs w:val="12"/>
          <w:color w:val="4395D4"/>
        </w:rPr>
        <w:t xml:space="preserve">ESSENTIAL UTILITIES, INC. </w:t>
      </w:r>
      <w:r>
        <w:rPr>
          <w:rFonts w:ascii="Arial" w:cs="Arial" w:eastAsia="Arial" w:hAnsi="Arial"/>
          <w:sz w:val="12"/>
          <w:szCs w:val="12"/>
          <w:color w:val="455986"/>
        </w:rPr>
        <w:t>2021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316230</wp:posOffset>
            </wp:positionV>
            <wp:extent cx="7139940" cy="2413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39940" cy="24130"/>
                    </a:xfrm>
                    <a:prstGeom prst="rect">
                      <a:avLst/>
                    </a:prstGeom>
                    <a:noFill/>
                  </pic:spPr>
                </pic:pic>
              </a:graphicData>
            </a:graphic>
          </wp:anchor>
        </w:drawing>
      </w:r>
    </w:p>
    <w:p>
      <w:pPr>
        <w:sectPr>
          <w:pgSz w:w="11900" w:h="16838" w:orient="portrait"/>
          <w:cols w:equalWidth="0" w:num="1">
            <w:col w:w="11240"/>
          </w:cols>
          <w:pgMar w:left="320" w:top="636" w:right="339" w:bottom="1440" w:gutter="0" w:footer="0" w:header="0"/>
        </w:sectPr>
      </w:pPr>
    </w:p>
    <w:bookmarkStart w:id="47" w:name="page48"/>
    <w:bookmarkEnd w:id="47"/>
    <w:p>
      <w:pPr>
        <w:spacing w:after="0"/>
        <w:rPr>
          <w:sz w:val="20"/>
          <w:szCs w:val="20"/>
          <w:color w:val="auto"/>
        </w:rPr>
      </w:pPr>
      <w:r>
        <w:rPr>
          <w:rFonts w:ascii="Arial" w:cs="Arial" w:eastAsia="Arial" w:hAnsi="Arial"/>
          <w:sz w:val="14"/>
          <w:szCs w:val="14"/>
          <w:b w:val="1"/>
          <w:bCs w:val="1"/>
          <w:color w:val="455986"/>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27940</wp:posOffset>
            </wp:positionV>
            <wp:extent cx="7139940" cy="82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39940" cy="8255"/>
                    </a:xfrm>
                    <a:prstGeom prst="rect">
                      <a:avLst/>
                    </a:prstGeom>
                    <a:noFill/>
                  </pic:spPr>
                </pic:pic>
              </a:graphicData>
            </a:graphic>
          </wp:anchor>
        </w:drawing>
      </w:r>
    </w:p>
    <w:p>
      <w:pPr>
        <w:spacing w:after="0" w:line="76" w:lineRule="exact"/>
        <w:rPr>
          <w:sz w:val="20"/>
          <w:szCs w:val="20"/>
          <w:color w:val="auto"/>
        </w:rPr>
      </w:pPr>
    </w:p>
    <w:p>
      <w:pPr>
        <w:spacing w:after="0"/>
        <w:rPr>
          <w:sz w:val="20"/>
          <w:szCs w:val="20"/>
          <w:color w:val="auto"/>
        </w:rPr>
      </w:pPr>
      <w:r>
        <w:rPr>
          <w:rFonts w:ascii="Arial" w:cs="Arial" w:eastAsia="Arial" w:hAnsi="Arial"/>
          <w:sz w:val="14"/>
          <w:szCs w:val="14"/>
          <w:color w:val="231F20"/>
        </w:rPr>
        <w:t>Executive Summary</w:t>
      </w:r>
    </w:p>
    <w:p>
      <w:pPr>
        <w:spacing w:after="0" w:line="163" w:lineRule="exact"/>
        <w:rPr>
          <w:sz w:val="20"/>
          <w:szCs w:val="20"/>
          <w:color w:val="auto"/>
        </w:rPr>
      </w:pPr>
    </w:p>
    <w:p>
      <w:pPr>
        <w:spacing w:after="0"/>
        <w:rPr>
          <w:sz w:val="20"/>
          <w:szCs w:val="20"/>
          <w:color w:val="auto"/>
        </w:rPr>
      </w:pPr>
      <w:r>
        <w:rPr>
          <w:rFonts w:ascii="Arial" w:cs="Arial" w:eastAsia="Arial" w:hAnsi="Arial"/>
          <w:sz w:val="24"/>
          <w:szCs w:val="24"/>
          <w:b w:val="1"/>
          <w:bCs w:val="1"/>
          <w:color w:val="455986"/>
        </w:rPr>
        <w:t>Pay for Performance and Results of the 2020 Advisory Vote to Approve Executive Compensation</w:t>
      </w:r>
    </w:p>
    <w:p>
      <w:pPr>
        <w:spacing w:after="0" w:line="169" w:lineRule="exact"/>
        <w:rPr>
          <w:sz w:val="20"/>
          <w:szCs w:val="20"/>
          <w:color w:val="auto"/>
        </w:rPr>
      </w:pPr>
    </w:p>
    <w:p>
      <w:pPr>
        <w:ind w:right="80"/>
        <w:spacing w:after="0" w:line="245" w:lineRule="auto"/>
        <w:rPr>
          <w:sz w:val="20"/>
          <w:szCs w:val="20"/>
          <w:color w:val="auto"/>
        </w:rPr>
      </w:pPr>
      <w:r>
        <w:rPr>
          <w:rFonts w:ascii="Arial" w:cs="Arial" w:eastAsia="Arial" w:hAnsi="Arial"/>
          <w:sz w:val="14"/>
          <w:szCs w:val="14"/>
          <w:color w:val="231F20"/>
        </w:rPr>
        <w:t>Our goal is to instill a pay for performance culture throughout the Company. At our 2020 Annual Meeting, we submitted a proposal to our shareholders for a non-binding advisory vote on our 2019 compensation awarded to our named executive officers. Our shareholders approved the proposal at a 96.2% approval rate. This approval level validated the new compensation design structure which we believe will propel us into the future. No changes to the overall design of the plan are being made in 2021, although the short and long term programs’ targets and performance measures are changing to reflect the larger Essential Utilities entity.</w:t>
      </w:r>
    </w:p>
    <w:p>
      <w:pPr>
        <w:spacing w:after="0" w:line="95" w:lineRule="exact"/>
        <w:rPr>
          <w:sz w:val="20"/>
          <w:szCs w:val="20"/>
          <w:color w:val="auto"/>
        </w:rPr>
      </w:pPr>
    </w:p>
    <w:p>
      <w:pPr>
        <w:spacing w:after="0"/>
        <w:rPr>
          <w:sz w:val="20"/>
          <w:szCs w:val="20"/>
          <w:color w:val="auto"/>
        </w:rPr>
      </w:pPr>
      <w:r>
        <w:rPr>
          <w:rFonts w:ascii="Arial" w:cs="Arial" w:eastAsia="Arial" w:hAnsi="Arial"/>
          <w:sz w:val="20"/>
          <w:szCs w:val="20"/>
          <w:b w:val="1"/>
          <w:bCs w:val="1"/>
          <w:color w:val="231F20"/>
        </w:rPr>
        <w:t>Aligning Interests of NEOs and Shareholders</w:t>
      </w:r>
    </w:p>
    <w:p>
      <w:pPr>
        <w:spacing w:after="0" w:line="166" w:lineRule="exact"/>
        <w:rPr>
          <w:sz w:val="20"/>
          <w:szCs w:val="20"/>
          <w:color w:val="auto"/>
        </w:rPr>
      </w:pPr>
    </w:p>
    <w:p>
      <w:pPr>
        <w:ind w:right="20"/>
        <w:spacing w:after="0" w:line="278" w:lineRule="auto"/>
        <w:rPr>
          <w:sz w:val="20"/>
          <w:szCs w:val="20"/>
          <w:color w:val="auto"/>
        </w:rPr>
      </w:pPr>
      <w:r>
        <w:rPr>
          <w:rFonts w:ascii="Arial" w:cs="Arial" w:eastAsia="Arial" w:hAnsi="Arial"/>
          <w:sz w:val="14"/>
          <w:szCs w:val="14"/>
          <w:color w:val="231F20"/>
        </w:rPr>
        <w:t>Annually, we solicit the opinions of our top shareholders on several items, including our executive compensation program design. We do this to ensure that the pay balance and alignment is viewed as driving long-term high performance of our named executive officers and other members of management.</w:t>
      </w:r>
    </w:p>
    <w:p>
      <w:pPr>
        <w:spacing w:after="0" w:line="86"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As a result of these meetings and conversations, and other analysis, the Compensation Committee has taken </w:t>
      </w:r>
      <w:r>
        <w:rPr>
          <w:rFonts w:ascii="Arial" w:cs="Arial" w:eastAsia="Arial" w:hAnsi="Arial"/>
          <w:sz w:val="14"/>
          <w:szCs w:val="14"/>
          <w:color w:val="231F20"/>
        </w:rPr>
        <w:t>the following actions.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106045</wp:posOffset>
            </wp:positionV>
            <wp:extent cx="7139940" cy="344424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39940" cy="34442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right"/>
        <w:spacing w:after="0"/>
        <w:tabs>
          <w:tab w:leader="none" w:pos="140" w:val="left"/>
        </w:tabs>
        <w:rPr>
          <w:sz w:val="20"/>
          <w:szCs w:val="20"/>
          <w:color w:val="auto"/>
        </w:rPr>
      </w:pPr>
      <w:r>
        <w:rPr>
          <w:rFonts w:ascii="Arial" w:cs="Arial" w:eastAsia="Arial" w:hAnsi="Arial"/>
          <w:sz w:val="12"/>
          <w:szCs w:val="12"/>
          <w:color w:val="4395D4"/>
        </w:rPr>
        <w:t xml:space="preserve">ESSENTIAL UTILITIES, INC. </w:t>
      </w:r>
      <w:r>
        <w:rPr>
          <w:rFonts w:ascii="Arial" w:cs="Arial" w:eastAsia="Arial" w:hAnsi="Arial"/>
          <w:sz w:val="12"/>
          <w:szCs w:val="12"/>
          <w:color w:val="455986"/>
        </w:rPr>
        <w:t>2021 PROXY STATEMENT</w:t>
      </w:r>
      <w:r>
        <w:rPr>
          <w:sz w:val="20"/>
          <w:szCs w:val="20"/>
          <w:color w:val="auto"/>
        </w:rPr>
        <w:tab/>
      </w:r>
      <w:r>
        <w:rPr>
          <w:rFonts w:ascii="Arial" w:cs="Arial" w:eastAsia="Arial" w:hAnsi="Arial"/>
          <w:sz w:val="14"/>
          <w:szCs w:val="14"/>
          <w:color w:val="455986"/>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339090</wp:posOffset>
            </wp:positionV>
            <wp:extent cx="7139940" cy="2413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39940" cy="24130"/>
                    </a:xfrm>
                    <a:prstGeom prst="rect">
                      <a:avLst/>
                    </a:prstGeom>
                    <a:noFill/>
                  </pic:spPr>
                </pic:pic>
              </a:graphicData>
            </a:graphic>
          </wp:anchor>
        </w:drawing>
      </w:r>
    </w:p>
    <w:p>
      <w:pPr>
        <w:sectPr>
          <w:pgSz w:w="11900" w:h="16838" w:orient="portrait"/>
          <w:cols w:equalWidth="0" w:num="1">
            <w:col w:w="11240"/>
          </w:cols>
          <w:pgMar w:left="320" w:top="636" w:right="339" w:bottom="1440" w:gutter="0" w:footer="0" w:header="0"/>
        </w:sectPr>
      </w:pPr>
    </w:p>
    <w:bookmarkStart w:id="48" w:name="page49"/>
    <w:bookmarkEnd w:id="48"/>
    <w:p>
      <w:pPr>
        <w:spacing w:after="0"/>
        <w:rPr>
          <w:sz w:val="20"/>
          <w:szCs w:val="20"/>
          <w:color w:val="auto"/>
        </w:rPr>
      </w:pPr>
      <w:r>
        <w:rPr>
          <w:rFonts w:ascii="Arial" w:cs="Arial" w:eastAsia="Arial" w:hAnsi="Arial"/>
          <w:sz w:val="14"/>
          <w:szCs w:val="14"/>
          <w:b w:val="1"/>
          <w:bCs w:val="1"/>
          <w:color w:val="455986"/>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27940</wp:posOffset>
            </wp:positionV>
            <wp:extent cx="7139940" cy="82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39940" cy="8255"/>
                    </a:xfrm>
                    <a:prstGeom prst="rect">
                      <a:avLst/>
                    </a:prstGeom>
                    <a:noFill/>
                  </pic:spPr>
                </pic:pic>
              </a:graphicData>
            </a:graphic>
          </wp:anchor>
        </w:drawing>
      </w:r>
    </w:p>
    <w:p>
      <w:pPr>
        <w:spacing w:after="0" w:line="76" w:lineRule="exact"/>
        <w:rPr>
          <w:sz w:val="20"/>
          <w:szCs w:val="20"/>
          <w:color w:val="auto"/>
        </w:rPr>
      </w:pPr>
    </w:p>
    <w:p>
      <w:pPr>
        <w:spacing w:after="0"/>
        <w:rPr>
          <w:sz w:val="20"/>
          <w:szCs w:val="20"/>
          <w:color w:val="auto"/>
        </w:rPr>
      </w:pPr>
      <w:r>
        <w:rPr>
          <w:rFonts w:ascii="Arial" w:cs="Arial" w:eastAsia="Arial" w:hAnsi="Arial"/>
          <w:sz w:val="14"/>
          <w:szCs w:val="14"/>
          <w:color w:val="4395D4"/>
        </w:rPr>
        <w:t xml:space="preserve">Section 1 </w:t>
      </w:r>
      <w:r>
        <w:rPr>
          <w:rFonts w:ascii="Arial" w:cs="Arial" w:eastAsia="Arial" w:hAnsi="Arial"/>
          <w:sz w:val="14"/>
          <w:szCs w:val="14"/>
          <w:color w:val="231F20"/>
        </w:rPr>
        <w:t>Our Compensation Philosophy</w:t>
      </w:r>
    </w:p>
    <w:p>
      <w:pPr>
        <w:spacing w:after="0" w:line="145" w:lineRule="exact"/>
        <w:rPr>
          <w:sz w:val="20"/>
          <w:szCs w:val="20"/>
          <w:color w:val="auto"/>
        </w:rPr>
      </w:pPr>
    </w:p>
    <w:p>
      <w:pPr>
        <w:spacing w:after="0"/>
        <w:rPr>
          <w:sz w:val="20"/>
          <w:szCs w:val="20"/>
          <w:color w:val="auto"/>
        </w:rPr>
      </w:pPr>
      <w:r>
        <w:rPr>
          <w:rFonts w:ascii="Arial" w:cs="Arial" w:eastAsia="Arial" w:hAnsi="Arial"/>
          <w:sz w:val="34"/>
          <w:szCs w:val="34"/>
          <w:b w:val="1"/>
          <w:bCs w:val="1"/>
          <w:color w:val="4395D4"/>
        </w:rPr>
        <w:t>Section 1</w:t>
      </w:r>
    </w:p>
    <w:p>
      <w:pPr>
        <w:spacing w:after="0" w:line="175" w:lineRule="exact"/>
        <w:rPr>
          <w:sz w:val="20"/>
          <w:szCs w:val="20"/>
          <w:color w:val="auto"/>
        </w:rPr>
      </w:pPr>
    </w:p>
    <w:p>
      <w:pPr>
        <w:spacing w:after="0"/>
        <w:rPr>
          <w:sz w:val="20"/>
          <w:szCs w:val="20"/>
          <w:color w:val="auto"/>
        </w:rPr>
      </w:pPr>
      <w:r>
        <w:rPr>
          <w:rFonts w:ascii="Arial" w:cs="Arial" w:eastAsia="Arial" w:hAnsi="Arial"/>
          <w:sz w:val="24"/>
          <w:szCs w:val="24"/>
          <w:b w:val="1"/>
          <w:bCs w:val="1"/>
          <w:color w:val="455986"/>
        </w:rPr>
        <w:t>Our Compensation Philosophy</w:t>
      </w:r>
    </w:p>
    <w:p>
      <w:pPr>
        <w:spacing w:after="0" w:line="169" w:lineRule="exact"/>
        <w:rPr>
          <w:sz w:val="20"/>
          <w:szCs w:val="20"/>
          <w:color w:val="auto"/>
        </w:rPr>
      </w:pPr>
    </w:p>
    <w:p>
      <w:pPr>
        <w:spacing w:after="0"/>
        <w:rPr>
          <w:sz w:val="20"/>
          <w:szCs w:val="20"/>
          <w:color w:val="auto"/>
        </w:rPr>
      </w:pPr>
      <w:r>
        <w:rPr>
          <w:rFonts w:ascii="Arial" w:cs="Arial" w:eastAsia="Arial" w:hAnsi="Arial"/>
          <w:sz w:val="14"/>
          <w:szCs w:val="14"/>
          <w:color w:val="231F20"/>
        </w:rPr>
        <w:t>Our compensation program for named executive officers is designed to:</w:t>
      </w:r>
    </w:p>
    <w:p>
      <w:pPr>
        <w:spacing w:after="0" w:line="145" w:lineRule="exact"/>
        <w:rPr>
          <w:sz w:val="20"/>
          <w:szCs w:val="20"/>
          <w:color w:val="auto"/>
        </w:rPr>
      </w:pPr>
    </w:p>
    <w:p>
      <w:pPr>
        <w:ind w:left="200" w:right="60" w:hanging="198"/>
        <w:spacing w:after="0" w:line="278" w:lineRule="auto"/>
        <w:tabs>
          <w:tab w:leader="none" w:pos="200" w:val="left"/>
        </w:tabs>
        <w:numPr>
          <w:ilvl w:val="0"/>
          <w:numId w:val="93"/>
        </w:numPr>
        <w:rPr>
          <w:rFonts w:ascii="Arial" w:cs="Arial" w:eastAsia="Arial" w:hAnsi="Arial"/>
          <w:sz w:val="14"/>
          <w:szCs w:val="14"/>
          <w:color w:val="4395D4"/>
        </w:rPr>
      </w:pPr>
      <w:r>
        <w:rPr>
          <w:rFonts w:ascii="Arial" w:cs="Arial" w:eastAsia="Arial" w:hAnsi="Arial"/>
          <w:sz w:val="14"/>
          <w:szCs w:val="14"/>
          <w:color w:val="231F20"/>
        </w:rPr>
        <w:t>Provide compensation that is competitive with our industry peers and appropriately correlates incentive compensation to the achievement of the Company’s short- and long-term performance for customers and shareholders;</w:t>
      </w:r>
    </w:p>
    <w:p>
      <w:pPr>
        <w:spacing w:after="0" w:line="9" w:lineRule="exact"/>
        <w:rPr>
          <w:rFonts w:ascii="Arial" w:cs="Arial" w:eastAsia="Arial" w:hAnsi="Arial"/>
          <w:sz w:val="14"/>
          <w:szCs w:val="14"/>
          <w:color w:val="4395D4"/>
        </w:rPr>
      </w:pPr>
    </w:p>
    <w:p>
      <w:pPr>
        <w:ind w:left="200" w:hanging="198"/>
        <w:spacing w:after="0"/>
        <w:tabs>
          <w:tab w:leader="none" w:pos="200" w:val="left"/>
        </w:tabs>
        <w:numPr>
          <w:ilvl w:val="0"/>
          <w:numId w:val="93"/>
        </w:numPr>
        <w:rPr>
          <w:rFonts w:ascii="Arial" w:cs="Arial" w:eastAsia="Arial" w:hAnsi="Arial"/>
          <w:sz w:val="14"/>
          <w:szCs w:val="14"/>
          <w:color w:val="4395D4"/>
        </w:rPr>
      </w:pPr>
      <w:r>
        <w:rPr>
          <w:rFonts w:ascii="Arial" w:cs="Arial" w:eastAsia="Arial" w:hAnsi="Arial"/>
          <w:sz w:val="14"/>
          <w:szCs w:val="14"/>
          <w:color w:val="231F20"/>
        </w:rPr>
        <w:t>Provide a total compensation package that is aligned with industry standards and enhances our ability to:</w:t>
      </w:r>
    </w:p>
    <w:p>
      <w:pPr>
        <w:spacing w:after="0" w:line="81" w:lineRule="exact"/>
        <w:rPr>
          <w:rFonts w:ascii="Arial" w:cs="Arial" w:eastAsia="Arial" w:hAnsi="Arial"/>
          <w:sz w:val="14"/>
          <w:szCs w:val="14"/>
          <w:color w:val="4395D4"/>
        </w:rPr>
      </w:pPr>
    </w:p>
    <w:p>
      <w:pPr>
        <w:ind w:left="200"/>
        <w:spacing w:after="0"/>
        <w:rPr>
          <w:rFonts w:ascii="Arial" w:cs="Arial" w:eastAsia="Arial" w:hAnsi="Arial"/>
          <w:sz w:val="14"/>
          <w:szCs w:val="14"/>
          <w:color w:val="4395D4"/>
        </w:rPr>
      </w:pPr>
      <w:r>
        <w:rPr>
          <w:rFonts w:ascii="Arial" w:cs="Arial" w:eastAsia="Arial" w:hAnsi="Arial"/>
          <w:sz w:val="14"/>
          <w:szCs w:val="14"/>
          <w:color w:val="455986"/>
        </w:rPr>
        <w:t xml:space="preserve">–  </w:t>
      </w:r>
      <w:r>
        <w:rPr>
          <w:rFonts w:ascii="Arial" w:cs="Arial" w:eastAsia="Arial" w:hAnsi="Arial"/>
          <w:sz w:val="14"/>
          <w:szCs w:val="14"/>
          <w:color w:val="231F20"/>
        </w:rPr>
        <w:t>Motivate and reward our named executive officers for contributions to our financial success;</w:t>
      </w:r>
    </w:p>
    <w:p>
      <w:pPr>
        <w:spacing w:after="0" w:line="81" w:lineRule="exact"/>
        <w:rPr>
          <w:rFonts w:ascii="Arial" w:cs="Arial" w:eastAsia="Arial" w:hAnsi="Arial"/>
          <w:sz w:val="14"/>
          <w:szCs w:val="14"/>
          <w:color w:val="4395D4"/>
        </w:rPr>
      </w:pPr>
    </w:p>
    <w:p>
      <w:pPr>
        <w:ind w:left="200"/>
        <w:spacing w:after="0"/>
        <w:rPr>
          <w:rFonts w:ascii="Arial" w:cs="Arial" w:eastAsia="Arial" w:hAnsi="Arial"/>
          <w:sz w:val="14"/>
          <w:szCs w:val="14"/>
          <w:color w:val="4395D4"/>
        </w:rPr>
      </w:pPr>
      <w:r>
        <w:rPr>
          <w:rFonts w:ascii="Arial" w:cs="Arial" w:eastAsia="Arial" w:hAnsi="Arial"/>
          <w:sz w:val="14"/>
          <w:szCs w:val="14"/>
          <w:color w:val="455986"/>
        </w:rPr>
        <w:t xml:space="preserve">–  </w:t>
      </w:r>
      <w:r>
        <w:rPr>
          <w:rFonts w:ascii="Arial" w:cs="Arial" w:eastAsia="Arial" w:hAnsi="Arial"/>
          <w:sz w:val="14"/>
          <w:szCs w:val="14"/>
          <w:color w:val="231F20"/>
        </w:rPr>
        <w:t>Attract and retain talented and experienced named executive officers; and</w:t>
      </w:r>
    </w:p>
    <w:p>
      <w:pPr>
        <w:spacing w:after="0" w:line="68" w:lineRule="exact"/>
        <w:rPr>
          <w:rFonts w:ascii="Arial" w:cs="Arial" w:eastAsia="Arial" w:hAnsi="Arial"/>
          <w:sz w:val="14"/>
          <w:szCs w:val="14"/>
          <w:color w:val="4395D4"/>
        </w:rPr>
      </w:pPr>
    </w:p>
    <w:p>
      <w:pPr>
        <w:ind w:left="200"/>
        <w:spacing w:after="0"/>
        <w:rPr>
          <w:rFonts w:ascii="Arial" w:cs="Arial" w:eastAsia="Arial" w:hAnsi="Arial"/>
          <w:sz w:val="14"/>
          <w:szCs w:val="14"/>
          <w:color w:val="4395D4"/>
        </w:rPr>
      </w:pPr>
      <w:r>
        <w:rPr>
          <w:rFonts w:ascii="Arial" w:cs="Arial" w:eastAsia="Arial" w:hAnsi="Arial"/>
          <w:sz w:val="14"/>
          <w:szCs w:val="14"/>
          <w:color w:val="455986"/>
        </w:rPr>
        <w:t xml:space="preserve">–  </w:t>
      </w:r>
      <w:r>
        <w:rPr>
          <w:rFonts w:ascii="Arial" w:cs="Arial" w:eastAsia="Arial" w:hAnsi="Arial"/>
          <w:sz w:val="14"/>
          <w:szCs w:val="14"/>
          <w:color w:val="231F20"/>
        </w:rPr>
        <w:t>Ensure a significant portion of pay is performance based to better align pay with the successful achievement of our business objectives;</w:t>
      </w:r>
    </w:p>
    <w:p>
      <w:pPr>
        <w:spacing w:after="0" w:line="81" w:lineRule="exact"/>
        <w:rPr>
          <w:rFonts w:ascii="Arial" w:cs="Arial" w:eastAsia="Arial" w:hAnsi="Arial"/>
          <w:sz w:val="14"/>
          <w:szCs w:val="14"/>
          <w:color w:val="4395D4"/>
        </w:rPr>
      </w:pPr>
    </w:p>
    <w:p>
      <w:pPr>
        <w:ind w:left="200" w:hanging="198"/>
        <w:spacing w:after="0"/>
        <w:tabs>
          <w:tab w:leader="none" w:pos="200" w:val="left"/>
        </w:tabs>
        <w:numPr>
          <w:ilvl w:val="0"/>
          <w:numId w:val="93"/>
        </w:numPr>
        <w:rPr>
          <w:rFonts w:ascii="Arial" w:cs="Arial" w:eastAsia="Arial" w:hAnsi="Arial"/>
          <w:sz w:val="14"/>
          <w:szCs w:val="14"/>
          <w:color w:val="4395D4"/>
        </w:rPr>
      </w:pPr>
      <w:r>
        <w:rPr>
          <w:rFonts w:ascii="Arial" w:cs="Arial" w:eastAsia="Arial" w:hAnsi="Arial"/>
          <w:sz w:val="14"/>
          <w:szCs w:val="14"/>
          <w:color w:val="231F20"/>
        </w:rPr>
        <w:t>Reward our named executive officers for leadership excellence and contributions to the organization’s success; and</w:t>
      </w:r>
    </w:p>
    <w:p>
      <w:pPr>
        <w:spacing w:after="0" w:line="81" w:lineRule="exact"/>
        <w:rPr>
          <w:rFonts w:ascii="Arial" w:cs="Arial" w:eastAsia="Arial" w:hAnsi="Arial"/>
          <w:sz w:val="14"/>
          <w:szCs w:val="14"/>
          <w:color w:val="4395D4"/>
        </w:rPr>
      </w:pPr>
    </w:p>
    <w:p>
      <w:pPr>
        <w:ind w:left="200" w:hanging="198"/>
        <w:spacing w:after="0"/>
        <w:tabs>
          <w:tab w:leader="none" w:pos="200" w:val="left"/>
        </w:tabs>
        <w:numPr>
          <w:ilvl w:val="0"/>
          <w:numId w:val="93"/>
        </w:numPr>
        <w:rPr>
          <w:rFonts w:ascii="Arial" w:cs="Arial" w:eastAsia="Arial" w:hAnsi="Arial"/>
          <w:sz w:val="14"/>
          <w:szCs w:val="14"/>
          <w:color w:val="4395D4"/>
        </w:rPr>
      </w:pPr>
      <w:r>
        <w:rPr>
          <w:rFonts w:ascii="Arial" w:cs="Arial" w:eastAsia="Arial" w:hAnsi="Arial"/>
          <w:sz w:val="14"/>
          <w:szCs w:val="14"/>
          <w:color w:val="231F20"/>
        </w:rPr>
        <w:t>Maintain an important focus on environmental, social, and governance issues while building shareholder value.</w:t>
      </w:r>
    </w:p>
    <w:p>
      <w:pPr>
        <w:spacing w:after="0" w:line="132" w:lineRule="exact"/>
        <w:rPr>
          <w:sz w:val="20"/>
          <w:szCs w:val="20"/>
          <w:color w:val="auto"/>
        </w:rPr>
      </w:pPr>
    </w:p>
    <w:p>
      <w:pPr>
        <w:spacing w:after="0"/>
        <w:rPr>
          <w:sz w:val="20"/>
          <w:szCs w:val="20"/>
          <w:color w:val="auto"/>
        </w:rPr>
      </w:pPr>
      <w:r>
        <w:rPr>
          <w:rFonts w:ascii="Arial" w:cs="Arial" w:eastAsia="Arial" w:hAnsi="Arial"/>
          <w:sz w:val="20"/>
          <w:szCs w:val="20"/>
          <w:b w:val="1"/>
          <w:bCs w:val="1"/>
          <w:color w:val="231F20"/>
        </w:rPr>
        <w:t>Components of Compensation for Named Executive Officers</w:t>
      </w:r>
    </w:p>
    <w:p>
      <w:pPr>
        <w:spacing w:after="0" w:line="166" w:lineRule="exact"/>
        <w:rPr>
          <w:sz w:val="20"/>
          <w:szCs w:val="20"/>
          <w:color w:val="auto"/>
        </w:rPr>
      </w:pPr>
    </w:p>
    <w:p>
      <w:pPr>
        <w:ind w:right="260"/>
        <w:spacing w:after="0" w:line="278" w:lineRule="auto"/>
        <w:rPr>
          <w:sz w:val="20"/>
          <w:szCs w:val="20"/>
          <w:color w:val="auto"/>
        </w:rPr>
      </w:pPr>
      <w:r>
        <w:rPr>
          <w:rFonts w:ascii="Arial" w:cs="Arial" w:eastAsia="Arial" w:hAnsi="Arial"/>
          <w:sz w:val="14"/>
          <w:szCs w:val="14"/>
          <w:color w:val="231F20"/>
        </w:rPr>
        <w:t>The following chart provides a brief summary of the principal elements of our executive compensation program for 2020. We describe these elements, as well as retirement, severance and other benefits, in more detail on pages 50 through 60.</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360" w:type="dxa"/>
            <w:vAlign w:val="bottom"/>
            <w:tcBorders>
              <w:bottom w:val="single" w:sz="8" w:color="4395D4"/>
            </w:tcBorders>
          </w:tcPr>
          <w:p>
            <w:pPr>
              <w:spacing w:after="0"/>
              <w:rPr>
                <w:sz w:val="16"/>
                <w:szCs w:val="16"/>
                <w:color w:val="auto"/>
              </w:rPr>
            </w:pPr>
          </w:p>
        </w:tc>
        <w:tc>
          <w:tcPr>
            <w:tcW w:w="1680" w:type="dxa"/>
            <w:vAlign w:val="bottom"/>
            <w:tcBorders>
              <w:bottom w:val="single" w:sz="8" w:color="4395D4"/>
            </w:tcBorders>
          </w:tcPr>
          <w:p>
            <w:pPr>
              <w:ind w:left="80"/>
              <w:spacing w:after="0"/>
              <w:rPr>
                <w:sz w:val="20"/>
                <w:szCs w:val="20"/>
                <w:color w:val="auto"/>
              </w:rPr>
            </w:pPr>
            <w:r>
              <w:rPr>
                <w:rFonts w:ascii="Arial" w:cs="Arial" w:eastAsia="Arial" w:hAnsi="Arial"/>
                <w:sz w:val="14"/>
                <w:szCs w:val="14"/>
                <w:b w:val="1"/>
                <w:bCs w:val="1"/>
                <w:color w:val="455986"/>
              </w:rPr>
              <w:t>Compensation Element</w:t>
            </w:r>
          </w:p>
        </w:tc>
        <w:tc>
          <w:tcPr>
            <w:tcW w:w="2360" w:type="dxa"/>
            <w:vAlign w:val="bottom"/>
            <w:tcBorders>
              <w:bottom w:val="single" w:sz="8" w:color="4395D4"/>
            </w:tcBorders>
          </w:tcPr>
          <w:p>
            <w:pPr>
              <w:ind w:left="80"/>
              <w:spacing w:after="0"/>
              <w:rPr>
                <w:sz w:val="20"/>
                <w:szCs w:val="20"/>
                <w:color w:val="auto"/>
              </w:rPr>
            </w:pPr>
            <w:r>
              <w:rPr>
                <w:rFonts w:ascii="Arial" w:cs="Arial" w:eastAsia="Arial" w:hAnsi="Arial"/>
                <w:sz w:val="14"/>
                <w:szCs w:val="14"/>
                <w:b w:val="1"/>
                <w:bCs w:val="1"/>
                <w:color w:val="455986"/>
              </w:rPr>
              <w:t>Form</w:t>
            </w:r>
          </w:p>
        </w:tc>
        <w:tc>
          <w:tcPr>
            <w:tcW w:w="2920" w:type="dxa"/>
            <w:vAlign w:val="bottom"/>
            <w:tcBorders>
              <w:bottom w:val="single" w:sz="8" w:color="4395D4"/>
            </w:tcBorders>
          </w:tcPr>
          <w:p>
            <w:pPr>
              <w:ind w:left="80"/>
              <w:spacing w:after="0"/>
              <w:rPr>
                <w:sz w:val="20"/>
                <w:szCs w:val="20"/>
                <w:color w:val="auto"/>
              </w:rPr>
            </w:pPr>
            <w:r>
              <w:rPr>
                <w:rFonts w:ascii="Arial" w:cs="Arial" w:eastAsia="Arial" w:hAnsi="Arial"/>
                <w:sz w:val="14"/>
                <w:szCs w:val="14"/>
                <w:b w:val="1"/>
                <w:bCs w:val="1"/>
                <w:color w:val="455986"/>
              </w:rPr>
              <w:t>Compensation Objective</w:t>
            </w:r>
          </w:p>
        </w:tc>
        <w:tc>
          <w:tcPr>
            <w:tcW w:w="2920" w:type="dxa"/>
            <w:vAlign w:val="bottom"/>
            <w:tcBorders>
              <w:bottom w:val="single" w:sz="8" w:color="4395D4"/>
            </w:tcBorders>
          </w:tcPr>
          <w:p>
            <w:pPr>
              <w:ind w:left="80"/>
              <w:spacing w:after="0"/>
              <w:rPr>
                <w:sz w:val="20"/>
                <w:szCs w:val="20"/>
                <w:color w:val="auto"/>
              </w:rPr>
            </w:pPr>
            <w:r>
              <w:rPr>
                <w:rFonts w:ascii="Arial" w:cs="Arial" w:eastAsia="Arial" w:hAnsi="Arial"/>
                <w:sz w:val="14"/>
                <w:szCs w:val="14"/>
                <w:b w:val="1"/>
                <w:bCs w:val="1"/>
                <w:color w:val="455986"/>
              </w:rPr>
              <w:t>Relation to Objective</w:t>
            </w:r>
          </w:p>
        </w:tc>
        <w:tc>
          <w:tcPr>
            <w:tcW w:w="0" w:type="dxa"/>
            <w:vAlign w:val="bottom"/>
          </w:tcPr>
          <w:p>
            <w:pPr>
              <w:spacing w:after="0"/>
              <w:rPr>
                <w:sz w:val="1"/>
                <w:szCs w:val="1"/>
                <w:color w:val="auto"/>
              </w:rPr>
            </w:pPr>
          </w:p>
        </w:tc>
      </w:tr>
      <w:tr>
        <w:trPr>
          <w:trHeight w:val="223"/>
        </w:trPr>
        <w:tc>
          <w:tcPr>
            <w:tcW w:w="1360" w:type="dxa"/>
            <w:vAlign w:val="bottom"/>
            <w:shd w:val="clear" w:color="auto" w:fill="355889"/>
          </w:tcPr>
          <w:p>
            <w:pPr>
              <w:ind w:left="80"/>
              <w:spacing w:after="0" w:line="223" w:lineRule="exact"/>
              <w:rPr>
                <w:sz w:val="20"/>
                <w:szCs w:val="20"/>
                <w:color w:val="auto"/>
              </w:rPr>
            </w:pPr>
            <w:r>
              <w:rPr>
                <w:rFonts w:ascii="Arial" w:cs="Arial" w:eastAsia="Arial" w:hAnsi="Arial"/>
                <w:sz w:val="20"/>
                <w:szCs w:val="20"/>
                <w:b w:val="1"/>
                <w:bCs w:val="1"/>
                <w:color w:val="FFFFFF"/>
              </w:rPr>
              <w:t>Fixed</w:t>
            </w:r>
          </w:p>
        </w:tc>
        <w:tc>
          <w:tcPr>
            <w:tcW w:w="1680" w:type="dxa"/>
            <w:vAlign w:val="bottom"/>
            <w:shd w:val="clear" w:color="auto" w:fill="CBD0E0"/>
          </w:tcPr>
          <w:p>
            <w:pPr>
              <w:ind w:left="80"/>
              <w:spacing w:after="0"/>
              <w:rPr>
                <w:sz w:val="20"/>
                <w:szCs w:val="20"/>
                <w:color w:val="auto"/>
              </w:rPr>
            </w:pPr>
            <w:r>
              <w:rPr>
                <w:rFonts w:ascii="Arial" w:cs="Arial" w:eastAsia="Arial" w:hAnsi="Arial"/>
                <w:sz w:val="15"/>
                <w:szCs w:val="15"/>
                <w:b w:val="1"/>
                <w:bCs w:val="1"/>
                <w:color w:val="355889"/>
              </w:rPr>
              <w:t>Base Salary</w:t>
            </w:r>
          </w:p>
        </w:tc>
        <w:tc>
          <w:tcPr>
            <w:tcW w:w="2360" w:type="dxa"/>
            <w:vAlign w:val="bottom"/>
            <w:shd w:val="clear" w:color="auto" w:fill="CBD0E0"/>
          </w:tcPr>
          <w:p>
            <w:pPr>
              <w:ind w:left="80"/>
              <w:spacing w:after="0"/>
              <w:rPr>
                <w:sz w:val="20"/>
                <w:szCs w:val="20"/>
                <w:color w:val="auto"/>
              </w:rPr>
            </w:pPr>
            <w:r>
              <w:rPr>
                <w:rFonts w:ascii="Arial" w:cs="Arial" w:eastAsia="Arial" w:hAnsi="Arial"/>
                <w:sz w:val="15"/>
                <w:szCs w:val="15"/>
                <w:color w:val="231F20"/>
              </w:rPr>
              <w:t>Fixed annual cash paid</w:t>
            </w:r>
          </w:p>
        </w:tc>
        <w:tc>
          <w:tcPr>
            <w:tcW w:w="2920" w:type="dxa"/>
            <w:vAlign w:val="bottom"/>
            <w:shd w:val="clear" w:color="auto" w:fill="CBD0E0"/>
          </w:tcPr>
          <w:p>
            <w:pPr>
              <w:ind w:left="80"/>
              <w:spacing w:after="0"/>
              <w:rPr>
                <w:sz w:val="20"/>
                <w:szCs w:val="20"/>
                <w:color w:val="auto"/>
              </w:rPr>
            </w:pPr>
            <w:r>
              <w:rPr>
                <w:rFonts w:ascii="Arial" w:cs="Arial" w:eastAsia="Arial" w:hAnsi="Arial"/>
                <w:sz w:val="15"/>
                <w:szCs w:val="15"/>
                <w:color w:val="231F20"/>
              </w:rPr>
              <w:t>Compensate executives for their level of</w:t>
            </w:r>
          </w:p>
        </w:tc>
        <w:tc>
          <w:tcPr>
            <w:tcW w:w="2920" w:type="dxa"/>
            <w:vAlign w:val="bottom"/>
            <w:shd w:val="clear" w:color="auto" w:fill="CBD0E0"/>
          </w:tcPr>
          <w:p>
            <w:pPr>
              <w:ind w:left="80"/>
              <w:spacing w:after="0"/>
              <w:rPr>
                <w:sz w:val="20"/>
                <w:szCs w:val="20"/>
                <w:color w:val="auto"/>
              </w:rPr>
            </w:pPr>
            <w:r>
              <w:rPr>
                <w:rFonts w:ascii="Arial" w:cs="Arial" w:eastAsia="Arial" w:hAnsi="Arial"/>
                <w:sz w:val="15"/>
                <w:szCs w:val="15"/>
                <w:color w:val="231F20"/>
              </w:rPr>
              <w:t>Merit salary increases are based on</w:t>
            </w:r>
          </w:p>
        </w:tc>
        <w:tc>
          <w:tcPr>
            <w:tcW w:w="0" w:type="dxa"/>
            <w:vAlign w:val="bottom"/>
          </w:tcPr>
          <w:p>
            <w:pPr>
              <w:spacing w:after="0"/>
              <w:rPr>
                <w:sz w:val="1"/>
                <w:szCs w:val="1"/>
                <w:color w:val="auto"/>
              </w:rPr>
            </w:pPr>
          </w:p>
        </w:tc>
      </w:tr>
      <w:tr>
        <w:trPr>
          <w:trHeight w:val="160"/>
        </w:trPr>
        <w:tc>
          <w:tcPr>
            <w:tcW w:w="1360" w:type="dxa"/>
            <w:vAlign w:val="bottom"/>
            <w:shd w:val="clear" w:color="auto" w:fill="355889"/>
          </w:tcPr>
          <w:p>
            <w:pPr>
              <w:spacing w:after="0"/>
              <w:rPr>
                <w:sz w:val="13"/>
                <w:szCs w:val="13"/>
                <w:color w:val="auto"/>
              </w:rPr>
            </w:pPr>
          </w:p>
        </w:tc>
        <w:tc>
          <w:tcPr>
            <w:tcW w:w="1680" w:type="dxa"/>
            <w:vAlign w:val="bottom"/>
            <w:shd w:val="clear" w:color="auto" w:fill="CBD0E0"/>
          </w:tcPr>
          <w:p>
            <w:pPr>
              <w:spacing w:after="0"/>
              <w:rPr>
                <w:sz w:val="13"/>
                <w:szCs w:val="13"/>
                <w:color w:val="auto"/>
              </w:rPr>
            </w:pPr>
          </w:p>
        </w:tc>
        <w:tc>
          <w:tcPr>
            <w:tcW w:w="2360" w:type="dxa"/>
            <w:vAlign w:val="bottom"/>
            <w:shd w:val="clear" w:color="auto" w:fill="CBD0E0"/>
          </w:tcPr>
          <w:p>
            <w:pPr>
              <w:ind w:left="80"/>
              <w:spacing w:after="0" w:line="161" w:lineRule="exact"/>
              <w:rPr>
                <w:sz w:val="20"/>
                <w:szCs w:val="20"/>
                <w:color w:val="auto"/>
              </w:rPr>
            </w:pPr>
            <w:r>
              <w:rPr>
                <w:rFonts w:ascii="Arial" w:cs="Arial" w:eastAsia="Arial" w:hAnsi="Arial"/>
                <w:sz w:val="15"/>
                <w:szCs w:val="15"/>
                <w:color w:val="231F20"/>
              </w:rPr>
              <w:t>bi-weekly</w:t>
            </w:r>
          </w:p>
        </w:tc>
        <w:tc>
          <w:tcPr>
            <w:tcW w:w="2920" w:type="dxa"/>
            <w:vAlign w:val="bottom"/>
            <w:shd w:val="clear" w:color="auto" w:fill="CBD0E0"/>
          </w:tcPr>
          <w:p>
            <w:pPr>
              <w:ind w:left="80"/>
              <w:spacing w:after="0" w:line="161" w:lineRule="exact"/>
              <w:rPr>
                <w:sz w:val="20"/>
                <w:szCs w:val="20"/>
                <w:color w:val="auto"/>
              </w:rPr>
            </w:pPr>
            <w:r>
              <w:rPr>
                <w:rFonts w:ascii="Arial" w:cs="Arial" w:eastAsia="Arial" w:hAnsi="Arial"/>
                <w:sz w:val="15"/>
                <w:szCs w:val="15"/>
                <w:color w:val="231F20"/>
              </w:rPr>
              <w:t>responsibility and sustained individual</w:t>
            </w:r>
          </w:p>
        </w:tc>
        <w:tc>
          <w:tcPr>
            <w:tcW w:w="2920" w:type="dxa"/>
            <w:vAlign w:val="bottom"/>
            <w:shd w:val="clear" w:color="auto" w:fill="CBD0E0"/>
          </w:tcPr>
          <w:p>
            <w:pPr>
              <w:ind w:left="80"/>
              <w:spacing w:after="0" w:line="161" w:lineRule="exact"/>
              <w:rPr>
                <w:sz w:val="20"/>
                <w:szCs w:val="20"/>
                <w:color w:val="auto"/>
              </w:rPr>
            </w:pPr>
            <w:r>
              <w:rPr>
                <w:rFonts w:ascii="Arial" w:cs="Arial" w:eastAsia="Arial" w:hAnsi="Arial"/>
                <w:sz w:val="15"/>
                <w:szCs w:val="15"/>
                <w:color w:val="231F20"/>
              </w:rPr>
              <w:t>subjective performance evaluations as</w:t>
            </w:r>
          </w:p>
        </w:tc>
        <w:tc>
          <w:tcPr>
            <w:tcW w:w="0" w:type="dxa"/>
            <w:vAlign w:val="bottom"/>
          </w:tcPr>
          <w:p>
            <w:pPr>
              <w:spacing w:after="0"/>
              <w:rPr>
                <w:sz w:val="1"/>
                <w:szCs w:val="1"/>
                <w:color w:val="auto"/>
              </w:rPr>
            </w:pPr>
          </w:p>
        </w:tc>
      </w:tr>
      <w:tr>
        <w:trPr>
          <w:trHeight w:val="179"/>
        </w:trPr>
        <w:tc>
          <w:tcPr>
            <w:tcW w:w="1360" w:type="dxa"/>
            <w:vAlign w:val="bottom"/>
            <w:shd w:val="clear" w:color="auto" w:fill="355889"/>
          </w:tcPr>
          <w:p>
            <w:pPr>
              <w:spacing w:after="0"/>
              <w:rPr>
                <w:sz w:val="15"/>
                <w:szCs w:val="15"/>
                <w:color w:val="auto"/>
              </w:rPr>
            </w:pPr>
          </w:p>
        </w:tc>
        <w:tc>
          <w:tcPr>
            <w:tcW w:w="1680" w:type="dxa"/>
            <w:vAlign w:val="bottom"/>
            <w:shd w:val="clear" w:color="auto" w:fill="CBD0E0"/>
          </w:tcPr>
          <w:p>
            <w:pPr>
              <w:spacing w:after="0"/>
              <w:rPr>
                <w:sz w:val="15"/>
                <w:szCs w:val="15"/>
                <w:color w:val="auto"/>
              </w:rPr>
            </w:pPr>
          </w:p>
        </w:tc>
        <w:tc>
          <w:tcPr>
            <w:tcW w:w="2360" w:type="dxa"/>
            <w:vAlign w:val="bottom"/>
            <w:shd w:val="clear" w:color="auto" w:fill="CBD0E0"/>
          </w:tcPr>
          <w:p>
            <w:pPr>
              <w:spacing w:after="0"/>
              <w:rPr>
                <w:sz w:val="15"/>
                <w:szCs w:val="15"/>
                <w:color w:val="auto"/>
              </w:rPr>
            </w:pPr>
          </w:p>
        </w:tc>
        <w:tc>
          <w:tcPr>
            <w:tcW w:w="2920" w:type="dxa"/>
            <w:vAlign w:val="bottom"/>
            <w:shd w:val="clear" w:color="auto" w:fill="CBD0E0"/>
          </w:tcPr>
          <w:p>
            <w:pPr>
              <w:ind w:left="80"/>
              <w:spacing w:after="0"/>
              <w:rPr>
                <w:sz w:val="20"/>
                <w:szCs w:val="20"/>
                <w:color w:val="auto"/>
              </w:rPr>
            </w:pPr>
            <w:r>
              <w:rPr>
                <w:rFonts w:ascii="Arial" w:cs="Arial" w:eastAsia="Arial" w:hAnsi="Arial"/>
                <w:sz w:val="15"/>
                <w:szCs w:val="15"/>
                <w:color w:val="231F20"/>
              </w:rPr>
              <w:t>performance based on market data.</w:t>
            </w:r>
          </w:p>
        </w:tc>
        <w:tc>
          <w:tcPr>
            <w:tcW w:w="2920" w:type="dxa"/>
            <w:vAlign w:val="bottom"/>
            <w:shd w:val="clear" w:color="auto" w:fill="CBD0E0"/>
          </w:tcPr>
          <w:p>
            <w:pPr>
              <w:ind w:left="80"/>
              <w:spacing w:after="0"/>
              <w:rPr>
                <w:sz w:val="20"/>
                <w:szCs w:val="20"/>
                <w:color w:val="auto"/>
              </w:rPr>
            </w:pPr>
            <w:r>
              <w:rPr>
                <w:rFonts w:ascii="Arial" w:cs="Arial" w:eastAsia="Arial" w:hAnsi="Arial"/>
                <w:sz w:val="15"/>
                <w:szCs w:val="15"/>
                <w:color w:val="231F20"/>
              </w:rPr>
              <w:t>well as actual performance against</w:t>
            </w:r>
          </w:p>
        </w:tc>
        <w:tc>
          <w:tcPr>
            <w:tcW w:w="0" w:type="dxa"/>
            <w:vAlign w:val="bottom"/>
          </w:tcPr>
          <w:p>
            <w:pPr>
              <w:spacing w:after="0"/>
              <w:rPr>
                <w:sz w:val="1"/>
                <w:szCs w:val="1"/>
                <w:color w:val="auto"/>
              </w:rPr>
            </w:pPr>
          </w:p>
        </w:tc>
      </w:tr>
      <w:tr>
        <w:trPr>
          <w:trHeight w:val="207"/>
        </w:trPr>
        <w:tc>
          <w:tcPr>
            <w:tcW w:w="1360" w:type="dxa"/>
            <w:vAlign w:val="bottom"/>
            <w:shd w:val="clear" w:color="auto" w:fill="355889"/>
          </w:tcPr>
          <w:p>
            <w:pPr>
              <w:spacing w:after="0"/>
              <w:rPr>
                <w:sz w:val="17"/>
                <w:szCs w:val="17"/>
                <w:color w:val="auto"/>
              </w:rPr>
            </w:pPr>
          </w:p>
        </w:tc>
        <w:tc>
          <w:tcPr>
            <w:tcW w:w="1680" w:type="dxa"/>
            <w:vAlign w:val="bottom"/>
            <w:shd w:val="clear" w:color="auto" w:fill="CBD0E0"/>
          </w:tcPr>
          <w:p>
            <w:pPr>
              <w:spacing w:after="0"/>
              <w:rPr>
                <w:sz w:val="17"/>
                <w:szCs w:val="17"/>
                <w:color w:val="auto"/>
              </w:rPr>
            </w:pPr>
          </w:p>
        </w:tc>
        <w:tc>
          <w:tcPr>
            <w:tcW w:w="2360" w:type="dxa"/>
            <w:vAlign w:val="bottom"/>
            <w:shd w:val="clear" w:color="auto" w:fill="CBD0E0"/>
          </w:tcPr>
          <w:p>
            <w:pPr>
              <w:spacing w:after="0"/>
              <w:rPr>
                <w:sz w:val="17"/>
                <w:szCs w:val="17"/>
                <w:color w:val="auto"/>
              </w:rPr>
            </w:pPr>
          </w:p>
        </w:tc>
        <w:tc>
          <w:tcPr>
            <w:tcW w:w="2920" w:type="dxa"/>
            <w:vAlign w:val="bottom"/>
            <w:shd w:val="clear" w:color="auto" w:fill="CBD0E0"/>
          </w:tcPr>
          <w:p>
            <w:pPr>
              <w:spacing w:after="0"/>
              <w:rPr>
                <w:sz w:val="17"/>
                <w:szCs w:val="17"/>
                <w:color w:val="auto"/>
              </w:rPr>
            </w:pPr>
          </w:p>
        </w:tc>
        <w:tc>
          <w:tcPr>
            <w:tcW w:w="2920" w:type="dxa"/>
            <w:vAlign w:val="bottom"/>
            <w:shd w:val="clear" w:color="auto" w:fill="CBD0E0"/>
          </w:tcPr>
          <w:p>
            <w:pPr>
              <w:ind w:left="80"/>
              <w:spacing w:after="0"/>
              <w:rPr>
                <w:sz w:val="20"/>
                <w:szCs w:val="20"/>
                <w:color w:val="auto"/>
              </w:rPr>
            </w:pPr>
            <w:r>
              <w:rPr>
                <w:rFonts w:ascii="Arial" w:cs="Arial" w:eastAsia="Arial" w:hAnsi="Arial"/>
                <w:sz w:val="15"/>
                <w:szCs w:val="15"/>
                <w:color w:val="231F20"/>
              </w:rPr>
              <w:t>defined objectives.</w:t>
            </w:r>
          </w:p>
        </w:tc>
        <w:tc>
          <w:tcPr>
            <w:tcW w:w="0" w:type="dxa"/>
            <w:vAlign w:val="bottom"/>
          </w:tcPr>
          <w:p>
            <w:pPr>
              <w:spacing w:after="0"/>
              <w:rPr>
                <w:sz w:val="1"/>
                <w:szCs w:val="1"/>
                <w:color w:val="auto"/>
              </w:rPr>
            </w:pPr>
          </w:p>
        </w:tc>
      </w:tr>
      <w:tr>
        <w:trPr>
          <w:trHeight w:val="67"/>
        </w:trPr>
        <w:tc>
          <w:tcPr>
            <w:tcW w:w="1360" w:type="dxa"/>
            <w:vAlign w:val="bottom"/>
            <w:shd w:val="clear" w:color="auto" w:fill="355889"/>
          </w:tcPr>
          <w:p>
            <w:pPr>
              <w:spacing w:after="0"/>
              <w:rPr>
                <w:sz w:val="5"/>
                <w:szCs w:val="5"/>
                <w:color w:val="auto"/>
              </w:rPr>
            </w:pPr>
          </w:p>
        </w:tc>
        <w:tc>
          <w:tcPr>
            <w:tcW w:w="1680" w:type="dxa"/>
            <w:vAlign w:val="bottom"/>
            <w:shd w:val="clear" w:color="auto" w:fill="CBD0E0"/>
          </w:tcPr>
          <w:p>
            <w:pPr>
              <w:spacing w:after="0"/>
              <w:rPr>
                <w:sz w:val="5"/>
                <w:szCs w:val="5"/>
                <w:color w:val="auto"/>
              </w:rPr>
            </w:pPr>
          </w:p>
        </w:tc>
        <w:tc>
          <w:tcPr>
            <w:tcW w:w="2360" w:type="dxa"/>
            <w:vAlign w:val="bottom"/>
            <w:shd w:val="clear" w:color="auto" w:fill="CBD0E0"/>
          </w:tcPr>
          <w:p>
            <w:pPr>
              <w:spacing w:after="0"/>
              <w:rPr>
                <w:sz w:val="5"/>
                <w:szCs w:val="5"/>
                <w:color w:val="auto"/>
              </w:rPr>
            </w:pPr>
          </w:p>
        </w:tc>
        <w:tc>
          <w:tcPr>
            <w:tcW w:w="2920" w:type="dxa"/>
            <w:vAlign w:val="bottom"/>
            <w:shd w:val="clear" w:color="auto" w:fill="CBD0E0"/>
          </w:tcPr>
          <w:p>
            <w:pPr>
              <w:spacing w:after="0"/>
              <w:rPr>
                <w:sz w:val="5"/>
                <w:szCs w:val="5"/>
                <w:color w:val="auto"/>
              </w:rPr>
            </w:pPr>
          </w:p>
        </w:tc>
        <w:tc>
          <w:tcPr>
            <w:tcW w:w="2920" w:type="dxa"/>
            <w:vAlign w:val="bottom"/>
            <w:shd w:val="clear" w:color="auto" w:fill="CBD0E0"/>
          </w:tcPr>
          <w:p>
            <w:pPr>
              <w:spacing w:after="0"/>
              <w:rPr>
                <w:sz w:val="5"/>
                <w:szCs w:val="5"/>
                <w:color w:val="auto"/>
              </w:rPr>
            </w:pPr>
          </w:p>
        </w:tc>
        <w:tc>
          <w:tcPr>
            <w:tcW w:w="0" w:type="dxa"/>
            <w:vAlign w:val="bottom"/>
          </w:tcPr>
          <w:p>
            <w:pPr>
              <w:spacing w:after="0"/>
              <w:rPr>
                <w:sz w:val="1"/>
                <w:szCs w:val="1"/>
                <w:color w:val="auto"/>
              </w:rPr>
            </w:pPr>
          </w:p>
        </w:tc>
      </w:tr>
      <w:tr>
        <w:trPr>
          <w:trHeight w:val="230"/>
        </w:trPr>
        <w:tc>
          <w:tcPr>
            <w:tcW w:w="1360" w:type="dxa"/>
            <w:vAlign w:val="bottom"/>
            <w:shd w:val="clear" w:color="auto" w:fill="2494D8"/>
          </w:tcPr>
          <w:p>
            <w:pPr>
              <w:ind w:left="80"/>
              <w:spacing w:after="0"/>
              <w:rPr>
                <w:sz w:val="20"/>
                <w:szCs w:val="20"/>
                <w:color w:val="auto"/>
              </w:rPr>
            </w:pPr>
            <w:r>
              <w:rPr>
                <w:rFonts w:ascii="Arial" w:cs="Arial" w:eastAsia="Arial" w:hAnsi="Arial"/>
                <w:sz w:val="20"/>
                <w:szCs w:val="20"/>
                <w:b w:val="1"/>
                <w:bCs w:val="1"/>
                <w:color w:val="FFFFFF"/>
              </w:rPr>
              <w:t>Variable</w:t>
            </w:r>
          </w:p>
        </w:tc>
        <w:tc>
          <w:tcPr>
            <w:tcW w:w="1680" w:type="dxa"/>
            <w:vAlign w:val="bottom"/>
            <w:shd w:val="clear" w:color="auto" w:fill="CCE1F4"/>
          </w:tcPr>
          <w:p>
            <w:pPr>
              <w:ind w:left="80"/>
              <w:spacing w:after="0"/>
              <w:rPr>
                <w:sz w:val="20"/>
                <w:szCs w:val="20"/>
                <w:color w:val="auto"/>
              </w:rPr>
            </w:pPr>
            <w:r>
              <w:rPr>
                <w:rFonts w:ascii="Arial" w:cs="Arial" w:eastAsia="Arial" w:hAnsi="Arial"/>
                <w:sz w:val="15"/>
                <w:szCs w:val="15"/>
                <w:b w:val="1"/>
                <w:bCs w:val="1"/>
                <w:color w:val="2494D8"/>
              </w:rPr>
              <w:t>Annual Cash</w:t>
            </w:r>
          </w:p>
        </w:tc>
        <w:tc>
          <w:tcPr>
            <w:tcW w:w="2360" w:type="dxa"/>
            <w:vAlign w:val="bottom"/>
            <w:shd w:val="clear" w:color="auto" w:fill="CCE1F4"/>
          </w:tcPr>
          <w:p>
            <w:pPr>
              <w:ind w:left="80"/>
              <w:spacing w:after="0"/>
              <w:rPr>
                <w:sz w:val="20"/>
                <w:szCs w:val="20"/>
                <w:color w:val="auto"/>
              </w:rPr>
            </w:pPr>
            <w:r>
              <w:rPr>
                <w:rFonts w:ascii="Arial" w:cs="Arial" w:eastAsia="Arial" w:hAnsi="Arial"/>
                <w:sz w:val="15"/>
                <w:szCs w:val="15"/>
                <w:color w:val="231F20"/>
              </w:rPr>
              <w:t>Variable cash paid on an annual</w:t>
            </w:r>
          </w:p>
        </w:tc>
        <w:tc>
          <w:tcPr>
            <w:tcW w:w="2920" w:type="dxa"/>
            <w:vAlign w:val="bottom"/>
            <w:shd w:val="clear" w:color="auto" w:fill="CCE1F4"/>
          </w:tcPr>
          <w:p>
            <w:pPr>
              <w:ind w:left="80"/>
              <w:spacing w:after="0"/>
              <w:rPr>
                <w:sz w:val="20"/>
                <w:szCs w:val="20"/>
                <w:color w:val="auto"/>
              </w:rPr>
            </w:pPr>
            <w:r>
              <w:rPr>
                <w:rFonts w:ascii="Arial" w:cs="Arial" w:eastAsia="Arial" w:hAnsi="Arial"/>
                <w:sz w:val="15"/>
                <w:szCs w:val="15"/>
                <w:color w:val="231F20"/>
              </w:rPr>
              <w:t>Motivate executives to focus on</w:t>
            </w:r>
          </w:p>
        </w:tc>
        <w:tc>
          <w:tcPr>
            <w:tcW w:w="2920" w:type="dxa"/>
            <w:vAlign w:val="bottom"/>
            <w:shd w:val="clear" w:color="auto" w:fill="CCE1F4"/>
          </w:tcPr>
          <w:p>
            <w:pPr>
              <w:ind w:left="80"/>
              <w:spacing w:after="0"/>
              <w:rPr>
                <w:sz w:val="20"/>
                <w:szCs w:val="20"/>
                <w:color w:val="auto"/>
              </w:rPr>
            </w:pPr>
            <w:r>
              <w:rPr>
                <w:rFonts w:ascii="Arial" w:cs="Arial" w:eastAsia="Arial" w:hAnsi="Arial"/>
                <w:sz w:val="15"/>
                <w:szCs w:val="15"/>
                <w:color w:val="231F20"/>
              </w:rPr>
              <w:t>The amount of the annual incentive</w:t>
            </w:r>
          </w:p>
        </w:tc>
        <w:tc>
          <w:tcPr>
            <w:tcW w:w="0" w:type="dxa"/>
            <w:vAlign w:val="bottom"/>
          </w:tcPr>
          <w:p>
            <w:pPr>
              <w:spacing w:after="0"/>
              <w:rPr>
                <w:sz w:val="1"/>
                <w:szCs w:val="1"/>
                <w:color w:val="auto"/>
              </w:rPr>
            </w:pPr>
          </w:p>
        </w:tc>
      </w:tr>
      <w:tr>
        <w:trPr>
          <w:trHeight w:val="160"/>
        </w:trPr>
        <w:tc>
          <w:tcPr>
            <w:tcW w:w="1360" w:type="dxa"/>
            <w:vAlign w:val="bottom"/>
            <w:shd w:val="clear" w:color="auto" w:fill="2494D8"/>
          </w:tcPr>
          <w:p>
            <w:pPr>
              <w:spacing w:after="0"/>
              <w:rPr>
                <w:sz w:val="13"/>
                <w:szCs w:val="13"/>
                <w:color w:val="auto"/>
              </w:rPr>
            </w:pPr>
          </w:p>
        </w:tc>
        <w:tc>
          <w:tcPr>
            <w:tcW w:w="1680" w:type="dxa"/>
            <w:vAlign w:val="bottom"/>
            <w:shd w:val="clear" w:color="auto" w:fill="CCE1F4"/>
          </w:tcPr>
          <w:p>
            <w:pPr>
              <w:ind w:left="80"/>
              <w:spacing w:after="0" w:line="161" w:lineRule="exact"/>
              <w:rPr>
                <w:sz w:val="20"/>
                <w:szCs w:val="20"/>
                <w:color w:val="auto"/>
              </w:rPr>
            </w:pPr>
            <w:r>
              <w:rPr>
                <w:rFonts w:ascii="Arial" w:cs="Arial" w:eastAsia="Arial" w:hAnsi="Arial"/>
                <w:sz w:val="15"/>
                <w:szCs w:val="15"/>
                <w:b w:val="1"/>
                <w:bCs w:val="1"/>
                <w:color w:val="2494D8"/>
              </w:rPr>
              <w:t>Incentive Awards</w:t>
            </w:r>
          </w:p>
        </w:tc>
        <w:tc>
          <w:tcPr>
            <w:tcW w:w="2360" w:type="dxa"/>
            <w:vAlign w:val="bottom"/>
            <w:shd w:val="clear" w:color="auto" w:fill="CCE1F4"/>
          </w:tcPr>
          <w:p>
            <w:pPr>
              <w:ind w:left="80"/>
              <w:spacing w:after="0" w:line="161" w:lineRule="exact"/>
              <w:rPr>
                <w:sz w:val="20"/>
                <w:szCs w:val="20"/>
                <w:color w:val="auto"/>
              </w:rPr>
            </w:pPr>
            <w:r>
              <w:rPr>
                <w:rFonts w:ascii="Arial" w:cs="Arial" w:eastAsia="Arial" w:hAnsi="Arial"/>
                <w:sz w:val="15"/>
                <w:szCs w:val="15"/>
                <w:color w:val="231F20"/>
              </w:rPr>
              <w:t>basis based on achievement of</w:t>
            </w:r>
          </w:p>
        </w:tc>
        <w:tc>
          <w:tcPr>
            <w:tcW w:w="2920" w:type="dxa"/>
            <w:vAlign w:val="bottom"/>
            <w:shd w:val="clear" w:color="auto" w:fill="CCE1F4"/>
          </w:tcPr>
          <w:p>
            <w:pPr>
              <w:ind w:left="80"/>
              <w:spacing w:after="0" w:line="161" w:lineRule="exact"/>
              <w:rPr>
                <w:sz w:val="20"/>
                <w:szCs w:val="20"/>
                <w:color w:val="auto"/>
              </w:rPr>
            </w:pPr>
            <w:r>
              <w:rPr>
                <w:rFonts w:ascii="Arial" w:cs="Arial" w:eastAsia="Arial" w:hAnsi="Arial"/>
                <w:sz w:val="15"/>
                <w:szCs w:val="15"/>
                <w:color w:val="231F20"/>
              </w:rPr>
              <w:t>achievement of our annual business</w:t>
            </w:r>
          </w:p>
        </w:tc>
        <w:tc>
          <w:tcPr>
            <w:tcW w:w="2920" w:type="dxa"/>
            <w:vAlign w:val="bottom"/>
            <w:shd w:val="clear" w:color="auto" w:fill="CCE1F4"/>
          </w:tcPr>
          <w:p>
            <w:pPr>
              <w:ind w:left="80"/>
              <w:spacing w:after="0" w:line="161" w:lineRule="exact"/>
              <w:rPr>
                <w:sz w:val="20"/>
                <w:szCs w:val="20"/>
                <w:color w:val="auto"/>
              </w:rPr>
            </w:pPr>
            <w:r>
              <w:rPr>
                <w:rFonts w:ascii="Arial" w:cs="Arial" w:eastAsia="Arial" w:hAnsi="Arial"/>
                <w:sz w:val="15"/>
                <w:szCs w:val="15"/>
                <w:color w:val="231F20"/>
              </w:rPr>
              <w:t>award, if any, is entirely dependent on</w:t>
            </w:r>
          </w:p>
        </w:tc>
        <w:tc>
          <w:tcPr>
            <w:tcW w:w="0" w:type="dxa"/>
            <w:vAlign w:val="bottom"/>
          </w:tcPr>
          <w:p>
            <w:pPr>
              <w:spacing w:after="0"/>
              <w:rPr>
                <w:sz w:val="1"/>
                <w:szCs w:val="1"/>
                <w:color w:val="auto"/>
              </w:rPr>
            </w:pPr>
          </w:p>
        </w:tc>
      </w:tr>
      <w:tr>
        <w:trPr>
          <w:trHeight w:val="210"/>
        </w:trPr>
        <w:tc>
          <w:tcPr>
            <w:tcW w:w="1360" w:type="dxa"/>
            <w:vAlign w:val="bottom"/>
            <w:shd w:val="clear" w:color="auto" w:fill="2494D8"/>
          </w:tcPr>
          <w:p>
            <w:pPr>
              <w:ind w:left="80"/>
              <w:spacing w:after="0"/>
              <w:rPr>
                <w:sz w:val="20"/>
                <w:szCs w:val="20"/>
                <w:color w:val="auto"/>
              </w:rPr>
            </w:pPr>
            <w:r>
              <w:rPr>
                <w:rFonts w:ascii="Arial" w:cs="Arial" w:eastAsia="Arial" w:hAnsi="Arial"/>
                <w:sz w:val="15"/>
                <w:szCs w:val="15"/>
                <w:b w:val="1"/>
                <w:bCs w:val="1"/>
                <w:color w:val="FFFFFF"/>
              </w:rPr>
              <w:t>Performance-</w:t>
            </w:r>
          </w:p>
        </w:tc>
        <w:tc>
          <w:tcPr>
            <w:tcW w:w="1680" w:type="dxa"/>
            <w:vAlign w:val="bottom"/>
            <w:shd w:val="clear" w:color="auto" w:fill="CCE1F4"/>
          </w:tcPr>
          <w:p>
            <w:pPr>
              <w:spacing w:after="0"/>
              <w:rPr>
                <w:sz w:val="18"/>
                <w:szCs w:val="18"/>
                <w:color w:val="auto"/>
              </w:rPr>
            </w:pPr>
          </w:p>
        </w:tc>
        <w:tc>
          <w:tcPr>
            <w:tcW w:w="2360" w:type="dxa"/>
            <w:vAlign w:val="bottom"/>
            <w:shd w:val="clear" w:color="auto" w:fill="CCE1F4"/>
          </w:tcPr>
          <w:p>
            <w:pPr>
              <w:ind w:left="80"/>
              <w:spacing w:after="0"/>
              <w:rPr>
                <w:sz w:val="20"/>
                <w:szCs w:val="20"/>
                <w:color w:val="auto"/>
              </w:rPr>
            </w:pPr>
            <w:r>
              <w:rPr>
                <w:rFonts w:ascii="Arial" w:cs="Arial" w:eastAsia="Arial" w:hAnsi="Arial"/>
                <w:sz w:val="15"/>
                <w:szCs w:val="15"/>
                <w:color w:val="231F20"/>
              </w:rPr>
              <w:t>pre-established goals</w:t>
            </w:r>
          </w:p>
        </w:tc>
        <w:tc>
          <w:tcPr>
            <w:tcW w:w="2920" w:type="dxa"/>
            <w:vAlign w:val="bottom"/>
            <w:shd w:val="clear" w:color="auto" w:fill="CCE1F4"/>
          </w:tcPr>
          <w:p>
            <w:pPr>
              <w:ind w:left="80"/>
              <w:spacing w:after="0"/>
              <w:rPr>
                <w:sz w:val="20"/>
                <w:szCs w:val="20"/>
                <w:color w:val="auto"/>
              </w:rPr>
            </w:pPr>
            <w:r>
              <w:rPr>
                <w:rFonts w:ascii="Arial" w:cs="Arial" w:eastAsia="Arial" w:hAnsi="Arial"/>
                <w:sz w:val="15"/>
                <w:szCs w:val="15"/>
                <w:color w:val="231F20"/>
              </w:rPr>
              <w:t>objectives.</w:t>
            </w:r>
          </w:p>
        </w:tc>
        <w:tc>
          <w:tcPr>
            <w:tcW w:w="2920" w:type="dxa"/>
            <w:vAlign w:val="bottom"/>
            <w:shd w:val="clear" w:color="auto" w:fill="CCE1F4"/>
          </w:tcPr>
          <w:p>
            <w:pPr>
              <w:ind w:left="80"/>
              <w:spacing w:after="0"/>
              <w:rPr>
                <w:sz w:val="20"/>
                <w:szCs w:val="20"/>
                <w:color w:val="auto"/>
              </w:rPr>
            </w:pPr>
            <w:r>
              <w:rPr>
                <w:rFonts w:ascii="Arial" w:cs="Arial" w:eastAsia="Arial" w:hAnsi="Arial"/>
                <w:sz w:val="15"/>
                <w:szCs w:val="15"/>
                <w:color w:val="231F20"/>
              </w:rPr>
              <w:t>achievement of pre-established</w:t>
            </w:r>
          </w:p>
        </w:tc>
        <w:tc>
          <w:tcPr>
            <w:tcW w:w="0" w:type="dxa"/>
            <w:vAlign w:val="bottom"/>
          </w:tcPr>
          <w:p>
            <w:pPr>
              <w:spacing w:after="0"/>
              <w:rPr>
                <w:sz w:val="1"/>
                <w:szCs w:val="1"/>
                <w:color w:val="auto"/>
              </w:rPr>
            </w:pPr>
          </w:p>
        </w:tc>
      </w:tr>
      <w:tr>
        <w:trPr>
          <w:trHeight w:val="199"/>
        </w:trPr>
        <w:tc>
          <w:tcPr>
            <w:tcW w:w="1360" w:type="dxa"/>
            <w:vAlign w:val="bottom"/>
            <w:shd w:val="clear" w:color="auto" w:fill="2494D8"/>
          </w:tcPr>
          <w:p>
            <w:pPr>
              <w:ind w:left="80"/>
              <w:spacing w:after="0"/>
              <w:rPr>
                <w:sz w:val="20"/>
                <w:szCs w:val="20"/>
                <w:color w:val="auto"/>
              </w:rPr>
            </w:pPr>
            <w:r>
              <w:rPr>
                <w:rFonts w:ascii="Arial" w:cs="Arial" w:eastAsia="Arial" w:hAnsi="Arial"/>
                <w:sz w:val="15"/>
                <w:szCs w:val="15"/>
                <w:b w:val="1"/>
                <w:bCs w:val="1"/>
                <w:color w:val="FFFFFF"/>
              </w:rPr>
              <w:t>and/or</w:t>
            </w:r>
          </w:p>
        </w:tc>
        <w:tc>
          <w:tcPr>
            <w:tcW w:w="1680" w:type="dxa"/>
            <w:vAlign w:val="bottom"/>
            <w:shd w:val="clear" w:color="auto" w:fill="CCE1F4"/>
          </w:tcPr>
          <w:p>
            <w:pPr>
              <w:spacing w:after="0"/>
              <w:rPr>
                <w:sz w:val="17"/>
                <w:szCs w:val="17"/>
                <w:color w:val="auto"/>
              </w:rPr>
            </w:pPr>
          </w:p>
        </w:tc>
        <w:tc>
          <w:tcPr>
            <w:tcW w:w="2360" w:type="dxa"/>
            <w:vAlign w:val="bottom"/>
            <w:shd w:val="clear" w:color="auto" w:fill="CCE1F4"/>
          </w:tcPr>
          <w:p>
            <w:pPr>
              <w:spacing w:after="0"/>
              <w:rPr>
                <w:sz w:val="17"/>
                <w:szCs w:val="17"/>
                <w:color w:val="auto"/>
              </w:rPr>
            </w:pPr>
          </w:p>
        </w:tc>
        <w:tc>
          <w:tcPr>
            <w:tcW w:w="2920" w:type="dxa"/>
            <w:vAlign w:val="bottom"/>
            <w:shd w:val="clear" w:color="auto" w:fill="CCE1F4"/>
          </w:tcPr>
          <w:p>
            <w:pPr>
              <w:spacing w:after="0"/>
              <w:rPr>
                <w:sz w:val="17"/>
                <w:szCs w:val="17"/>
                <w:color w:val="auto"/>
              </w:rPr>
            </w:pPr>
          </w:p>
        </w:tc>
        <w:tc>
          <w:tcPr>
            <w:tcW w:w="2920" w:type="dxa"/>
            <w:vAlign w:val="bottom"/>
            <w:shd w:val="clear" w:color="auto" w:fill="CCE1F4"/>
          </w:tcPr>
          <w:p>
            <w:pPr>
              <w:ind w:left="80"/>
              <w:spacing w:after="0"/>
              <w:rPr>
                <w:sz w:val="20"/>
                <w:szCs w:val="20"/>
                <w:color w:val="auto"/>
              </w:rPr>
            </w:pPr>
            <w:r>
              <w:rPr>
                <w:rFonts w:ascii="Arial" w:cs="Arial" w:eastAsia="Arial" w:hAnsi="Arial"/>
                <w:sz w:val="15"/>
                <w:szCs w:val="15"/>
                <w:color w:val="231F20"/>
              </w:rPr>
              <w:t>Company and individual goals.</w:t>
            </w:r>
          </w:p>
        </w:tc>
        <w:tc>
          <w:tcPr>
            <w:tcW w:w="0" w:type="dxa"/>
            <w:vAlign w:val="bottom"/>
          </w:tcPr>
          <w:p>
            <w:pPr>
              <w:spacing w:after="0"/>
              <w:rPr>
                <w:sz w:val="1"/>
                <w:szCs w:val="1"/>
                <w:color w:val="auto"/>
              </w:rPr>
            </w:pPr>
          </w:p>
        </w:tc>
      </w:tr>
      <w:tr>
        <w:trPr>
          <w:trHeight w:val="179"/>
        </w:trPr>
        <w:tc>
          <w:tcPr>
            <w:tcW w:w="1360" w:type="dxa"/>
            <w:vAlign w:val="bottom"/>
            <w:shd w:val="clear" w:color="auto" w:fill="2494D8"/>
          </w:tcPr>
          <w:p>
            <w:pPr>
              <w:ind w:left="80"/>
              <w:spacing w:after="0"/>
              <w:rPr>
                <w:sz w:val="20"/>
                <w:szCs w:val="20"/>
                <w:color w:val="auto"/>
              </w:rPr>
            </w:pPr>
            <w:r>
              <w:rPr>
                <w:rFonts w:ascii="Arial" w:cs="Arial" w:eastAsia="Arial" w:hAnsi="Arial"/>
                <w:sz w:val="15"/>
                <w:szCs w:val="15"/>
                <w:b w:val="1"/>
                <w:bCs w:val="1"/>
                <w:color w:val="FFFFFF"/>
              </w:rPr>
              <w:t>Stock-Based</w:t>
            </w:r>
          </w:p>
        </w:tc>
        <w:tc>
          <w:tcPr>
            <w:tcW w:w="1680" w:type="dxa"/>
            <w:vAlign w:val="bottom"/>
            <w:vMerge w:val="restart"/>
            <w:shd w:val="clear" w:color="auto" w:fill="CCE1F4"/>
          </w:tcPr>
          <w:p>
            <w:pPr>
              <w:ind w:left="80"/>
              <w:spacing w:after="0"/>
              <w:rPr>
                <w:sz w:val="20"/>
                <w:szCs w:val="20"/>
                <w:color w:val="auto"/>
              </w:rPr>
            </w:pPr>
            <w:r>
              <w:rPr>
                <w:rFonts w:ascii="Arial" w:cs="Arial" w:eastAsia="Arial" w:hAnsi="Arial"/>
                <w:sz w:val="15"/>
                <w:szCs w:val="15"/>
                <w:b w:val="1"/>
                <w:bCs w:val="1"/>
                <w:color w:val="2494D8"/>
              </w:rPr>
              <w:t>Long-Term Equity</w:t>
            </w:r>
          </w:p>
        </w:tc>
        <w:tc>
          <w:tcPr>
            <w:tcW w:w="2360" w:type="dxa"/>
            <w:vAlign w:val="bottom"/>
            <w:vMerge w:val="restart"/>
            <w:shd w:val="clear" w:color="auto" w:fill="CCE1F4"/>
          </w:tcPr>
          <w:p>
            <w:pPr>
              <w:ind w:left="80"/>
              <w:spacing w:after="0"/>
              <w:rPr>
                <w:sz w:val="20"/>
                <w:szCs w:val="20"/>
                <w:color w:val="auto"/>
              </w:rPr>
            </w:pPr>
            <w:r>
              <w:rPr>
                <w:rFonts w:ascii="Arial" w:cs="Arial" w:eastAsia="Arial" w:hAnsi="Arial"/>
                <w:sz w:val="15"/>
                <w:szCs w:val="15"/>
                <w:color w:val="231F20"/>
              </w:rPr>
              <w:t>Restricted Stock Units</w:t>
            </w:r>
          </w:p>
        </w:tc>
        <w:tc>
          <w:tcPr>
            <w:tcW w:w="2920" w:type="dxa"/>
            <w:vAlign w:val="bottom"/>
            <w:vMerge w:val="restart"/>
            <w:shd w:val="clear" w:color="auto" w:fill="CCE1F4"/>
          </w:tcPr>
          <w:p>
            <w:pPr>
              <w:ind w:left="80"/>
              <w:spacing w:after="0"/>
              <w:rPr>
                <w:sz w:val="20"/>
                <w:szCs w:val="20"/>
                <w:color w:val="auto"/>
              </w:rPr>
            </w:pPr>
            <w:r>
              <w:rPr>
                <w:rFonts w:ascii="Arial" w:cs="Arial" w:eastAsia="Arial" w:hAnsi="Arial"/>
                <w:sz w:val="15"/>
                <w:szCs w:val="15"/>
                <w:color w:val="231F20"/>
              </w:rPr>
              <w:t>Align executive interests with</w:t>
            </w:r>
          </w:p>
        </w:tc>
        <w:tc>
          <w:tcPr>
            <w:tcW w:w="2920" w:type="dxa"/>
            <w:vAlign w:val="bottom"/>
            <w:vMerge w:val="restart"/>
            <w:shd w:val="clear" w:color="auto" w:fill="CCE1F4"/>
          </w:tcPr>
          <w:p>
            <w:pPr>
              <w:ind w:left="80"/>
              <w:spacing w:after="0"/>
              <w:rPr>
                <w:sz w:val="20"/>
                <w:szCs w:val="20"/>
                <w:color w:val="auto"/>
              </w:rPr>
            </w:pPr>
            <w:r>
              <w:rPr>
                <w:rFonts w:ascii="Arial" w:cs="Arial" w:eastAsia="Arial" w:hAnsi="Arial"/>
                <w:sz w:val="15"/>
                <w:szCs w:val="15"/>
                <w:color w:val="231F20"/>
              </w:rPr>
              <w:t>Provide equity that will have same value</w:t>
            </w:r>
          </w:p>
        </w:tc>
        <w:tc>
          <w:tcPr>
            <w:tcW w:w="0" w:type="dxa"/>
            <w:vAlign w:val="bottom"/>
          </w:tcPr>
          <w:p>
            <w:pPr>
              <w:spacing w:after="0"/>
              <w:rPr>
                <w:sz w:val="1"/>
                <w:szCs w:val="1"/>
                <w:color w:val="auto"/>
              </w:rPr>
            </w:pPr>
          </w:p>
        </w:tc>
      </w:tr>
      <w:tr>
        <w:trPr>
          <w:trHeight w:val="64"/>
        </w:trPr>
        <w:tc>
          <w:tcPr>
            <w:tcW w:w="1360" w:type="dxa"/>
            <w:vAlign w:val="bottom"/>
            <w:vMerge w:val="restart"/>
            <w:shd w:val="clear" w:color="auto" w:fill="2494D8"/>
          </w:tcPr>
          <w:p>
            <w:pPr>
              <w:ind w:left="80"/>
              <w:spacing w:after="0"/>
              <w:rPr>
                <w:sz w:val="20"/>
                <w:szCs w:val="20"/>
                <w:color w:val="auto"/>
              </w:rPr>
            </w:pPr>
            <w:r>
              <w:rPr>
                <w:rFonts w:ascii="Arial" w:cs="Arial" w:eastAsia="Arial" w:hAnsi="Arial"/>
                <w:sz w:val="15"/>
                <w:szCs w:val="15"/>
                <w:b w:val="1"/>
                <w:bCs w:val="1"/>
                <w:color w:val="FFFFFF"/>
              </w:rPr>
              <w:t>Compensation</w:t>
            </w:r>
          </w:p>
        </w:tc>
        <w:tc>
          <w:tcPr>
            <w:tcW w:w="1680" w:type="dxa"/>
            <w:vAlign w:val="bottom"/>
            <w:vMerge w:val="continue"/>
            <w:shd w:val="clear" w:color="auto" w:fill="CCE1F4"/>
          </w:tcPr>
          <w:p>
            <w:pPr>
              <w:spacing w:after="0"/>
              <w:rPr>
                <w:sz w:val="5"/>
                <w:szCs w:val="5"/>
                <w:color w:val="auto"/>
              </w:rPr>
            </w:pPr>
          </w:p>
        </w:tc>
        <w:tc>
          <w:tcPr>
            <w:tcW w:w="2360" w:type="dxa"/>
            <w:vAlign w:val="bottom"/>
            <w:vMerge w:val="continue"/>
            <w:shd w:val="clear" w:color="auto" w:fill="CCE1F4"/>
          </w:tcPr>
          <w:p>
            <w:pPr>
              <w:spacing w:after="0"/>
              <w:rPr>
                <w:sz w:val="5"/>
                <w:szCs w:val="5"/>
                <w:color w:val="auto"/>
              </w:rPr>
            </w:pPr>
          </w:p>
        </w:tc>
        <w:tc>
          <w:tcPr>
            <w:tcW w:w="2920" w:type="dxa"/>
            <w:vAlign w:val="bottom"/>
            <w:vMerge w:val="continue"/>
            <w:shd w:val="clear" w:color="auto" w:fill="CCE1F4"/>
          </w:tcPr>
          <w:p>
            <w:pPr>
              <w:spacing w:after="0"/>
              <w:rPr>
                <w:sz w:val="5"/>
                <w:szCs w:val="5"/>
                <w:color w:val="auto"/>
              </w:rPr>
            </w:pPr>
          </w:p>
        </w:tc>
        <w:tc>
          <w:tcPr>
            <w:tcW w:w="2920" w:type="dxa"/>
            <w:vAlign w:val="bottom"/>
            <w:vMerge w:val="continue"/>
            <w:shd w:val="clear" w:color="auto" w:fill="CCE1F4"/>
          </w:tcPr>
          <w:p>
            <w:pPr>
              <w:spacing w:after="0"/>
              <w:rPr>
                <w:sz w:val="5"/>
                <w:szCs w:val="5"/>
                <w:color w:val="auto"/>
              </w:rPr>
            </w:pPr>
          </w:p>
        </w:tc>
        <w:tc>
          <w:tcPr>
            <w:tcW w:w="0" w:type="dxa"/>
            <w:vAlign w:val="bottom"/>
          </w:tcPr>
          <w:p>
            <w:pPr>
              <w:spacing w:after="0"/>
              <w:rPr>
                <w:sz w:val="1"/>
                <w:szCs w:val="1"/>
                <w:color w:val="auto"/>
              </w:rPr>
            </w:pPr>
          </w:p>
        </w:tc>
      </w:tr>
      <w:tr>
        <w:trPr>
          <w:trHeight w:val="179"/>
        </w:trPr>
        <w:tc>
          <w:tcPr>
            <w:tcW w:w="1360" w:type="dxa"/>
            <w:vAlign w:val="bottom"/>
            <w:vMerge w:val="continue"/>
            <w:shd w:val="clear" w:color="auto" w:fill="2494D8"/>
          </w:tcPr>
          <w:p>
            <w:pPr>
              <w:spacing w:after="0"/>
              <w:rPr>
                <w:sz w:val="15"/>
                <w:szCs w:val="15"/>
                <w:color w:val="auto"/>
              </w:rPr>
            </w:pPr>
          </w:p>
        </w:tc>
        <w:tc>
          <w:tcPr>
            <w:tcW w:w="1680" w:type="dxa"/>
            <w:vAlign w:val="bottom"/>
            <w:shd w:val="clear" w:color="auto" w:fill="CCE1F4"/>
          </w:tcPr>
          <w:p>
            <w:pPr>
              <w:ind w:left="80"/>
              <w:spacing w:after="0"/>
              <w:rPr>
                <w:sz w:val="20"/>
                <w:szCs w:val="20"/>
                <w:color w:val="auto"/>
              </w:rPr>
            </w:pPr>
            <w:r>
              <w:rPr>
                <w:rFonts w:ascii="Arial" w:cs="Arial" w:eastAsia="Arial" w:hAnsi="Arial"/>
                <w:sz w:val="15"/>
                <w:szCs w:val="15"/>
                <w:b w:val="1"/>
                <w:bCs w:val="1"/>
                <w:color w:val="2494D8"/>
              </w:rPr>
              <w:t>Incentive Awards</w:t>
            </w:r>
          </w:p>
        </w:tc>
        <w:tc>
          <w:tcPr>
            <w:tcW w:w="2360" w:type="dxa"/>
            <w:vAlign w:val="bottom"/>
            <w:shd w:val="clear" w:color="auto" w:fill="CCE1F4"/>
          </w:tcPr>
          <w:p>
            <w:pPr>
              <w:spacing w:after="0"/>
              <w:rPr>
                <w:sz w:val="15"/>
                <w:szCs w:val="15"/>
                <w:color w:val="auto"/>
              </w:rPr>
            </w:pPr>
          </w:p>
        </w:tc>
        <w:tc>
          <w:tcPr>
            <w:tcW w:w="2920" w:type="dxa"/>
            <w:vAlign w:val="bottom"/>
            <w:shd w:val="clear" w:color="auto" w:fill="CCE1F4"/>
          </w:tcPr>
          <w:p>
            <w:pPr>
              <w:ind w:left="80"/>
              <w:spacing w:after="0"/>
              <w:rPr>
                <w:sz w:val="20"/>
                <w:szCs w:val="20"/>
                <w:color w:val="auto"/>
              </w:rPr>
            </w:pPr>
            <w:r>
              <w:rPr>
                <w:rFonts w:ascii="Arial" w:cs="Arial" w:eastAsia="Arial" w:hAnsi="Arial"/>
                <w:sz w:val="15"/>
                <w:szCs w:val="15"/>
                <w:color w:val="231F20"/>
              </w:rPr>
              <w:t>shareholder interests; retain key</w:t>
            </w:r>
          </w:p>
        </w:tc>
        <w:tc>
          <w:tcPr>
            <w:tcW w:w="2920" w:type="dxa"/>
            <w:vAlign w:val="bottom"/>
            <w:shd w:val="clear" w:color="auto" w:fill="CCE1F4"/>
          </w:tcPr>
          <w:p>
            <w:pPr>
              <w:ind w:left="80"/>
              <w:spacing w:after="0"/>
              <w:rPr>
                <w:sz w:val="20"/>
                <w:szCs w:val="20"/>
                <w:color w:val="auto"/>
              </w:rPr>
            </w:pPr>
            <w:r>
              <w:rPr>
                <w:rFonts w:ascii="Arial" w:cs="Arial" w:eastAsia="Arial" w:hAnsi="Arial"/>
                <w:sz w:val="15"/>
                <w:szCs w:val="15"/>
                <w:color w:val="231F20"/>
              </w:rPr>
              <w:t>as shares owned by shareholders;</w:t>
            </w:r>
          </w:p>
        </w:tc>
        <w:tc>
          <w:tcPr>
            <w:tcW w:w="0" w:type="dxa"/>
            <w:vAlign w:val="bottom"/>
          </w:tcPr>
          <w:p>
            <w:pPr>
              <w:spacing w:after="0"/>
              <w:rPr>
                <w:sz w:val="1"/>
                <w:szCs w:val="1"/>
                <w:color w:val="auto"/>
              </w:rPr>
            </w:pPr>
          </w:p>
        </w:tc>
      </w:tr>
      <w:tr>
        <w:trPr>
          <w:trHeight w:val="253"/>
        </w:trPr>
        <w:tc>
          <w:tcPr>
            <w:tcW w:w="1360" w:type="dxa"/>
            <w:vAlign w:val="bottom"/>
            <w:tcBorders>
              <w:bottom w:val="single" w:sz="8" w:color="2494D8"/>
            </w:tcBorders>
            <w:shd w:val="clear" w:color="auto" w:fill="2494D8"/>
          </w:tcPr>
          <w:p>
            <w:pPr>
              <w:spacing w:after="0"/>
              <w:rPr>
                <w:sz w:val="21"/>
                <w:szCs w:val="21"/>
                <w:color w:val="auto"/>
              </w:rPr>
            </w:pPr>
          </w:p>
        </w:tc>
        <w:tc>
          <w:tcPr>
            <w:tcW w:w="1680" w:type="dxa"/>
            <w:vAlign w:val="bottom"/>
            <w:tcBorders>
              <w:bottom w:val="single" w:sz="8" w:color="CCE1F4"/>
            </w:tcBorders>
            <w:shd w:val="clear" w:color="auto" w:fill="CCE1F4"/>
          </w:tcPr>
          <w:p>
            <w:pPr>
              <w:spacing w:after="0"/>
              <w:rPr>
                <w:sz w:val="21"/>
                <w:szCs w:val="21"/>
                <w:color w:val="auto"/>
              </w:rPr>
            </w:pPr>
          </w:p>
        </w:tc>
        <w:tc>
          <w:tcPr>
            <w:tcW w:w="2360" w:type="dxa"/>
            <w:vAlign w:val="bottom"/>
            <w:tcBorders>
              <w:bottom w:val="single" w:sz="8" w:color="CCE1F4"/>
            </w:tcBorders>
            <w:shd w:val="clear" w:color="auto" w:fill="CCE1F4"/>
          </w:tcPr>
          <w:p>
            <w:pPr>
              <w:spacing w:after="0"/>
              <w:rPr>
                <w:sz w:val="21"/>
                <w:szCs w:val="21"/>
                <w:color w:val="auto"/>
              </w:rPr>
            </w:pPr>
          </w:p>
        </w:tc>
        <w:tc>
          <w:tcPr>
            <w:tcW w:w="2920" w:type="dxa"/>
            <w:vAlign w:val="bottom"/>
            <w:tcBorders>
              <w:bottom w:val="single" w:sz="8" w:color="CCE1F4"/>
            </w:tcBorders>
            <w:shd w:val="clear" w:color="auto" w:fill="CCE1F4"/>
          </w:tcPr>
          <w:p>
            <w:pPr>
              <w:ind w:left="80"/>
              <w:spacing w:after="0"/>
              <w:rPr>
                <w:sz w:val="20"/>
                <w:szCs w:val="20"/>
                <w:color w:val="auto"/>
              </w:rPr>
            </w:pPr>
            <w:r>
              <w:rPr>
                <w:rFonts w:ascii="Arial" w:cs="Arial" w:eastAsia="Arial" w:hAnsi="Arial"/>
                <w:sz w:val="15"/>
                <w:szCs w:val="15"/>
                <w:color w:val="231F20"/>
              </w:rPr>
              <w:t>executives.</w:t>
            </w:r>
          </w:p>
        </w:tc>
        <w:tc>
          <w:tcPr>
            <w:tcW w:w="2920" w:type="dxa"/>
            <w:vAlign w:val="bottom"/>
            <w:tcBorders>
              <w:bottom w:val="single" w:sz="8" w:color="CCE1F4"/>
            </w:tcBorders>
            <w:shd w:val="clear" w:color="auto" w:fill="CCE1F4"/>
          </w:tcPr>
          <w:p>
            <w:pPr>
              <w:ind w:left="80"/>
              <w:spacing w:after="0"/>
              <w:rPr>
                <w:sz w:val="20"/>
                <w:szCs w:val="20"/>
                <w:color w:val="auto"/>
              </w:rPr>
            </w:pPr>
            <w:r>
              <w:rPr>
                <w:rFonts w:ascii="Arial" w:cs="Arial" w:eastAsia="Arial" w:hAnsi="Arial"/>
                <w:sz w:val="15"/>
                <w:szCs w:val="15"/>
                <w:color w:val="231F20"/>
              </w:rPr>
              <w:t>subject to stock ownership guidelines.</w:t>
            </w:r>
          </w:p>
        </w:tc>
        <w:tc>
          <w:tcPr>
            <w:tcW w:w="0" w:type="dxa"/>
            <w:vAlign w:val="bottom"/>
          </w:tcPr>
          <w:p>
            <w:pPr>
              <w:spacing w:after="0"/>
              <w:rPr>
                <w:sz w:val="1"/>
                <w:szCs w:val="1"/>
                <w:color w:val="auto"/>
              </w:rPr>
            </w:pPr>
          </w:p>
        </w:tc>
      </w:tr>
      <w:tr>
        <w:trPr>
          <w:trHeight w:val="204"/>
        </w:trPr>
        <w:tc>
          <w:tcPr>
            <w:tcW w:w="1360" w:type="dxa"/>
            <w:vAlign w:val="bottom"/>
            <w:tcBorders>
              <w:top w:val="single" w:sz="8" w:color="2494D8"/>
            </w:tcBorders>
            <w:shd w:val="clear" w:color="auto" w:fill="2494D8"/>
          </w:tcPr>
          <w:p>
            <w:pPr>
              <w:spacing w:after="0"/>
              <w:rPr>
                <w:sz w:val="17"/>
                <w:szCs w:val="17"/>
                <w:color w:val="auto"/>
              </w:rPr>
            </w:pPr>
          </w:p>
        </w:tc>
        <w:tc>
          <w:tcPr>
            <w:tcW w:w="1680" w:type="dxa"/>
            <w:vAlign w:val="bottom"/>
            <w:tcBorders>
              <w:top w:val="single" w:sz="8" w:color="CCE1F4"/>
            </w:tcBorders>
            <w:shd w:val="clear" w:color="auto" w:fill="CCE1F4"/>
          </w:tcPr>
          <w:p>
            <w:pPr>
              <w:spacing w:after="0"/>
              <w:rPr>
                <w:sz w:val="17"/>
                <w:szCs w:val="17"/>
                <w:color w:val="auto"/>
              </w:rPr>
            </w:pPr>
          </w:p>
        </w:tc>
        <w:tc>
          <w:tcPr>
            <w:tcW w:w="2360" w:type="dxa"/>
            <w:vAlign w:val="bottom"/>
            <w:tcBorders>
              <w:top w:val="single" w:sz="8" w:color="auto"/>
            </w:tcBorders>
            <w:shd w:val="clear" w:color="auto" w:fill="CCE1F4"/>
          </w:tcPr>
          <w:p>
            <w:pPr>
              <w:ind w:left="80"/>
              <w:spacing w:after="0"/>
              <w:rPr>
                <w:sz w:val="20"/>
                <w:szCs w:val="20"/>
                <w:color w:val="auto"/>
              </w:rPr>
            </w:pPr>
            <w:r>
              <w:rPr>
                <w:rFonts w:ascii="Arial" w:cs="Arial" w:eastAsia="Arial" w:hAnsi="Arial"/>
                <w:sz w:val="15"/>
                <w:szCs w:val="15"/>
                <w:color w:val="231F20"/>
              </w:rPr>
              <w:t>Performance Share Units</w:t>
            </w:r>
          </w:p>
        </w:tc>
        <w:tc>
          <w:tcPr>
            <w:tcW w:w="2920" w:type="dxa"/>
            <w:vAlign w:val="bottom"/>
            <w:tcBorders>
              <w:top w:val="single" w:sz="8" w:color="auto"/>
            </w:tcBorders>
            <w:shd w:val="clear" w:color="auto" w:fill="CCE1F4"/>
          </w:tcPr>
          <w:p>
            <w:pPr>
              <w:ind w:left="80"/>
              <w:spacing w:after="0"/>
              <w:rPr>
                <w:sz w:val="20"/>
                <w:szCs w:val="20"/>
                <w:color w:val="auto"/>
              </w:rPr>
            </w:pPr>
            <w:r>
              <w:rPr>
                <w:rFonts w:ascii="Arial" w:cs="Arial" w:eastAsia="Arial" w:hAnsi="Arial"/>
                <w:sz w:val="15"/>
                <w:szCs w:val="15"/>
                <w:color w:val="231F20"/>
              </w:rPr>
              <w:t>Aligns executive interests with</w:t>
            </w:r>
          </w:p>
        </w:tc>
        <w:tc>
          <w:tcPr>
            <w:tcW w:w="2920" w:type="dxa"/>
            <w:vAlign w:val="bottom"/>
            <w:tcBorders>
              <w:top w:val="single" w:sz="8" w:color="auto"/>
            </w:tcBorders>
            <w:shd w:val="clear" w:color="auto" w:fill="CCE1F4"/>
          </w:tcPr>
          <w:p>
            <w:pPr>
              <w:ind w:left="80"/>
              <w:spacing w:after="0"/>
              <w:rPr>
                <w:sz w:val="20"/>
                <w:szCs w:val="20"/>
                <w:color w:val="auto"/>
              </w:rPr>
            </w:pPr>
            <w:r>
              <w:rPr>
                <w:rFonts w:ascii="Arial" w:cs="Arial" w:eastAsia="Arial" w:hAnsi="Arial"/>
                <w:sz w:val="15"/>
                <w:szCs w:val="15"/>
                <w:color w:val="231F20"/>
              </w:rPr>
              <w:t>The named executive officers receive</w:t>
            </w:r>
          </w:p>
        </w:tc>
        <w:tc>
          <w:tcPr>
            <w:tcW w:w="0" w:type="dxa"/>
            <w:vAlign w:val="bottom"/>
          </w:tcPr>
          <w:p>
            <w:pPr>
              <w:spacing w:after="0"/>
              <w:rPr>
                <w:sz w:val="1"/>
                <w:szCs w:val="1"/>
                <w:color w:val="auto"/>
              </w:rPr>
            </w:pPr>
          </w:p>
        </w:tc>
      </w:tr>
      <w:tr>
        <w:trPr>
          <w:trHeight w:val="179"/>
        </w:trPr>
        <w:tc>
          <w:tcPr>
            <w:tcW w:w="1360" w:type="dxa"/>
            <w:vAlign w:val="bottom"/>
            <w:shd w:val="clear" w:color="auto" w:fill="2494D8"/>
          </w:tcPr>
          <w:p>
            <w:pPr>
              <w:spacing w:after="0"/>
              <w:rPr>
                <w:sz w:val="15"/>
                <w:szCs w:val="15"/>
                <w:color w:val="auto"/>
              </w:rPr>
            </w:pPr>
          </w:p>
        </w:tc>
        <w:tc>
          <w:tcPr>
            <w:tcW w:w="1680" w:type="dxa"/>
            <w:vAlign w:val="bottom"/>
            <w:shd w:val="clear" w:color="auto" w:fill="CCE1F4"/>
          </w:tcPr>
          <w:p>
            <w:pPr>
              <w:spacing w:after="0"/>
              <w:rPr>
                <w:sz w:val="15"/>
                <w:szCs w:val="15"/>
                <w:color w:val="auto"/>
              </w:rPr>
            </w:pPr>
          </w:p>
        </w:tc>
        <w:tc>
          <w:tcPr>
            <w:tcW w:w="2360" w:type="dxa"/>
            <w:vAlign w:val="bottom"/>
            <w:shd w:val="clear" w:color="auto" w:fill="CCE1F4"/>
          </w:tcPr>
          <w:p>
            <w:pPr>
              <w:spacing w:after="0"/>
              <w:rPr>
                <w:sz w:val="15"/>
                <w:szCs w:val="15"/>
                <w:color w:val="auto"/>
              </w:rPr>
            </w:pPr>
          </w:p>
        </w:tc>
        <w:tc>
          <w:tcPr>
            <w:tcW w:w="2920" w:type="dxa"/>
            <w:vAlign w:val="bottom"/>
            <w:shd w:val="clear" w:color="auto" w:fill="CCE1F4"/>
          </w:tcPr>
          <w:p>
            <w:pPr>
              <w:ind w:left="80"/>
              <w:spacing w:after="0"/>
              <w:rPr>
                <w:sz w:val="20"/>
                <w:szCs w:val="20"/>
                <w:color w:val="auto"/>
              </w:rPr>
            </w:pPr>
            <w:r>
              <w:rPr>
                <w:rFonts w:ascii="Arial" w:cs="Arial" w:eastAsia="Arial" w:hAnsi="Arial"/>
                <w:sz w:val="15"/>
                <w:szCs w:val="15"/>
                <w:color w:val="231F20"/>
              </w:rPr>
              <w:t>shareholder interests; creates a strong</w:t>
            </w:r>
          </w:p>
        </w:tc>
        <w:tc>
          <w:tcPr>
            <w:tcW w:w="2920" w:type="dxa"/>
            <w:vAlign w:val="bottom"/>
            <w:shd w:val="clear" w:color="auto" w:fill="CCE1F4"/>
          </w:tcPr>
          <w:p>
            <w:pPr>
              <w:ind w:left="80"/>
              <w:spacing w:after="0"/>
              <w:rPr>
                <w:sz w:val="20"/>
                <w:szCs w:val="20"/>
                <w:color w:val="auto"/>
              </w:rPr>
            </w:pPr>
            <w:r>
              <w:rPr>
                <w:rFonts w:ascii="Arial" w:cs="Arial" w:eastAsia="Arial" w:hAnsi="Arial"/>
                <w:sz w:val="15"/>
                <w:szCs w:val="15"/>
                <w:color w:val="231F20"/>
              </w:rPr>
              <w:t>equity only if the pre-established goals</w:t>
            </w:r>
          </w:p>
        </w:tc>
        <w:tc>
          <w:tcPr>
            <w:tcW w:w="0" w:type="dxa"/>
            <w:vAlign w:val="bottom"/>
          </w:tcPr>
          <w:p>
            <w:pPr>
              <w:spacing w:after="0"/>
              <w:rPr>
                <w:sz w:val="1"/>
                <w:szCs w:val="1"/>
                <w:color w:val="auto"/>
              </w:rPr>
            </w:pPr>
          </w:p>
        </w:tc>
      </w:tr>
      <w:tr>
        <w:trPr>
          <w:trHeight w:val="179"/>
        </w:trPr>
        <w:tc>
          <w:tcPr>
            <w:tcW w:w="1360" w:type="dxa"/>
            <w:vAlign w:val="bottom"/>
            <w:shd w:val="clear" w:color="auto" w:fill="2494D8"/>
          </w:tcPr>
          <w:p>
            <w:pPr>
              <w:spacing w:after="0"/>
              <w:rPr>
                <w:sz w:val="15"/>
                <w:szCs w:val="15"/>
                <w:color w:val="auto"/>
              </w:rPr>
            </w:pPr>
          </w:p>
        </w:tc>
        <w:tc>
          <w:tcPr>
            <w:tcW w:w="1680" w:type="dxa"/>
            <w:vAlign w:val="bottom"/>
            <w:shd w:val="clear" w:color="auto" w:fill="CCE1F4"/>
          </w:tcPr>
          <w:p>
            <w:pPr>
              <w:spacing w:after="0"/>
              <w:rPr>
                <w:sz w:val="15"/>
                <w:szCs w:val="15"/>
                <w:color w:val="auto"/>
              </w:rPr>
            </w:pPr>
          </w:p>
        </w:tc>
        <w:tc>
          <w:tcPr>
            <w:tcW w:w="2360" w:type="dxa"/>
            <w:vAlign w:val="bottom"/>
            <w:shd w:val="clear" w:color="auto" w:fill="CCE1F4"/>
          </w:tcPr>
          <w:p>
            <w:pPr>
              <w:spacing w:after="0"/>
              <w:rPr>
                <w:sz w:val="15"/>
                <w:szCs w:val="15"/>
                <w:color w:val="auto"/>
              </w:rPr>
            </w:pPr>
          </w:p>
        </w:tc>
        <w:tc>
          <w:tcPr>
            <w:tcW w:w="2920" w:type="dxa"/>
            <w:vAlign w:val="bottom"/>
            <w:shd w:val="clear" w:color="auto" w:fill="CCE1F4"/>
          </w:tcPr>
          <w:p>
            <w:pPr>
              <w:ind w:left="80"/>
              <w:spacing w:after="0"/>
              <w:rPr>
                <w:sz w:val="20"/>
                <w:szCs w:val="20"/>
                <w:color w:val="auto"/>
              </w:rPr>
            </w:pPr>
            <w:r>
              <w:rPr>
                <w:rFonts w:ascii="Arial" w:cs="Arial" w:eastAsia="Arial" w:hAnsi="Arial"/>
                <w:sz w:val="15"/>
                <w:szCs w:val="15"/>
                <w:color w:val="231F20"/>
              </w:rPr>
              <w:t>financial incentive for achieving or</w:t>
            </w:r>
          </w:p>
        </w:tc>
        <w:tc>
          <w:tcPr>
            <w:tcW w:w="2920" w:type="dxa"/>
            <w:vAlign w:val="bottom"/>
            <w:shd w:val="clear" w:color="auto" w:fill="CCE1F4"/>
          </w:tcPr>
          <w:p>
            <w:pPr>
              <w:ind w:left="80"/>
              <w:spacing w:after="0"/>
              <w:rPr>
                <w:sz w:val="20"/>
                <w:szCs w:val="20"/>
                <w:color w:val="auto"/>
              </w:rPr>
            </w:pPr>
            <w:r>
              <w:rPr>
                <w:rFonts w:ascii="Arial" w:cs="Arial" w:eastAsia="Arial" w:hAnsi="Arial"/>
                <w:sz w:val="15"/>
                <w:szCs w:val="15"/>
                <w:color w:val="231F20"/>
              </w:rPr>
              <w:t>are achieved.</w:t>
            </w:r>
          </w:p>
        </w:tc>
        <w:tc>
          <w:tcPr>
            <w:tcW w:w="0" w:type="dxa"/>
            <w:vAlign w:val="bottom"/>
          </w:tcPr>
          <w:p>
            <w:pPr>
              <w:spacing w:after="0"/>
              <w:rPr>
                <w:sz w:val="1"/>
                <w:szCs w:val="1"/>
                <w:color w:val="auto"/>
              </w:rPr>
            </w:pPr>
          </w:p>
        </w:tc>
      </w:tr>
      <w:tr>
        <w:trPr>
          <w:trHeight w:val="253"/>
        </w:trPr>
        <w:tc>
          <w:tcPr>
            <w:tcW w:w="1360" w:type="dxa"/>
            <w:vAlign w:val="bottom"/>
            <w:tcBorders>
              <w:bottom w:val="single" w:sz="8" w:color="2494D8"/>
            </w:tcBorders>
            <w:shd w:val="clear" w:color="auto" w:fill="2494D8"/>
          </w:tcPr>
          <w:p>
            <w:pPr>
              <w:spacing w:after="0"/>
              <w:rPr>
                <w:sz w:val="21"/>
                <w:szCs w:val="21"/>
                <w:color w:val="auto"/>
              </w:rPr>
            </w:pPr>
          </w:p>
        </w:tc>
        <w:tc>
          <w:tcPr>
            <w:tcW w:w="1680" w:type="dxa"/>
            <w:vAlign w:val="bottom"/>
            <w:tcBorders>
              <w:bottom w:val="single" w:sz="8" w:color="CCE1F4"/>
            </w:tcBorders>
            <w:shd w:val="clear" w:color="auto" w:fill="CCE1F4"/>
          </w:tcPr>
          <w:p>
            <w:pPr>
              <w:spacing w:after="0"/>
              <w:rPr>
                <w:sz w:val="21"/>
                <w:szCs w:val="21"/>
                <w:color w:val="auto"/>
              </w:rPr>
            </w:pPr>
          </w:p>
        </w:tc>
        <w:tc>
          <w:tcPr>
            <w:tcW w:w="2360" w:type="dxa"/>
            <w:vAlign w:val="bottom"/>
            <w:tcBorders>
              <w:bottom w:val="single" w:sz="8" w:color="CCE1F4"/>
            </w:tcBorders>
            <w:shd w:val="clear" w:color="auto" w:fill="CCE1F4"/>
          </w:tcPr>
          <w:p>
            <w:pPr>
              <w:spacing w:after="0"/>
              <w:rPr>
                <w:sz w:val="21"/>
                <w:szCs w:val="21"/>
                <w:color w:val="auto"/>
              </w:rPr>
            </w:pPr>
          </w:p>
        </w:tc>
        <w:tc>
          <w:tcPr>
            <w:tcW w:w="2920" w:type="dxa"/>
            <w:vAlign w:val="bottom"/>
            <w:tcBorders>
              <w:bottom w:val="single" w:sz="8" w:color="CCE1F4"/>
            </w:tcBorders>
            <w:shd w:val="clear" w:color="auto" w:fill="CCE1F4"/>
          </w:tcPr>
          <w:p>
            <w:pPr>
              <w:ind w:left="80"/>
              <w:spacing w:after="0"/>
              <w:rPr>
                <w:sz w:val="20"/>
                <w:szCs w:val="20"/>
                <w:color w:val="auto"/>
              </w:rPr>
            </w:pPr>
            <w:r>
              <w:rPr>
                <w:rFonts w:ascii="Arial" w:cs="Arial" w:eastAsia="Arial" w:hAnsi="Arial"/>
                <w:sz w:val="15"/>
                <w:szCs w:val="15"/>
                <w:color w:val="231F20"/>
              </w:rPr>
              <w:t>exceeding long-term performance goals.</w:t>
            </w:r>
          </w:p>
        </w:tc>
        <w:tc>
          <w:tcPr>
            <w:tcW w:w="2920" w:type="dxa"/>
            <w:vAlign w:val="bottom"/>
            <w:tcBorders>
              <w:bottom w:val="single" w:sz="8" w:color="CCE1F4"/>
            </w:tcBorders>
            <w:shd w:val="clear" w:color="auto" w:fill="CCE1F4"/>
          </w:tcPr>
          <w:p>
            <w:pPr>
              <w:spacing w:after="0"/>
              <w:rPr>
                <w:sz w:val="21"/>
                <w:szCs w:val="21"/>
                <w:color w:val="auto"/>
              </w:rPr>
            </w:pPr>
          </w:p>
        </w:tc>
        <w:tc>
          <w:tcPr>
            <w:tcW w:w="0" w:type="dxa"/>
            <w:vAlign w:val="bottom"/>
          </w:tcPr>
          <w:p>
            <w:pPr>
              <w:spacing w:after="0"/>
              <w:rPr>
                <w:sz w:val="1"/>
                <w:szCs w:val="1"/>
                <w:color w:val="auto"/>
              </w:rPr>
            </w:pPr>
          </w:p>
        </w:tc>
      </w:tr>
      <w:tr>
        <w:trPr>
          <w:trHeight w:val="204"/>
        </w:trPr>
        <w:tc>
          <w:tcPr>
            <w:tcW w:w="1360" w:type="dxa"/>
            <w:vAlign w:val="bottom"/>
            <w:tcBorders>
              <w:top w:val="single" w:sz="8" w:color="2494D8"/>
            </w:tcBorders>
            <w:shd w:val="clear" w:color="auto" w:fill="2494D8"/>
          </w:tcPr>
          <w:p>
            <w:pPr>
              <w:spacing w:after="0"/>
              <w:rPr>
                <w:sz w:val="17"/>
                <w:szCs w:val="17"/>
                <w:color w:val="auto"/>
              </w:rPr>
            </w:pPr>
          </w:p>
        </w:tc>
        <w:tc>
          <w:tcPr>
            <w:tcW w:w="1680" w:type="dxa"/>
            <w:vAlign w:val="bottom"/>
            <w:tcBorders>
              <w:top w:val="single" w:sz="8" w:color="CCE1F4"/>
            </w:tcBorders>
            <w:shd w:val="clear" w:color="auto" w:fill="CCE1F4"/>
          </w:tcPr>
          <w:p>
            <w:pPr>
              <w:spacing w:after="0"/>
              <w:rPr>
                <w:sz w:val="17"/>
                <w:szCs w:val="17"/>
                <w:color w:val="auto"/>
              </w:rPr>
            </w:pPr>
          </w:p>
        </w:tc>
        <w:tc>
          <w:tcPr>
            <w:tcW w:w="2360" w:type="dxa"/>
            <w:vAlign w:val="bottom"/>
            <w:tcBorders>
              <w:top w:val="single" w:sz="8" w:color="auto"/>
            </w:tcBorders>
            <w:shd w:val="clear" w:color="auto" w:fill="CCE1F4"/>
          </w:tcPr>
          <w:p>
            <w:pPr>
              <w:ind w:left="80"/>
              <w:spacing w:after="0"/>
              <w:rPr>
                <w:sz w:val="20"/>
                <w:szCs w:val="20"/>
                <w:color w:val="auto"/>
              </w:rPr>
            </w:pPr>
            <w:r>
              <w:rPr>
                <w:rFonts w:ascii="Arial" w:cs="Arial" w:eastAsia="Arial" w:hAnsi="Arial"/>
                <w:sz w:val="15"/>
                <w:szCs w:val="15"/>
                <w:color w:val="231F20"/>
              </w:rPr>
              <w:t>Restricted Stock*</w:t>
            </w:r>
          </w:p>
        </w:tc>
        <w:tc>
          <w:tcPr>
            <w:tcW w:w="2920" w:type="dxa"/>
            <w:vAlign w:val="bottom"/>
            <w:tcBorders>
              <w:top w:val="single" w:sz="8" w:color="auto"/>
            </w:tcBorders>
            <w:shd w:val="clear" w:color="auto" w:fill="CCE1F4"/>
          </w:tcPr>
          <w:p>
            <w:pPr>
              <w:ind w:left="80"/>
              <w:spacing w:after="0"/>
              <w:rPr>
                <w:sz w:val="20"/>
                <w:szCs w:val="20"/>
                <w:color w:val="auto"/>
              </w:rPr>
            </w:pPr>
            <w:r>
              <w:rPr>
                <w:rFonts w:ascii="Arial" w:cs="Arial" w:eastAsia="Arial" w:hAnsi="Arial"/>
                <w:sz w:val="15"/>
                <w:szCs w:val="15"/>
                <w:color w:val="231F20"/>
              </w:rPr>
              <w:t>Aligns executive interests with</w:t>
            </w:r>
          </w:p>
        </w:tc>
        <w:tc>
          <w:tcPr>
            <w:tcW w:w="2920" w:type="dxa"/>
            <w:vAlign w:val="bottom"/>
            <w:tcBorders>
              <w:top w:val="single" w:sz="8" w:color="auto"/>
            </w:tcBorders>
            <w:shd w:val="clear" w:color="auto" w:fill="CCE1F4"/>
          </w:tcPr>
          <w:p>
            <w:pPr>
              <w:ind w:left="80"/>
              <w:spacing w:after="0"/>
              <w:rPr>
                <w:sz w:val="20"/>
                <w:szCs w:val="20"/>
                <w:color w:val="auto"/>
              </w:rPr>
            </w:pPr>
            <w:r>
              <w:rPr>
                <w:rFonts w:ascii="Arial" w:cs="Arial" w:eastAsia="Arial" w:hAnsi="Arial"/>
                <w:sz w:val="15"/>
                <w:szCs w:val="15"/>
                <w:color w:val="231F20"/>
              </w:rPr>
              <w:t>The named executive officers receive a</w:t>
            </w:r>
          </w:p>
        </w:tc>
        <w:tc>
          <w:tcPr>
            <w:tcW w:w="0" w:type="dxa"/>
            <w:vAlign w:val="bottom"/>
          </w:tcPr>
          <w:p>
            <w:pPr>
              <w:spacing w:after="0"/>
              <w:rPr>
                <w:sz w:val="1"/>
                <w:szCs w:val="1"/>
                <w:color w:val="auto"/>
              </w:rPr>
            </w:pPr>
          </w:p>
        </w:tc>
      </w:tr>
      <w:tr>
        <w:trPr>
          <w:trHeight w:val="179"/>
        </w:trPr>
        <w:tc>
          <w:tcPr>
            <w:tcW w:w="1360" w:type="dxa"/>
            <w:vAlign w:val="bottom"/>
            <w:shd w:val="clear" w:color="auto" w:fill="2494D8"/>
          </w:tcPr>
          <w:p>
            <w:pPr>
              <w:spacing w:after="0"/>
              <w:rPr>
                <w:sz w:val="15"/>
                <w:szCs w:val="15"/>
                <w:color w:val="auto"/>
              </w:rPr>
            </w:pPr>
          </w:p>
        </w:tc>
        <w:tc>
          <w:tcPr>
            <w:tcW w:w="1680" w:type="dxa"/>
            <w:vAlign w:val="bottom"/>
            <w:shd w:val="clear" w:color="auto" w:fill="CCE1F4"/>
          </w:tcPr>
          <w:p>
            <w:pPr>
              <w:spacing w:after="0"/>
              <w:rPr>
                <w:sz w:val="15"/>
                <w:szCs w:val="15"/>
                <w:color w:val="auto"/>
              </w:rPr>
            </w:pPr>
          </w:p>
        </w:tc>
        <w:tc>
          <w:tcPr>
            <w:tcW w:w="2360" w:type="dxa"/>
            <w:vAlign w:val="bottom"/>
            <w:shd w:val="clear" w:color="auto" w:fill="CCE1F4"/>
          </w:tcPr>
          <w:p>
            <w:pPr>
              <w:spacing w:after="0"/>
              <w:rPr>
                <w:sz w:val="15"/>
                <w:szCs w:val="15"/>
                <w:color w:val="auto"/>
              </w:rPr>
            </w:pPr>
          </w:p>
        </w:tc>
        <w:tc>
          <w:tcPr>
            <w:tcW w:w="2920" w:type="dxa"/>
            <w:vAlign w:val="bottom"/>
            <w:shd w:val="clear" w:color="auto" w:fill="CCE1F4"/>
          </w:tcPr>
          <w:p>
            <w:pPr>
              <w:ind w:left="80"/>
              <w:spacing w:after="0"/>
              <w:rPr>
                <w:sz w:val="20"/>
                <w:szCs w:val="20"/>
                <w:color w:val="auto"/>
              </w:rPr>
            </w:pPr>
            <w:r>
              <w:rPr>
                <w:rFonts w:ascii="Arial" w:cs="Arial" w:eastAsia="Arial" w:hAnsi="Arial"/>
                <w:sz w:val="15"/>
                <w:szCs w:val="15"/>
                <w:color w:val="231F20"/>
              </w:rPr>
              <w:t>shareholder interests, retains key</w:t>
            </w:r>
          </w:p>
        </w:tc>
        <w:tc>
          <w:tcPr>
            <w:tcW w:w="2920" w:type="dxa"/>
            <w:vAlign w:val="bottom"/>
            <w:shd w:val="clear" w:color="auto" w:fill="CCE1F4"/>
          </w:tcPr>
          <w:p>
            <w:pPr>
              <w:ind w:left="80"/>
              <w:spacing w:after="0"/>
              <w:rPr>
                <w:sz w:val="20"/>
                <w:szCs w:val="20"/>
                <w:color w:val="auto"/>
              </w:rPr>
            </w:pPr>
            <w:r>
              <w:rPr>
                <w:rFonts w:ascii="Arial" w:cs="Arial" w:eastAsia="Arial" w:hAnsi="Arial"/>
                <w:sz w:val="15"/>
                <w:szCs w:val="15"/>
                <w:color w:val="231F20"/>
              </w:rPr>
              <w:t>special one-time restricted stock grant</w:t>
            </w:r>
          </w:p>
        </w:tc>
        <w:tc>
          <w:tcPr>
            <w:tcW w:w="0" w:type="dxa"/>
            <w:vAlign w:val="bottom"/>
          </w:tcPr>
          <w:p>
            <w:pPr>
              <w:spacing w:after="0"/>
              <w:rPr>
                <w:sz w:val="1"/>
                <w:szCs w:val="1"/>
                <w:color w:val="auto"/>
              </w:rPr>
            </w:pPr>
          </w:p>
        </w:tc>
      </w:tr>
      <w:tr>
        <w:trPr>
          <w:trHeight w:val="179"/>
        </w:trPr>
        <w:tc>
          <w:tcPr>
            <w:tcW w:w="1360" w:type="dxa"/>
            <w:vAlign w:val="bottom"/>
            <w:shd w:val="clear" w:color="auto" w:fill="2494D8"/>
          </w:tcPr>
          <w:p>
            <w:pPr>
              <w:spacing w:after="0"/>
              <w:rPr>
                <w:sz w:val="15"/>
                <w:szCs w:val="15"/>
                <w:color w:val="auto"/>
              </w:rPr>
            </w:pPr>
          </w:p>
        </w:tc>
        <w:tc>
          <w:tcPr>
            <w:tcW w:w="1680" w:type="dxa"/>
            <w:vAlign w:val="bottom"/>
            <w:shd w:val="clear" w:color="auto" w:fill="CCE1F4"/>
          </w:tcPr>
          <w:p>
            <w:pPr>
              <w:spacing w:after="0"/>
              <w:rPr>
                <w:sz w:val="15"/>
                <w:szCs w:val="15"/>
                <w:color w:val="auto"/>
              </w:rPr>
            </w:pPr>
          </w:p>
        </w:tc>
        <w:tc>
          <w:tcPr>
            <w:tcW w:w="2360" w:type="dxa"/>
            <w:vAlign w:val="bottom"/>
            <w:shd w:val="clear" w:color="auto" w:fill="CCE1F4"/>
          </w:tcPr>
          <w:p>
            <w:pPr>
              <w:spacing w:after="0"/>
              <w:rPr>
                <w:sz w:val="15"/>
                <w:szCs w:val="15"/>
                <w:color w:val="auto"/>
              </w:rPr>
            </w:pPr>
          </w:p>
        </w:tc>
        <w:tc>
          <w:tcPr>
            <w:tcW w:w="2920" w:type="dxa"/>
            <w:vAlign w:val="bottom"/>
            <w:shd w:val="clear" w:color="auto" w:fill="CCE1F4"/>
          </w:tcPr>
          <w:p>
            <w:pPr>
              <w:ind w:left="80"/>
              <w:spacing w:after="0"/>
              <w:rPr>
                <w:sz w:val="20"/>
                <w:szCs w:val="20"/>
                <w:color w:val="auto"/>
              </w:rPr>
            </w:pPr>
            <w:r>
              <w:rPr>
                <w:rFonts w:ascii="Arial" w:cs="Arial" w:eastAsia="Arial" w:hAnsi="Arial"/>
                <w:sz w:val="15"/>
                <w:szCs w:val="15"/>
                <w:color w:val="231F20"/>
              </w:rPr>
              <w:t>executives, rewards achievement of</w:t>
            </w:r>
          </w:p>
        </w:tc>
        <w:tc>
          <w:tcPr>
            <w:tcW w:w="2920" w:type="dxa"/>
            <w:vAlign w:val="bottom"/>
            <w:shd w:val="clear" w:color="auto" w:fill="CCE1F4"/>
          </w:tcPr>
          <w:p>
            <w:pPr>
              <w:ind w:left="80"/>
              <w:spacing w:after="0"/>
              <w:rPr>
                <w:sz w:val="20"/>
                <w:szCs w:val="20"/>
                <w:color w:val="auto"/>
              </w:rPr>
            </w:pPr>
            <w:r>
              <w:rPr>
                <w:rFonts w:ascii="Arial" w:cs="Arial" w:eastAsia="Arial" w:hAnsi="Arial"/>
                <w:sz w:val="15"/>
                <w:szCs w:val="15"/>
                <w:color w:val="231F20"/>
              </w:rPr>
              <w:t>upon achievement of specific goals.</w:t>
            </w:r>
          </w:p>
        </w:tc>
        <w:tc>
          <w:tcPr>
            <w:tcW w:w="0" w:type="dxa"/>
            <w:vAlign w:val="bottom"/>
          </w:tcPr>
          <w:p>
            <w:pPr>
              <w:spacing w:after="0"/>
              <w:rPr>
                <w:sz w:val="1"/>
                <w:szCs w:val="1"/>
                <w:color w:val="auto"/>
              </w:rPr>
            </w:pPr>
          </w:p>
        </w:tc>
      </w:tr>
      <w:tr>
        <w:trPr>
          <w:trHeight w:val="228"/>
        </w:trPr>
        <w:tc>
          <w:tcPr>
            <w:tcW w:w="1360" w:type="dxa"/>
            <w:vAlign w:val="bottom"/>
            <w:tcBorders>
              <w:bottom w:val="single" w:sz="8" w:color="2494D8"/>
            </w:tcBorders>
            <w:shd w:val="clear" w:color="auto" w:fill="2494D8"/>
          </w:tcPr>
          <w:p>
            <w:pPr>
              <w:spacing w:after="0"/>
              <w:rPr>
                <w:sz w:val="19"/>
                <w:szCs w:val="19"/>
                <w:color w:val="auto"/>
              </w:rPr>
            </w:pPr>
          </w:p>
        </w:tc>
        <w:tc>
          <w:tcPr>
            <w:tcW w:w="1680" w:type="dxa"/>
            <w:vAlign w:val="bottom"/>
            <w:tcBorders>
              <w:bottom w:val="single" w:sz="8" w:color="CCE1F4"/>
            </w:tcBorders>
            <w:shd w:val="clear" w:color="auto" w:fill="CCE1F4"/>
          </w:tcPr>
          <w:p>
            <w:pPr>
              <w:spacing w:after="0"/>
              <w:rPr>
                <w:sz w:val="19"/>
                <w:szCs w:val="19"/>
                <w:color w:val="auto"/>
              </w:rPr>
            </w:pPr>
          </w:p>
        </w:tc>
        <w:tc>
          <w:tcPr>
            <w:tcW w:w="2360" w:type="dxa"/>
            <w:vAlign w:val="bottom"/>
            <w:tcBorders>
              <w:bottom w:val="single" w:sz="8" w:color="CCE1F4"/>
            </w:tcBorders>
            <w:shd w:val="clear" w:color="auto" w:fill="CCE1F4"/>
          </w:tcPr>
          <w:p>
            <w:pPr>
              <w:spacing w:after="0"/>
              <w:rPr>
                <w:sz w:val="19"/>
                <w:szCs w:val="19"/>
                <w:color w:val="auto"/>
              </w:rPr>
            </w:pPr>
          </w:p>
        </w:tc>
        <w:tc>
          <w:tcPr>
            <w:tcW w:w="2920" w:type="dxa"/>
            <w:vAlign w:val="bottom"/>
            <w:tcBorders>
              <w:bottom w:val="single" w:sz="8" w:color="CCE1F4"/>
            </w:tcBorders>
            <w:shd w:val="clear" w:color="auto" w:fill="CCE1F4"/>
          </w:tcPr>
          <w:p>
            <w:pPr>
              <w:ind w:left="80"/>
              <w:spacing w:after="0"/>
              <w:rPr>
                <w:sz w:val="20"/>
                <w:szCs w:val="20"/>
                <w:color w:val="auto"/>
              </w:rPr>
            </w:pPr>
            <w:r>
              <w:rPr>
                <w:rFonts w:ascii="Arial" w:cs="Arial" w:eastAsia="Arial" w:hAnsi="Arial"/>
                <w:sz w:val="15"/>
                <w:szCs w:val="15"/>
                <w:color w:val="231F20"/>
              </w:rPr>
              <w:t>long-term goals.</w:t>
            </w:r>
          </w:p>
        </w:tc>
        <w:tc>
          <w:tcPr>
            <w:tcW w:w="2920" w:type="dxa"/>
            <w:vAlign w:val="bottom"/>
            <w:tcBorders>
              <w:bottom w:val="single" w:sz="8" w:color="CCE1F4"/>
            </w:tcBorders>
            <w:shd w:val="clear" w:color="auto" w:fill="CCE1F4"/>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360" w:type="dxa"/>
            <w:vAlign w:val="bottom"/>
            <w:shd w:val="clear" w:color="auto" w:fill="2494D8"/>
          </w:tcPr>
          <w:p>
            <w:pPr>
              <w:spacing w:after="0" w:line="20" w:lineRule="exact"/>
              <w:rPr>
                <w:sz w:val="1"/>
                <w:szCs w:val="1"/>
                <w:color w:val="auto"/>
              </w:rPr>
            </w:pPr>
          </w:p>
        </w:tc>
        <w:tc>
          <w:tcPr>
            <w:tcW w:w="1680" w:type="dxa"/>
            <w:vAlign w:val="bottom"/>
            <w:shd w:val="clear" w:color="auto" w:fill="4395D4"/>
          </w:tcPr>
          <w:p>
            <w:pPr>
              <w:spacing w:after="0" w:line="20" w:lineRule="exact"/>
              <w:rPr>
                <w:sz w:val="1"/>
                <w:szCs w:val="1"/>
                <w:color w:val="auto"/>
              </w:rPr>
            </w:pPr>
          </w:p>
        </w:tc>
        <w:tc>
          <w:tcPr>
            <w:tcW w:w="2360" w:type="dxa"/>
            <w:vAlign w:val="bottom"/>
            <w:shd w:val="clear" w:color="auto" w:fill="4395D4"/>
          </w:tcPr>
          <w:p>
            <w:pPr>
              <w:spacing w:after="0" w:line="20" w:lineRule="exact"/>
              <w:rPr>
                <w:sz w:val="1"/>
                <w:szCs w:val="1"/>
                <w:color w:val="auto"/>
              </w:rPr>
            </w:pPr>
          </w:p>
        </w:tc>
        <w:tc>
          <w:tcPr>
            <w:tcW w:w="2920" w:type="dxa"/>
            <w:vAlign w:val="bottom"/>
            <w:shd w:val="clear" w:color="auto" w:fill="4395D4"/>
          </w:tcPr>
          <w:p>
            <w:pPr>
              <w:spacing w:after="0" w:line="20" w:lineRule="exact"/>
              <w:rPr>
                <w:sz w:val="1"/>
                <w:szCs w:val="1"/>
                <w:color w:val="auto"/>
              </w:rPr>
            </w:pPr>
          </w:p>
        </w:tc>
        <w:tc>
          <w:tcPr>
            <w:tcW w:w="2920" w:type="dxa"/>
            <w:vAlign w:val="bottom"/>
            <w:shd w:val="clear" w:color="auto" w:fill="4395D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-2000885</wp:posOffset>
            </wp:positionV>
            <wp:extent cx="7139940" cy="82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39940" cy="825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-7620</wp:posOffset>
            </wp:positionV>
            <wp:extent cx="859155" cy="82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859155" cy="8255"/>
                    </a:xfrm>
                    <a:prstGeom prst="rect">
                      <a:avLst/>
                    </a:prstGeom>
                    <a:noFill/>
                  </pic:spPr>
                </pic:pic>
              </a:graphicData>
            </a:graphic>
          </wp:anchor>
        </w:drawing>
        <w:drawing>
          <wp:anchor simplePos="0" relativeHeight="251657728" behindDoc="1" locked="0" layoutInCell="0" allowOverlap="1">
            <wp:simplePos x="0" y="0"/>
            <wp:positionH relativeFrom="column">
              <wp:posOffset>860425</wp:posOffset>
            </wp:positionH>
            <wp:positionV relativeFrom="paragraph">
              <wp:posOffset>-1474470</wp:posOffset>
            </wp:positionV>
            <wp:extent cx="6280785" cy="82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6280785" cy="8255"/>
                    </a:xfrm>
                    <a:prstGeom prst="rect">
                      <a:avLst/>
                    </a:prstGeom>
                    <a:noFill/>
                  </pic:spPr>
                </pic:pic>
              </a:graphicData>
            </a:graphic>
          </wp:anchor>
        </w:drawing>
      </w:r>
    </w:p>
    <w:p>
      <w:pPr>
        <w:spacing w:after="0" w:line="117" w:lineRule="exact"/>
        <w:rPr>
          <w:sz w:val="20"/>
          <w:szCs w:val="20"/>
          <w:color w:val="auto"/>
        </w:rPr>
      </w:pPr>
    </w:p>
    <w:p>
      <w:pPr>
        <w:spacing w:after="0"/>
        <w:rPr>
          <w:sz w:val="20"/>
          <w:szCs w:val="20"/>
          <w:color w:val="auto"/>
        </w:rPr>
      </w:pPr>
      <w:r>
        <w:rPr>
          <w:rFonts w:ascii="Arial" w:cs="Arial" w:eastAsia="Arial" w:hAnsi="Arial"/>
          <w:sz w:val="13"/>
          <w:szCs w:val="13"/>
          <w:color w:val="231F20"/>
        </w:rPr>
        <w:t>* A special one-time grant was awarded to Messrs. Schuller, Fox, Rhodes, and Luning as part of the Peoples Natural Gas Closing.</w:t>
      </w:r>
    </w:p>
    <w:p>
      <w:pPr>
        <w:spacing w:after="0" w:line="127" w:lineRule="exact"/>
        <w:rPr>
          <w:sz w:val="20"/>
          <w:szCs w:val="20"/>
          <w:color w:val="auto"/>
        </w:rPr>
      </w:pPr>
    </w:p>
    <w:p>
      <w:pPr>
        <w:spacing w:after="0"/>
        <w:rPr>
          <w:sz w:val="20"/>
          <w:szCs w:val="20"/>
          <w:color w:val="auto"/>
        </w:rPr>
      </w:pPr>
      <w:r>
        <w:rPr>
          <w:rFonts w:ascii="Arial" w:cs="Arial" w:eastAsia="Arial" w:hAnsi="Arial"/>
          <w:sz w:val="20"/>
          <w:szCs w:val="20"/>
          <w:b w:val="1"/>
          <w:bCs w:val="1"/>
          <w:color w:val="231F20"/>
        </w:rPr>
        <w:t>Competitive Pay Positioning</w:t>
      </w:r>
    </w:p>
    <w:p>
      <w:pPr>
        <w:spacing w:after="0" w:line="166" w:lineRule="exact"/>
        <w:rPr>
          <w:sz w:val="20"/>
          <w:szCs w:val="20"/>
          <w:color w:val="auto"/>
        </w:rPr>
      </w:pPr>
    </w:p>
    <w:p>
      <w:pPr>
        <w:ind w:right="540"/>
        <w:spacing w:after="0" w:line="278" w:lineRule="auto"/>
        <w:rPr>
          <w:sz w:val="20"/>
          <w:szCs w:val="20"/>
          <w:color w:val="auto"/>
        </w:rPr>
      </w:pPr>
      <w:r>
        <w:rPr>
          <w:rFonts w:ascii="Arial" w:cs="Arial" w:eastAsia="Arial" w:hAnsi="Arial"/>
          <w:sz w:val="14"/>
          <w:szCs w:val="14"/>
          <w:color w:val="231F20"/>
        </w:rPr>
        <w:t>We measure the competitiveness of our program for our named executive officers against the median compensation for comparable positions at other companies in our benchmark group composed of other investor owned utilities.</w:t>
      </w:r>
    </w:p>
    <w:p>
      <w:pPr>
        <w:spacing w:after="0" w:line="86" w:lineRule="exact"/>
        <w:rPr>
          <w:sz w:val="20"/>
          <w:szCs w:val="20"/>
          <w:color w:val="auto"/>
        </w:rPr>
      </w:pPr>
    </w:p>
    <w:p>
      <w:pPr>
        <w:ind w:right="500"/>
        <w:spacing w:after="0" w:line="253" w:lineRule="auto"/>
        <w:rPr>
          <w:sz w:val="20"/>
          <w:szCs w:val="20"/>
          <w:color w:val="auto"/>
        </w:rPr>
      </w:pPr>
      <w:r>
        <w:rPr>
          <w:rFonts w:ascii="Arial" w:cs="Arial" w:eastAsia="Arial" w:hAnsi="Arial"/>
          <w:sz w:val="14"/>
          <w:szCs w:val="14"/>
          <w:color w:val="231F20"/>
        </w:rPr>
        <w:t>Our goal is to provide total direct compensation that is competitive with the market median for each named executive officer. Based on the information supplied by the consultant, the total target direct compensation for each of our named executive officers was within the competitive range of the benchmark market data for each of their positions during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95250</wp:posOffset>
            </wp:positionV>
            <wp:extent cx="7139940" cy="82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139940" cy="8255"/>
                    </a:xfrm>
                    <a:prstGeom prst="rect">
                      <a:avLst/>
                    </a:prstGeom>
                    <a:noFill/>
                  </pic:spPr>
                </pic:pic>
              </a:graphicData>
            </a:graphic>
          </wp:anchor>
        </w:drawing>
      </w:r>
    </w:p>
    <w:p>
      <w:pPr>
        <w:spacing w:after="0" w:line="200" w:lineRule="exact"/>
        <w:rPr>
          <w:sz w:val="20"/>
          <w:szCs w:val="20"/>
          <w:color w:val="auto"/>
        </w:rPr>
      </w:pPr>
    </w:p>
    <w:p>
      <w:pPr>
        <w:ind w:left="300" w:hanging="298"/>
        <w:spacing w:after="0"/>
        <w:tabs>
          <w:tab w:leader="none" w:pos="300" w:val="left"/>
        </w:tabs>
        <w:numPr>
          <w:ilvl w:val="0"/>
          <w:numId w:val="94"/>
        </w:numPr>
        <w:rPr>
          <w:rFonts w:ascii="Arial" w:cs="Arial" w:eastAsia="Arial" w:hAnsi="Arial"/>
          <w:sz w:val="15"/>
          <w:szCs w:val="15"/>
          <w:color w:val="455986"/>
        </w:rPr>
      </w:pPr>
      <w:r>
        <w:rPr>
          <w:rFonts w:ascii="Arial" w:cs="Arial" w:eastAsia="Arial" w:hAnsi="Arial"/>
          <w:sz w:val="12"/>
          <w:szCs w:val="12"/>
          <w:color w:val="4395D4"/>
        </w:rPr>
        <w:t xml:space="preserve">ESSENTIAL UTILITIES, INC. </w:t>
      </w:r>
      <w:r>
        <w:rPr>
          <w:rFonts w:ascii="Arial" w:cs="Arial" w:eastAsia="Arial" w:hAnsi="Arial"/>
          <w:sz w:val="12"/>
          <w:szCs w:val="12"/>
          <w:color w:val="455986"/>
        </w:rPr>
        <w:t>2021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316230</wp:posOffset>
            </wp:positionV>
            <wp:extent cx="7139940" cy="2413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139940" cy="24130"/>
                    </a:xfrm>
                    <a:prstGeom prst="rect">
                      <a:avLst/>
                    </a:prstGeom>
                    <a:noFill/>
                  </pic:spPr>
                </pic:pic>
              </a:graphicData>
            </a:graphic>
          </wp:anchor>
        </w:drawing>
      </w:r>
    </w:p>
    <w:p>
      <w:pPr>
        <w:sectPr>
          <w:pgSz w:w="11900" w:h="16838" w:orient="portrait"/>
          <w:cols w:equalWidth="0" w:num="1">
            <w:col w:w="11240"/>
          </w:cols>
          <w:pgMar w:left="320" w:top="637" w:right="339" w:bottom="1440" w:gutter="0" w:footer="0" w:header="0"/>
        </w:sectPr>
      </w:pPr>
    </w:p>
    <w:bookmarkStart w:id="49" w:name="page50"/>
    <w:bookmarkEnd w:id="49"/>
    <w:p>
      <w:pPr>
        <w:spacing w:after="0"/>
        <w:rPr>
          <w:sz w:val="20"/>
          <w:szCs w:val="20"/>
          <w:color w:val="auto"/>
        </w:rPr>
      </w:pPr>
      <w:r>
        <w:rPr>
          <w:rFonts w:ascii="Arial" w:cs="Arial" w:eastAsia="Arial" w:hAnsi="Arial"/>
          <w:sz w:val="14"/>
          <w:szCs w:val="14"/>
          <w:b w:val="1"/>
          <w:bCs w:val="1"/>
          <w:color w:val="455986"/>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27940</wp:posOffset>
            </wp:positionV>
            <wp:extent cx="7139940" cy="82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139940" cy="8255"/>
                    </a:xfrm>
                    <a:prstGeom prst="rect">
                      <a:avLst/>
                    </a:prstGeom>
                    <a:noFill/>
                  </pic:spPr>
                </pic:pic>
              </a:graphicData>
            </a:graphic>
          </wp:anchor>
        </w:drawing>
      </w:r>
    </w:p>
    <w:p>
      <w:pPr>
        <w:spacing w:after="0" w:line="76" w:lineRule="exact"/>
        <w:rPr>
          <w:sz w:val="20"/>
          <w:szCs w:val="20"/>
          <w:color w:val="auto"/>
        </w:rPr>
      </w:pPr>
    </w:p>
    <w:p>
      <w:pPr>
        <w:spacing w:after="0"/>
        <w:rPr>
          <w:sz w:val="20"/>
          <w:szCs w:val="20"/>
          <w:color w:val="auto"/>
        </w:rPr>
      </w:pPr>
      <w:r>
        <w:rPr>
          <w:rFonts w:ascii="Arial" w:cs="Arial" w:eastAsia="Arial" w:hAnsi="Arial"/>
          <w:sz w:val="14"/>
          <w:szCs w:val="14"/>
          <w:color w:val="4395D4"/>
        </w:rPr>
        <w:t xml:space="preserve">Section 2 </w:t>
      </w:r>
      <w:r>
        <w:rPr>
          <w:rFonts w:ascii="Arial" w:cs="Arial" w:eastAsia="Arial" w:hAnsi="Arial"/>
          <w:sz w:val="14"/>
          <w:szCs w:val="14"/>
          <w:color w:val="231F20"/>
        </w:rPr>
        <w:t>How We Determine Executive Compensation</w:t>
      </w:r>
    </w:p>
    <w:p>
      <w:pPr>
        <w:spacing w:after="0" w:line="145" w:lineRule="exact"/>
        <w:rPr>
          <w:sz w:val="20"/>
          <w:szCs w:val="20"/>
          <w:color w:val="auto"/>
        </w:rPr>
      </w:pPr>
    </w:p>
    <w:p>
      <w:pPr>
        <w:spacing w:after="0"/>
        <w:rPr>
          <w:sz w:val="20"/>
          <w:szCs w:val="20"/>
          <w:color w:val="auto"/>
        </w:rPr>
      </w:pPr>
      <w:r>
        <w:rPr>
          <w:rFonts w:ascii="Arial" w:cs="Arial" w:eastAsia="Arial" w:hAnsi="Arial"/>
          <w:sz w:val="34"/>
          <w:szCs w:val="34"/>
          <w:b w:val="1"/>
          <w:bCs w:val="1"/>
          <w:color w:val="4395D4"/>
        </w:rPr>
        <w:t>Section 2</w:t>
      </w:r>
    </w:p>
    <w:p>
      <w:pPr>
        <w:spacing w:after="0" w:line="175" w:lineRule="exact"/>
        <w:rPr>
          <w:sz w:val="20"/>
          <w:szCs w:val="20"/>
          <w:color w:val="auto"/>
        </w:rPr>
      </w:pPr>
    </w:p>
    <w:p>
      <w:pPr>
        <w:spacing w:after="0"/>
        <w:rPr>
          <w:sz w:val="20"/>
          <w:szCs w:val="20"/>
          <w:color w:val="auto"/>
        </w:rPr>
      </w:pPr>
      <w:r>
        <w:rPr>
          <w:rFonts w:ascii="Arial" w:cs="Arial" w:eastAsia="Arial" w:hAnsi="Arial"/>
          <w:sz w:val="24"/>
          <w:szCs w:val="24"/>
          <w:b w:val="1"/>
          <w:bCs w:val="1"/>
          <w:color w:val="455986"/>
        </w:rPr>
        <w:t>How We Determine Executive Compensation</w:t>
      </w:r>
    </w:p>
    <w:p>
      <w:pPr>
        <w:spacing w:after="0" w:line="169" w:lineRule="exact"/>
        <w:rPr>
          <w:sz w:val="20"/>
          <w:szCs w:val="20"/>
          <w:color w:val="auto"/>
        </w:rPr>
      </w:pPr>
    </w:p>
    <w:p>
      <w:pPr>
        <w:ind w:right="60"/>
        <w:spacing w:after="0" w:line="245" w:lineRule="auto"/>
        <w:rPr>
          <w:sz w:val="20"/>
          <w:szCs w:val="20"/>
          <w:color w:val="auto"/>
        </w:rPr>
      </w:pPr>
      <w:r>
        <w:rPr>
          <w:rFonts w:ascii="Arial" w:cs="Arial" w:eastAsia="Arial" w:hAnsi="Arial"/>
          <w:sz w:val="14"/>
          <w:szCs w:val="14"/>
          <w:color w:val="231F20"/>
        </w:rPr>
        <w:t>We emphasize pay for performance, especially for our higher-level executives. Therefore, the named executive officers receive a substantial portion of their total direct compensation from annual cash incentives and long-term equity incentives, which are risk-based incentives based upon achieving company goals. In addition, the percentages of total direct compensation represented by base salary, annual cash incentive opportunities, and equity incentives, respectively, for the named executive officers are generally in line with competitive market median benchmark percentages.</w:t>
      </w:r>
    </w:p>
    <w:p>
      <w:pPr>
        <w:spacing w:after="0" w:line="95" w:lineRule="exact"/>
        <w:rPr>
          <w:sz w:val="20"/>
          <w:szCs w:val="20"/>
          <w:color w:val="auto"/>
        </w:rPr>
      </w:pPr>
    </w:p>
    <w:p>
      <w:pPr>
        <w:spacing w:after="0"/>
        <w:rPr>
          <w:sz w:val="20"/>
          <w:szCs w:val="20"/>
          <w:color w:val="auto"/>
        </w:rPr>
      </w:pPr>
      <w:r>
        <w:rPr>
          <w:rFonts w:ascii="Arial" w:cs="Arial" w:eastAsia="Arial" w:hAnsi="Arial"/>
          <w:sz w:val="20"/>
          <w:szCs w:val="20"/>
          <w:b w:val="1"/>
          <w:bCs w:val="1"/>
          <w:color w:val="231F20"/>
        </w:rPr>
        <w:t>The Role of the Compensation Committee</w:t>
      </w:r>
    </w:p>
    <w:p>
      <w:pPr>
        <w:spacing w:after="0" w:line="166" w:lineRule="exact"/>
        <w:rPr>
          <w:sz w:val="20"/>
          <w:szCs w:val="20"/>
          <w:color w:val="auto"/>
        </w:rPr>
      </w:pPr>
    </w:p>
    <w:p>
      <w:pPr>
        <w:ind w:right="40"/>
        <w:spacing w:after="0" w:line="253" w:lineRule="auto"/>
        <w:rPr>
          <w:sz w:val="20"/>
          <w:szCs w:val="20"/>
          <w:color w:val="auto"/>
        </w:rPr>
      </w:pPr>
      <w:r>
        <w:rPr>
          <w:rFonts w:ascii="Arial" w:cs="Arial" w:eastAsia="Arial" w:hAnsi="Arial"/>
          <w:sz w:val="14"/>
          <w:szCs w:val="14"/>
          <w:color w:val="231F20"/>
        </w:rPr>
        <w:t>The Compensation Committee, composed entirely of independent directors, determines the actual amount of each element of annual compensation to award to the Company’s named executive officers with the goal of having the target total direct compensation opportunity for each named executive officer generally within a range of 15% above or below the market median rate for his or her position over time.</w:t>
      </w:r>
    </w:p>
    <w:p>
      <w:pPr>
        <w:spacing w:after="0" w:line="91" w:lineRule="exact"/>
        <w:rPr>
          <w:sz w:val="20"/>
          <w:szCs w:val="20"/>
          <w:color w:val="auto"/>
        </w:rPr>
      </w:pPr>
    </w:p>
    <w:p>
      <w:pPr>
        <w:spacing w:after="0"/>
        <w:rPr>
          <w:sz w:val="20"/>
          <w:szCs w:val="20"/>
          <w:color w:val="auto"/>
        </w:rPr>
      </w:pPr>
      <w:r>
        <w:rPr>
          <w:rFonts w:ascii="Arial" w:cs="Arial" w:eastAsia="Arial" w:hAnsi="Arial"/>
          <w:sz w:val="20"/>
          <w:szCs w:val="20"/>
          <w:b w:val="1"/>
          <w:bCs w:val="1"/>
          <w:color w:val="231F20"/>
        </w:rPr>
        <w:t>The Role of Management</w:t>
      </w:r>
    </w:p>
    <w:p>
      <w:pPr>
        <w:spacing w:after="0" w:line="164" w:lineRule="exact"/>
        <w:rPr>
          <w:sz w:val="20"/>
          <w:szCs w:val="20"/>
          <w:color w:val="auto"/>
        </w:rPr>
      </w:pPr>
    </w:p>
    <w:p>
      <w:pPr>
        <w:jc w:val="both"/>
        <w:ind w:left="200" w:right="540" w:hanging="198"/>
        <w:spacing w:after="0" w:line="255" w:lineRule="auto"/>
        <w:tabs>
          <w:tab w:leader="none" w:pos="200" w:val="left"/>
        </w:tabs>
        <w:numPr>
          <w:ilvl w:val="0"/>
          <w:numId w:val="95"/>
        </w:numPr>
        <w:rPr>
          <w:rFonts w:ascii="Arial" w:cs="Arial" w:eastAsia="Arial" w:hAnsi="Arial"/>
          <w:sz w:val="14"/>
          <w:szCs w:val="14"/>
          <w:color w:val="4395D4"/>
        </w:rPr>
      </w:pPr>
      <w:r>
        <w:rPr>
          <w:rFonts w:ascii="Arial" w:cs="Arial" w:eastAsia="Arial" w:hAnsi="Arial"/>
          <w:sz w:val="14"/>
          <w:szCs w:val="14"/>
          <w:b w:val="1"/>
          <w:bCs w:val="1"/>
          <w:color w:val="4395D4"/>
        </w:rPr>
        <w:t xml:space="preserve">Our Senior Vice President, Chief Human Resources Officer </w:t>
      </w:r>
      <w:r>
        <w:rPr>
          <w:rFonts w:ascii="Arial" w:cs="Arial" w:eastAsia="Arial" w:hAnsi="Arial"/>
          <w:sz w:val="14"/>
          <w:szCs w:val="14"/>
          <w:color w:val="231F20"/>
        </w:rPr>
        <w:t>assists the Compensation Committee by preparing schedules showing the present compensation of</w:t>
      </w:r>
      <w:r>
        <w:rPr>
          <w:rFonts w:ascii="Arial" w:cs="Arial" w:eastAsia="Arial" w:hAnsi="Arial"/>
          <w:sz w:val="14"/>
          <w:szCs w:val="14"/>
          <w:b w:val="1"/>
          <w:bCs w:val="1"/>
          <w:color w:val="4395D4"/>
        </w:rPr>
        <w:t xml:space="preserve"> </w:t>
      </w:r>
      <w:r>
        <w:rPr>
          <w:rFonts w:ascii="Arial" w:cs="Arial" w:eastAsia="Arial" w:hAnsi="Arial"/>
          <w:sz w:val="14"/>
          <w:szCs w:val="14"/>
          <w:color w:val="231F20"/>
        </w:rPr>
        <w:t>executives, market median rates, target annual cash incentives and target range of equity compensation awards from the information provided by the Compensation Committee’s consultant.</w:t>
      </w:r>
    </w:p>
    <w:p>
      <w:pPr>
        <w:spacing w:after="0" w:line="22" w:lineRule="exact"/>
        <w:rPr>
          <w:rFonts w:ascii="Arial" w:cs="Arial" w:eastAsia="Arial" w:hAnsi="Arial"/>
          <w:sz w:val="14"/>
          <w:szCs w:val="14"/>
          <w:color w:val="4395D4"/>
        </w:rPr>
      </w:pPr>
    </w:p>
    <w:p>
      <w:pPr>
        <w:ind w:left="200" w:right="40" w:hanging="198"/>
        <w:spacing w:after="0" w:line="246" w:lineRule="auto"/>
        <w:tabs>
          <w:tab w:leader="none" w:pos="200" w:val="left"/>
        </w:tabs>
        <w:numPr>
          <w:ilvl w:val="0"/>
          <w:numId w:val="95"/>
        </w:numPr>
        <w:rPr>
          <w:rFonts w:ascii="Arial" w:cs="Arial" w:eastAsia="Arial" w:hAnsi="Arial"/>
          <w:sz w:val="14"/>
          <w:szCs w:val="14"/>
          <w:color w:val="4395D4"/>
        </w:rPr>
      </w:pPr>
      <w:r>
        <w:rPr>
          <w:rFonts w:ascii="Arial" w:cs="Arial" w:eastAsia="Arial" w:hAnsi="Arial"/>
          <w:sz w:val="14"/>
          <w:szCs w:val="14"/>
          <w:b w:val="1"/>
          <w:bCs w:val="1"/>
          <w:color w:val="4395D4"/>
        </w:rPr>
        <w:t xml:space="preserve">Our Chief Executive Officer </w:t>
      </w:r>
      <w:r>
        <w:rPr>
          <w:rFonts w:ascii="Arial" w:cs="Arial" w:eastAsia="Arial" w:hAnsi="Arial"/>
          <w:sz w:val="14"/>
          <w:szCs w:val="14"/>
          <w:color w:val="231F20"/>
        </w:rPr>
        <w:t>compiles and presents the supporting information for the individual executives’ performance against their objectives and his recommendations</w:t>
      </w:r>
      <w:r>
        <w:rPr>
          <w:rFonts w:ascii="Arial" w:cs="Arial" w:eastAsia="Arial" w:hAnsi="Arial"/>
          <w:sz w:val="14"/>
          <w:szCs w:val="14"/>
          <w:b w:val="1"/>
          <w:bCs w:val="1"/>
          <w:color w:val="4395D4"/>
        </w:rPr>
        <w:t xml:space="preserve"> </w:t>
      </w:r>
      <w:r>
        <w:rPr>
          <w:rFonts w:ascii="Arial" w:cs="Arial" w:eastAsia="Arial" w:hAnsi="Arial"/>
          <w:sz w:val="14"/>
          <w:szCs w:val="14"/>
          <w:color w:val="231F20"/>
        </w:rPr>
        <w:t>for any discretionary compensation based on his evaluation of the extent of achievement of individual goals (the Individual Factor) under the Annual Plan. He also provides the Compensation Committee with his recommendations for annual salary increases, any changes in target annual cash incentive percentages and equity incentive awards for the other executive officers, but the ultimate decisions regarding compensation for the named executive officers is made by the Compensation Committee.</w:t>
      </w:r>
    </w:p>
    <w:p>
      <w:pPr>
        <w:spacing w:after="0" w:line="41" w:lineRule="exact"/>
        <w:rPr>
          <w:rFonts w:ascii="Arial" w:cs="Arial" w:eastAsia="Arial" w:hAnsi="Arial"/>
          <w:sz w:val="14"/>
          <w:szCs w:val="14"/>
          <w:color w:val="4395D4"/>
        </w:rPr>
      </w:pPr>
    </w:p>
    <w:p>
      <w:pPr>
        <w:ind w:left="200" w:right="260" w:hanging="198"/>
        <w:spacing w:after="0" w:line="246" w:lineRule="auto"/>
        <w:tabs>
          <w:tab w:leader="none" w:pos="200" w:val="left"/>
        </w:tabs>
        <w:numPr>
          <w:ilvl w:val="0"/>
          <w:numId w:val="95"/>
        </w:numPr>
        <w:rPr>
          <w:rFonts w:ascii="Arial" w:cs="Arial" w:eastAsia="Arial" w:hAnsi="Arial"/>
          <w:sz w:val="14"/>
          <w:szCs w:val="14"/>
          <w:color w:val="4395D4"/>
        </w:rPr>
      </w:pPr>
      <w:r>
        <w:rPr>
          <w:rFonts w:ascii="Arial" w:cs="Arial" w:eastAsia="Arial" w:hAnsi="Arial"/>
          <w:sz w:val="14"/>
          <w:szCs w:val="14"/>
          <w:b w:val="1"/>
          <w:bCs w:val="1"/>
          <w:color w:val="4395D4"/>
        </w:rPr>
        <w:t xml:space="preserve">Our Chief Financial Officer </w:t>
      </w:r>
      <w:r>
        <w:rPr>
          <w:rFonts w:ascii="Arial" w:cs="Arial" w:eastAsia="Arial" w:hAnsi="Arial"/>
          <w:sz w:val="14"/>
          <w:szCs w:val="14"/>
          <w:color w:val="231F20"/>
        </w:rPr>
        <w:t>provides the Compensation Committee with certifications as to our financial performance for purposes of the Compensation Committee’s</w:t>
      </w:r>
      <w:r>
        <w:rPr>
          <w:rFonts w:ascii="Arial" w:cs="Arial" w:eastAsia="Arial" w:hAnsi="Arial"/>
          <w:sz w:val="14"/>
          <w:szCs w:val="14"/>
          <w:b w:val="1"/>
          <w:bCs w:val="1"/>
          <w:color w:val="4395D4"/>
        </w:rPr>
        <w:t xml:space="preserve"> </w:t>
      </w:r>
      <w:r>
        <w:rPr>
          <w:rFonts w:ascii="Arial" w:cs="Arial" w:eastAsia="Arial" w:hAnsi="Arial"/>
          <w:sz w:val="14"/>
          <w:szCs w:val="14"/>
          <w:color w:val="231F20"/>
        </w:rPr>
        <w:t>determination of the achievement of the Company-specific goals (the Company Factor) for the Annual Plan, our performance against the criteria established by the Compensation Committee for the vesting of restricted share grants and the earning of performance shares. These financial measures are also certified by our Director of Internal Audit.</w:t>
      </w:r>
    </w:p>
    <w:p>
      <w:pPr>
        <w:spacing w:after="0" w:line="95" w:lineRule="exact"/>
        <w:rPr>
          <w:sz w:val="20"/>
          <w:szCs w:val="20"/>
          <w:color w:val="auto"/>
        </w:rPr>
      </w:pPr>
    </w:p>
    <w:p>
      <w:pPr>
        <w:spacing w:after="0"/>
        <w:rPr>
          <w:sz w:val="20"/>
          <w:szCs w:val="20"/>
          <w:color w:val="auto"/>
        </w:rPr>
      </w:pPr>
      <w:r>
        <w:rPr>
          <w:rFonts w:ascii="Arial" w:cs="Arial" w:eastAsia="Arial" w:hAnsi="Arial"/>
          <w:sz w:val="20"/>
          <w:szCs w:val="20"/>
          <w:b w:val="1"/>
          <w:bCs w:val="1"/>
          <w:color w:val="231F20"/>
        </w:rPr>
        <w:t>The Role of the Compensation Committee’s Independent Consultant</w:t>
      </w:r>
    </w:p>
    <w:p>
      <w:pPr>
        <w:spacing w:after="0" w:line="166" w:lineRule="exact"/>
        <w:rPr>
          <w:sz w:val="20"/>
          <w:szCs w:val="20"/>
          <w:color w:val="auto"/>
        </w:rPr>
      </w:pPr>
    </w:p>
    <w:p>
      <w:pPr>
        <w:ind w:right="140"/>
        <w:spacing w:after="0" w:line="245" w:lineRule="auto"/>
        <w:rPr>
          <w:sz w:val="20"/>
          <w:szCs w:val="20"/>
          <w:color w:val="auto"/>
        </w:rPr>
      </w:pPr>
      <w:r>
        <w:rPr>
          <w:rFonts w:ascii="Arial" w:cs="Arial" w:eastAsia="Arial" w:hAnsi="Arial"/>
          <w:sz w:val="14"/>
          <w:szCs w:val="14"/>
          <w:color w:val="231F20"/>
        </w:rPr>
        <w:t>The Compensation Committee retained Pay Governance, a nationally recognized compensation consulting firm, as the Compensation Committee’s independent consultant to assist in designing and assessing the competitiveness of our executive compensation program. The Compensation Committee concluded that Pay Governance is an independent consultant after considering the factors relevant to Pay Governance’s independence from management, and NYSE and SEC rules regarding compensation consultant independence.</w:t>
      </w:r>
    </w:p>
    <w:p>
      <w:pPr>
        <w:spacing w:after="0" w:line="108" w:lineRule="exact"/>
        <w:rPr>
          <w:sz w:val="20"/>
          <w:szCs w:val="20"/>
          <w:color w:val="auto"/>
        </w:rPr>
      </w:pPr>
    </w:p>
    <w:p>
      <w:pPr>
        <w:ind w:right="20"/>
        <w:spacing w:after="0" w:line="253" w:lineRule="auto"/>
        <w:rPr>
          <w:sz w:val="20"/>
          <w:szCs w:val="20"/>
          <w:color w:val="auto"/>
        </w:rPr>
      </w:pPr>
      <w:r>
        <w:rPr>
          <w:rFonts w:ascii="Arial" w:cs="Arial" w:eastAsia="Arial" w:hAnsi="Arial"/>
          <w:sz w:val="14"/>
          <w:szCs w:val="14"/>
          <w:color w:val="231F20"/>
        </w:rPr>
        <w:t>Annually, the Compensation Committee has the consultant develop a market rate for base salary, total cash compensation, and total direct compensation for each of the named executive officer positions, including the allocation between cash compensation and equity incentives. Each market rate represents the median compensation level that would be paid to a hypothetical, seasoned performer in a position having similar responsibilities and scope, in an organization of similar size and type as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103505</wp:posOffset>
            </wp:positionV>
            <wp:extent cx="7139940" cy="82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139940" cy="8255"/>
                    </a:xfrm>
                    <a:prstGeom prst="rect">
                      <a:avLst/>
                    </a:prstGeom>
                    <a:noFill/>
                  </pic:spPr>
                </pic:pic>
              </a:graphicData>
            </a:graphic>
          </wp:anchor>
        </w:drawing>
      </w:r>
    </w:p>
    <w:p>
      <w:pPr>
        <w:spacing w:after="0" w:line="189" w:lineRule="exact"/>
        <w:rPr>
          <w:sz w:val="20"/>
          <w:szCs w:val="20"/>
          <w:color w:val="auto"/>
        </w:rPr>
      </w:pPr>
    </w:p>
    <w:p>
      <w:pPr>
        <w:jc w:val="right"/>
        <w:spacing w:after="0"/>
        <w:tabs>
          <w:tab w:leader="none" w:pos="140" w:val="left"/>
        </w:tabs>
        <w:rPr>
          <w:sz w:val="20"/>
          <w:szCs w:val="20"/>
          <w:color w:val="auto"/>
        </w:rPr>
      </w:pPr>
      <w:r>
        <w:rPr>
          <w:rFonts w:ascii="Arial" w:cs="Arial" w:eastAsia="Arial" w:hAnsi="Arial"/>
          <w:sz w:val="12"/>
          <w:szCs w:val="12"/>
          <w:color w:val="4395D4"/>
        </w:rPr>
        <w:t xml:space="preserve">ESSENTIAL UTILITIES, INC. </w:t>
      </w:r>
      <w:r>
        <w:rPr>
          <w:rFonts w:ascii="Arial" w:cs="Arial" w:eastAsia="Arial" w:hAnsi="Arial"/>
          <w:sz w:val="12"/>
          <w:szCs w:val="12"/>
          <w:color w:val="455986"/>
        </w:rPr>
        <w:t>2021 PROXY STATEMENT</w:t>
      </w:r>
      <w:r>
        <w:rPr>
          <w:sz w:val="20"/>
          <w:szCs w:val="20"/>
          <w:color w:val="auto"/>
        </w:rPr>
        <w:tab/>
      </w:r>
      <w:r>
        <w:rPr>
          <w:rFonts w:ascii="Arial" w:cs="Arial" w:eastAsia="Arial" w:hAnsi="Arial"/>
          <w:sz w:val="14"/>
          <w:szCs w:val="14"/>
          <w:color w:val="455986"/>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346710</wp:posOffset>
            </wp:positionV>
            <wp:extent cx="7139940" cy="2413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139940" cy="24130"/>
                    </a:xfrm>
                    <a:prstGeom prst="rect">
                      <a:avLst/>
                    </a:prstGeom>
                    <a:noFill/>
                  </pic:spPr>
                </pic:pic>
              </a:graphicData>
            </a:graphic>
          </wp:anchor>
        </w:drawing>
      </w:r>
    </w:p>
    <w:p>
      <w:pPr>
        <w:sectPr>
          <w:pgSz w:w="11900" w:h="16838" w:orient="portrait"/>
          <w:cols w:equalWidth="0" w:num="1">
            <w:col w:w="11240"/>
          </w:cols>
          <w:pgMar w:left="320" w:top="637" w:right="339" w:bottom="1440" w:gutter="0" w:footer="0" w:header="0"/>
        </w:sectPr>
      </w:pPr>
    </w:p>
    <w:bookmarkStart w:id="50" w:name="page51"/>
    <w:bookmarkEnd w:id="50"/>
    <w:p>
      <w:pPr>
        <w:spacing w:after="0"/>
        <w:rPr>
          <w:sz w:val="20"/>
          <w:szCs w:val="20"/>
          <w:color w:val="auto"/>
        </w:rPr>
      </w:pPr>
      <w:r>
        <w:rPr>
          <w:rFonts w:ascii="Arial" w:cs="Arial" w:eastAsia="Arial" w:hAnsi="Arial"/>
          <w:sz w:val="14"/>
          <w:szCs w:val="14"/>
          <w:b w:val="1"/>
          <w:bCs w:val="1"/>
          <w:color w:val="455986"/>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27940</wp:posOffset>
            </wp:positionV>
            <wp:extent cx="7139940" cy="82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139940" cy="8255"/>
                    </a:xfrm>
                    <a:prstGeom prst="rect">
                      <a:avLst/>
                    </a:prstGeom>
                    <a:noFill/>
                  </pic:spPr>
                </pic:pic>
              </a:graphicData>
            </a:graphic>
          </wp:anchor>
        </w:drawing>
      </w:r>
    </w:p>
    <w:p>
      <w:pPr>
        <w:spacing w:after="0" w:line="76" w:lineRule="exact"/>
        <w:rPr>
          <w:sz w:val="20"/>
          <w:szCs w:val="20"/>
          <w:color w:val="auto"/>
        </w:rPr>
      </w:pPr>
    </w:p>
    <w:p>
      <w:pPr>
        <w:spacing w:after="0"/>
        <w:rPr>
          <w:sz w:val="20"/>
          <w:szCs w:val="20"/>
          <w:color w:val="auto"/>
        </w:rPr>
      </w:pPr>
      <w:r>
        <w:rPr>
          <w:rFonts w:ascii="Arial" w:cs="Arial" w:eastAsia="Arial" w:hAnsi="Arial"/>
          <w:sz w:val="14"/>
          <w:szCs w:val="14"/>
          <w:color w:val="4395D4"/>
        </w:rPr>
        <w:t xml:space="preserve">Section 2 </w:t>
      </w:r>
      <w:r>
        <w:rPr>
          <w:rFonts w:ascii="Arial" w:cs="Arial" w:eastAsia="Arial" w:hAnsi="Arial"/>
          <w:sz w:val="14"/>
          <w:szCs w:val="14"/>
          <w:color w:val="231F20"/>
        </w:rPr>
        <w:t>How We Determine Executive Compensation</w:t>
      </w:r>
    </w:p>
    <w:p>
      <w:pPr>
        <w:spacing w:after="0" w:line="161" w:lineRule="exact"/>
        <w:rPr>
          <w:sz w:val="20"/>
          <w:szCs w:val="20"/>
          <w:color w:val="auto"/>
        </w:rPr>
      </w:pPr>
    </w:p>
    <w:p>
      <w:pPr>
        <w:spacing w:after="0"/>
        <w:rPr>
          <w:sz w:val="20"/>
          <w:szCs w:val="20"/>
          <w:color w:val="auto"/>
        </w:rPr>
      </w:pPr>
      <w:r>
        <w:rPr>
          <w:rFonts w:ascii="Arial" w:cs="Arial" w:eastAsia="Arial" w:hAnsi="Arial"/>
          <w:sz w:val="20"/>
          <w:szCs w:val="20"/>
          <w:b w:val="1"/>
          <w:bCs w:val="1"/>
          <w:color w:val="231F20"/>
        </w:rPr>
        <w:t>Our 2020 Benchmarking for Competitive Pay</w:t>
      </w:r>
    </w:p>
    <w:p>
      <w:pPr>
        <w:spacing w:after="0" w:line="166" w:lineRule="exact"/>
        <w:rPr>
          <w:sz w:val="20"/>
          <w:szCs w:val="20"/>
          <w:color w:val="auto"/>
        </w:rPr>
      </w:pPr>
    </w:p>
    <w:p>
      <w:pPr>
        <w:ind w:right="300"/>
        <w:spacing w:after="0" w:line="278" w:lineRule="auto"/>
        <w:rPr>
          <w:sz w:val="20"/>
          <w:szCs w:val="20"/>
          <w:color w:val="auto"/>
        </w:rPr>
      </w:pPr>
      <w:r>
        <w:rPr>
          <w:rFonts w:ascii="Arial" w:cs="Arial" w:eastAsia="Arial" w:hAnsi="Arial"/>
          <w:sz w:val="14"/>
          <w:szCs w:val="14"/>
          <w:color w:val="231F20"/>
        </w:rPr>
        <w:t>In developing the market median for the named executive officers, the Compensation Committee’s consultant, Pay Governance, used compensation data from our 15 utility peer group companies.</w:t>
      </w:r>
    </w:p>
    <w:p>
      <w:pPr>
        <w:spacing w:after="0" w:line="84" w:lineRule="exact"/>
        <w:rPr>
          <w:sz w:val="20"/>
          <w:szCs w:val="20"/>
          <w:color w:val="auto"/>
        </w:rPr>
      </w:pPr>
    </w:p>
    <w:p>
      <w:pPr>
        <w:ind w:right="20"/>
        <w:spacing w:after="0" w:line="293" w:lineRule="auto"/>
        <w:rPr>
          <w:sz w:val="20"/>
          <w:szCs w:val="20"/>
          <w:color w:val="auto"/>
        </w:rPr>
      </w:pPr>
      <w:r>
        <w:rPr>
          <w:rFonts w:ascii="Arial" w:cs="Arial" w:eastAsia="Arial" w:hAnsi="Arial"/>
          <w:sz w:val="14"/>
          <w:szCs w:val="14"/>
          <w:b w:val="1"/>
          <w:bCs w:val="1"/>
          <w:color w:val="4395D4"/>
        </w:rPr>
        <w:t>The combination of salary, short-term incentives, and long-term incentives is intended to compensate executives at approximately the 50th percentile of the market when the Company performs at target level.</w:t>
      </w:r>
    </w:p>
    <w:p>
      <w:pPr>
        <w:spacing w:after="0" w:line="68" w:lineRule="exact"/>
        <w:rPr>
          <w:sz w:val="20"/>
          <w:szCs w:val="20"/>
          <w:color w:val="auto"/>
        </w:rPr>
      </w:pPr>
    </w:p>
    <w:p>
      <w:pPr>
        <w:ind w:right="20"/>
        <w:spacing w:after="0" w:line="253" w:lineRule="auto"/>
        <w:rPr>
          <w:sz w:val="20"/>
          <w:szCs w:val="20"/>
          <w:color w:val="auto"/>
        </w:rPr>
      </w:pPr>
      <w:r>
        <w:rPr>
          <w:rFonts w:ascii="Arial" w:cs="Arial" w:eastAsia="Arial" w:hAnsi="Arial"/>
          <w:sz w:val="14"/>
          <w:szCs w:val="14"/>
          <w:color w:val="231F20"/>
        </w:rPr>
        <w:t>Pay Governance reviews the Company’s executive compensation program for the Compensation Committee and annually provides the data and analysis described above. The compensation consultant discusses the proposed actual compensation awards for the named executive officers and provides research and input to the Compensation Committee on changes to the compensation program.</w:t>
      </w:r>
    </w:p>
    <w:p>
      <w:pPr>
        <w:spacing w:after="0" w:line="103" w:lineRule="exact"/>
        <w:rPr>
          <w:sz w:val="20"/>
          <w:szCs w:val="20"/>
          <w:color w:val="auto"/>
        </w:rPr>
      </w:pPr>
    </w:p>
    <w:p>
      <w:pPr>
        <w:jc w:val="both"/>
        <w:spacing w:after="0" w:line="253" w:lineRule="auto"/>
        <w:rPr>
          <w:sz w:val="20"/>
          <w:szCs w:val="20"/>
          <w:color w:val="auto"/>
        </w:rPr>
      </w:pPr>
      <w:r>
        <w:rPr>
          <w:rFonts w:ascii="Arial" w:cs="Arial" w:eastAsia="Arial" w:hAnsi="Arial"/>
          <w:sz w:val="14"/>
          <w:szCs w:val="14"/>
          <w:color w:val="231F20"/>
        </w:rPr>
        <w:t>In 2020, Pay Governance also analyzed the Company’s executive compensation program to ensure that it remained competitive. Pay Governance uses the median to show the market rate for base salary, total cash compensation and total direct compensation, including the allocation between cash compensation and equity incentives. Pay Governance provides no other services to the Company other than serving as the Compensation Committee’s compensation consultant for executive and director compensation decisions.</w:t>
      </w:r>
    </w:p>
    <w:p>
      <w:pPr>
        <w:spacing w:after="0" w:line="91" w:lineRule="exact"/>
        <w:rPr>
          <w:sz w:val="20"/>
          <w:szCs w:val="20"/>
          <w:color w:val="auto"/>
        </w:rPr>
      </w:pPr>
    </w:p>
    <w:p>
      <w:pPr>
        <w:spacing w:after="0"/>
        <w:rPr>
          <w:sz w:val="20"/>
          <w:szCs w:val="20"/>
          <w:color w:val="auto"/>
        </w:rPr>
      </w:pPr>
      <w:r>
        <w:rPr>
          <w:rFonts w:ascii="Arial" w:cs="Arial" w:eastAsia="Arial" w:hAnsi="Arial"/>
          <w:sz w:val="20"/>
          <w:szCs w:val="20"/>
          <w:b w:val="1"/>
          <w:bCs w:val="1"/>
          <w:color w:val="231F20"/>
        </w:rPr>
        <w:t>Our 2020 Benchmarking Peer Group</w:t>
      </w:r>
    </w:p>
    <w:p>
      <w:pPr>
        <w:spacing w:after="0" w:line="166" w:lineRule="exact"/>
        <w:rPr>
          <w:sz w:val="20"/>
          <w:szCs w:val="20"/>
          <w:color w:val="auto"/>
        </w:rPr>
      </w:pPr>
    </w:p>
    <w:p>
      <w:pPr>
        <w:ind w:right="780"/>
        <w:spacing w:after="0" w:line="278" w:lineRule="auto"/>
        <w:rPr>
          <w:sz w:val="20"/>
          <w:szCs w:val="20"/>
          <w:color w:val="auto"/>
        </w:rPr>
      </w:pPr>
      <w:r>
        <w:rPr>
          <w:rFonts w:ascii="Arial" w:cs="Arial" w:eastAsia="Arial" w:hAnsi="Arial"/>
          <w:sz w:val="14"/>
          <w:szCs w:val="14"/>
          <w:color w:val="231F20"/>
        </w:rPr>
        <w:t>A simplified fifteen company peer group is used to benchmark executive pay. This custom peer group was used in 2020 and will continue to be the foundation of our benchmarking approach.</w:t>
      </w:r>
    </w:p>
    <w:p>
      <w:pPr>
        <w:spacing w:after="0" w:line="83" w:lineRule="exact"/>
        <w:rPr>
          <w:sz w:val="20"/>
          <w:szCs w:val="20"/>
          <w:color w:val="auto"/>
        </w:rPr>
      </w:pPr>
    </w:p>
    <w:p>
      <w:pPr>
        <w:spacing w:after="0"/>
        <w:rPr>
          <w:sz w:val="20"/>
          <w:szCs w:val="20"/>
          <w:color w:val="auto"/>
        </w:rPr>
      </w:pPr>
      <w:r>
        <w:rPr>
          <w:rFonts w:ascii="Arial" w:cs="Arial" w:eastAsia="Arial" w:hAnsi="Arial"/>
          <w:sz w:val="17"/>
          <w:szCs w:val="17"/>
          <w:b w:val="1"/>
          <w:bCs w:val="1"/>
          <w:color w:val="4395D4"/>
        </w:rPr>
        <w:t>How We Selected our Peer Group</w:t>
      </w:r>
    </w:p>
    <w:p>
      <w:pPr>
        <w:spacing w:after="0" w:line="153" w:lineRule="exact"/>
        <w:rPr>
          <w:sz w:val="20"/>
          <w:szCs w:val="20"/>
          <w:color w:val="auto"/>
        </w:rPr>
      </w:pPr>
    </w:p>
    <w:p>
      <w:pPr>
        <w:spacing w:after="0"/>
        <w:rPr>
          <w:sz w:val="20"/>
          <w:szCs w:val="20"/>
          <w:color w:val="auto"/>
        </w:rPr>
      </w:pPr>
      <w:r>
        <w:rPr>
          <w:rFonts w:ascii="Arial" w:cs="Arial" w:eastAsia="Arial" w:hAnsi="Arial"/>
          <w:sz w:val="14"/>
          <w:szCs w:val="14"/>
          <w:color w:val="231F20"/>
        </w:rPr>
        <w:t>A multi-step screening process was used to determine the final comparator companies.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106045</wp:posOffset>
            </wp:positionV>
            <wp:extent cx="4562475" cy="232600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4562475" cy="23260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spacing w:after="0"/>
        <w:rPr>
          <w:sz w:val="20"/>
          <w:szCs w:val="20"/>
          <w:color w:val="auto"/>
        </w:rPr>
      </w:pPr>
      <w:r>
        <w:rPr>
          <w:rFonts w:ascii="Arial" w:cs="Arial" w:eastAsia="Arial" w:hAnsi="Arial"/>
          <w:sz w:val="14"/>
          <w:szCs w:val="14"/>
          <w:color w:val="231F20"/>
        </w:rPr>
        <w:t>Our peer group is set forth on Appendix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121920</wp:posOffset>
            </wp:positionV>
            <wp:extent cx="7139940" cy="825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139940" cy="8255"/>
                    </a:xfrm>
                    <a:prstGeom prst="rect">
                      <a:avLst/>
                    </a:prstGeom>
                    <a:noFill/>
                  </pic:spPr>
                </pic:pic>
              </a:graphicData>
            </a:graphic>
          </wp:anchor>
        </w:drawing>
      </w:r>
    </w:p>
    <w:p>
      <w:pPr>
        <w:spacing w:after="0" w:line="242" w:lineRule="exact"/>
        <w:rPr>
          <w:sz w:val="20"/>
          <w:szCs w:val="20"/>
          <w:color w:val="auto"/>
        </w:rPr>
      </w:pPr>
    </w:p>
    <w:p>
      <w:pPr>
        <w:ind w:left="300" w:hanging="298"/>
        <w:spacing w:after="0"/>
        <w:tabs>
          <w:tab w:leader="none" w:pos="300" w:val="left"/>
        </w:tabs>
        <w:numPr>
          <w:ilvl w:val="0"/>
          <w:numId w:val="96"/>
        </w:numPr>
        <w:rPr>
          <w:rFonts w:ascii="Arial" w:cs="Arial" w:eastAsia="Arial" w:hAnsi="Arial"/>
          <w:sz w:val="15"/>
          <w:szCs w:val="15"/>
          <w:color w:val="455986"/>
        </w:rPr>
      </w:pPr>
      <w:r>
        <w:rPr>
          <w:rFonts w:ascii="Arial" w:cs="Arial" w:eastAsia="Arial" w:hAnsi="Arial"/>
          <w:sz w:val="12"/>
          <w:szCs w:val="12"/>
          <w:color w:val="4395D4"/>
        </w:rPr>
        <w:t xml:space="preserve">ESSENTIAL UTILITIES, INC. </w:t>
      </w:r>
      <w:r>
        <w:rPr>
          <w:rFonts w:ascii="Arial" w:cs="Arial" w:eastAsia="Arial" w:hAnsi="Arial"/>
          <w:sz w:val="12"/>
          <w:szCs w:val="12"/>
          <w:color w:val="455986"/>
        </w:rPr>
        <w:t>2021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324485</wp:posOffset>
            </wp:positionV>
            <wp:extent cx="7139940" cy="2413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139940" cy="24130"/>
                    </a:xfrm>
                    <a:prstGeom prst="rect">
                      <a:avLst/>
                    </a:prstGeom>
                    <a:noFill/>
                  </pic:spPr>
                </pic:pic>
              </a:graphicData>
            </a:graphic>
          </wp:anchor>
        </w:drawing>
      </w:r>
    </w:p>
    <w:p>
      <w:pPr>
        <w:sectPr>
          <w:pgSz w:w="11900" w:h="16838" w:orient="portrait"/>
          <w:cols w:equalWidth="0" w:num="1">
            <w:col w:w="11240"/>
          </w:cols>
          <w:pgMar w:left="320" w:top="636" w:right="339" w:bottom="1440" w:gutter="0" w:footer="0" w:header="0"/>
        </w:sectPr>
      </w:pPr>
    </w:p>
    <w:bookmarkStart w:id="51" w:name="page52"/>
    <w:bookmarkEnd w:id="51"/>
    <w:p>
      <w:pPr>
        <w:spacing w:after="0"/>
        <w:rPr>
          <w:sz w:val="20"/>
          <w:szCs w:val="20"/>
          <w:color w:val="auto"/>
        </w:rPr>
      </w:pPr>
      <w:r>
        <w:rPr>
          <w:rFonts w:ascii="Arial" w:cs="Arial" w:eastAsia="Arial" w:hAnsi="Arial"/>
          <w:sz w:val="14"/>
          <w:szCs w:val="14"/>
          <w:b w:val="1"/>
          <w:bCs w:val="1"/>
          <w:color w:val="455986"/>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27940</wp:posOffset>
            </wp:positionV>
            <wp:extent cx="7139940" cy="825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139940" cy="8255"/>
                    </a:xfrm>
                    <a:prstGeom prst="rect">
                      <a:avLst/>
                    </a:prstGeom>
                    <a:noFill/>
                  </pic:spPr>
                </pic:pic>
              </a:graphicData>
            </a:graphic>
          </wp:anchor>
        </w:drawing>
      </w:r>
    </w:p>
    <w:p>
      <w:pPr>
        <w:spacing w:after="0" w:line="76" w:lineRule="exact"/>
        <w:rPr>
          <w:sz w:val="20"/>
          <w:szCs w:val="20"/>
          <w:color w:val="auto"/>
        </w:rPr>
      </w:pPr>
    </w:p>
    <w:p>
      <w:pPr>
        <w:spacing w:after="0"/>
        <w:rPr>
          <w:sz w:val="20"/>
          <w:szCs w:val="20"/>
          <w:color w:val="auto"/>
        </w:rPr>
      </w:pPr>
      <w:r>
        <w:rPr>
          <w:rFonts w:ascii="Arial" w:cs="Arial" w:eastAsia="Arial" w:hAnsi="Arial"/>
          <w:sz w:val="14"/>
          <w:szCs w:val="14"/>
          <w:color w:val="4395D4"/>
        </w:rPr>
        <w:t xml:space="preserve">Section 2 </w:t>
      </w:r>
      <w:r>
        <w:rPr>
          <w:rFonts w:ascii="Arial" w:cs="Arial" w:eastAsia="Arial" w:hAnsi="Arial"/>
          <w:sz w:val="14"/>
          <w:szCs w:val="14"/>
          <w:color w:val="231F20"/>
        </w:rPr>
        <w:t>How We Determine Executive Compensation</w:t>
      </w:r>
    </w:p>
    <w:p>
      <w:pPr>
        <w:spacing w:after="0" w:line="161" w:lineRule="exact"/>
        <w:rPr>
          <w:sz w:val="20"/>
          <w:szCs w:val="20"/>
          <w:color w:val="auto"/>
        </w:rPr>
      </w:pPr>
    </w:p>
    <w:p>
      <w:pPr>
        <w:spacing w:after="0"/>
        <w:rPr>
          <w:sz w:val="20"/>
          <w:szCs w:val="20"/>
          <w:color w:val="auto"/>
        </w:rPr>
      </w:pPr>
      <w:r>
        <w:rPr>
          <w:rFonts w:ascii="Arial" w:cs="Arial" w:eastAsia="Arial" w:hAnsi="Arial"/>
          <w:sz w:val="20"/>
          <w:szCs w:val="20"/>
          <w:b w:val="1"/>
          <w:bCs w:val="1"/>
          <w:color w:val="231F20"/>
        </w:rPr>
        <w:t>Shareholder Advisory Vote Impact on Compensation Committee Actions</w:t>
      </w:r>
    </w:p>
    <w:p>
      <w:pPr>
        <w:spacing w:after="0" w:line="166" w:lineRule="exact"/>
        <w:rPr>
          <w:sz w:val="20"/>
          <w:szCs w:val="20"/>
          <w:color w:val="auto"/>
        </w:rPr>
      </w:pPr>
    </w:p>
    <w:p>
      <w:pPr>
        <w:ind w:right="120"/>
        <w:spacing w:after="0" w:line="253" w:lineRule="auto"/>
        <w:rPr>
          <w:sz w:val="20"/>
          <w:szCs w:val="20"/>
          <w:color w:val="auto"/>
        </w:rPr>
      </w:pPr>
      <w:r>
        <w:rPr>
          <w:rFonts w:ascii="Arial" w:cs="Arial" w:eastAsia="Arial" w:hAnsi="Arial"/>
          <w:sz w:val="14"/>
          <w:szCs w:val="14"/>
          <w:color w:val="auto"/>
        </w:rPr>
        <w:t xml:space="preserve">The Compensation Committee also takes into consideration the results of the advisory votes on the Company’s executive </w:t>
      </w:r>
      <w:r>
        <w:rPr>
          <w:rFonts w:ascii="Arial" w:cs="Arial" w:eastAsia="Arial" w:hAnsi="Arial"/>
          <w:sz w:val="14"/>
          <w:szCs w:val="14"/>
          <w:color w:val="231F20"/>
        </w:rPr>
        <w:t>compensation program for the few years prior to the</w:t>
      </w:r>
      <w:r>
        <w:rPr>
          <w:rFonts w:ascii="Arial" w:cs="Arial" w:eastAsia="Arial" w:hAnsi="Arial"/>
          <w:sz w:val="14"/>
          <w:szCs w:val="14"/>
          <w:color w:val="auto"/>
        </w:rPr>
        <w:t xml:space="preserve"> </w:t>
      </w:r>
      <w:r>
        <w:rPr>
          <w:rFonts w:ascii="Arial" w:cs="Arial" w:eastAsia="Arial" w:hAnsi="Arial"/>
          <w:sz w:val="14"/>
          <w:szCs w:val="14"/>
          <w:color w:val="231F20"/>
        </w:rPr>
        <w:t>year for which the executive compensation decisions are being made. The Company is committed to providing shareholders with more transparency in metrics and measurements, which you will see as you review our 2020 incentive plan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79375</wp:posOffset>
            </wp:positionV>
            <wp:extent cx="7139940" cy="253682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139940" cy="25368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right"/>
        <w:spacing w:after="0"/>
        <w:tabs>
          <w:tab w:leader="none" w:pos="140" w:val="left"/>
        </w:tabs>
        <w:rPr>
          <w:sz w:val="20"/>
          <w:szCs w:val="20"/>
          <w:color w:val="auto"/>
        </w:rPr>
      </w:pPr>
      <w:r>
        <w:rPr>
          <w:rFonts w:ascii="Arial" w:cs="Arial" w:eastAsia="Arial" w:hAnsi="Arial"/>
          <w:sz w:val="12"/>
          <w:szCs w:val="12"/>
          <w:color w:val="4395D4"/>
        </w:rPr>
        <w:t xml:space="preserve">ESSENTIAL UTILITIES, INC. </w:t>
      </w:r>
      <w:r>
        <w:rPr>
          <w:rFonts w:ascii="Arial" w:cs="Arial" w:eastAsia="Arial" w:hAnsi="Arial"/>
          <w:sz w:val="12"/>
          <w:szCs w:val="12"/>
          <w:color w:val="455986"/>
        </w:rPr>
        <w:t>2021 PROXY STATEMENT</w:t>
      </w:r>
      <w:r>
        <w:rPr>
          <w:sz w:val="20"/>
          <w:szCs w:val="20"/>
          <w:color w:val="auto"/>
        </w:rPr>
        <w:tab/>
      </w:r>
      <w:r>
        <w:rPr>
          <w:rFonts w:ascii="Arial" w:cs="Arial" w:eastAsia="Arial" w:hAnsi="Arial"/>
          <w:sz w:val="14"/>
          <w:szCs w:val="14"/>
          <w:color w:val="455986"/>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339090</wp:posOffset>
            </wp:positionV>
            <wp:extent cx="7139940" cy="2413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139940" cy="24130"/>
                    </a:xfrm>
                    <a:prstGeom prst="rect">
                      <a:avLst/>
                    </a:prstGeom>
                    <a:noFill/>
                  </pic:spPr>
                </pic:pic>
              </a:graphicData>
            </a:graphic>
          </wp:anchor>
        </w:drawing>
      </w:r>
    </w:p>
    <w:p>
      <w:pPr>
        <w:sectPr>
          <w:pgSz w:w="11900" w:h="16838" w:orient="portrait"/>
          <w:cols w:equalWidth="0" w:num="1">
            <w:col w:w="11240"/>
          </w:cols>
          <w:pgMar w:left="320" w:top="637" w:right="339" w:bottom="1440" w:gutter="0" w:footer="0" w:header="0"/>
        </w:sectPr>
      </w:pPr>
    </w:p>
    <w:bookmarkStart w:id="52" w:name="page53"/>
    <w:bookmarkEnd w:id="52"/>
    <w:p>
      <w:pPr>
        <w:spacing w:after="0"/>
        <w:rPr>
          <w:sz w:val="20"/>
          <w:szCs w:val="20"/>
          <w:color w:val="auto"/>
        </w:rPr>
      </w:pPr>
      <w:r>
        <w:rPr>
          <w:rFonts w:ascii="Arial" w:cs="Arial" w:eastAsia="Arial" w:hAnsi="Arial"/>
          <w:sz w:val="14"/>
          <w:szCs w:val="14"/>
          <w:b w:val="1"/>
          <w:bCs w:val="1"/>
          <w:color w:val="455986"/>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27940</wp:posOffset>
            </wp:positionV>
            <wp:extent cx="7139940" cy="825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139940" cy="8255"/>
                    </a:xfrm>
                    <a:prstGeom prst="rect">
                      <a:avLst/>
                    </a:prstGeom>
                    <a:noFill/>
                  </pic:spPr>
                </pic:pic>
              </a:graphicData>
            </a:graphic>
          </wp:anchor>
        </w:drawing>
      </w:r>
    </w:p>
    <w:p>
      <w:pPr>
        <w:spacing w:after="0" w:line="76" w:lineRule="exact"/>
        <w:rPr>
          <w:sz w:val="20"/>
          <w:szCs w:val="20"/>
          <w:color w:val="auto"/>
        </w:rPr>
      </w:pPr>
    </w:p>
    <w:p>
      <w:pPr>
        <w:spacing w:after="0"/>
        <w:rPr>
          <w:sz w:val="20"/>
          <w:szCs w:val="20"/>
          <w:color w:val="auto"/>
        </w:rPr>
      </w:pPr>
      <w:r>
        <w:rPr>
          <w:rFonts w:ascii="Arial" w:cs="Arial" w:eastAsia="Arial" w:hAnsi="Arial"/>
          <w:sz w:val="14"/>
          <w:szCs w:val="14"/>
          <w:color w:val="4395D4"/>
        </w:rPr>
        <w:t xml:space="preserve">Section 3 </w:t>
      </w:r>
      <w:r>
        <w:rPr>
          <w:rFonts w:ascii="Arial" w:cs="Arial" w:eastAsia="Arial" w:hAnsi="Arial"/>
          <w:sz w:val="14"/>
          <w:szCs w:val="14"/>
          <w:color w:val="231F20"/>
        </w:rPr>
        <w:t>2020 Executive Compensation Program</w:t>
      </w:r>
    </w:p>
    <w:p>
      <w:pPr>
        <w:spacing w:after="0" w:line="145" w:lineRule="exact"/>
        <w:rPr>
          <w:sz w:val="20"/>
          <w:szCs w:val="20"/>
          <w:color w:val="auto"/>
        </w:rPr>
      </w:pPr>
    </w:p>
    <w:p>
      <w:pPr>
        <w:spacing w:after="0"/>
        <w:rPr>
          <w:sz w:val="20"/>
          <w:szCs w:val="20"/>
          <w:color w:val="auto"/>
        </w:rPr>
      </w:pPr>
      <w:r>
        <w:rPr>
          <w:rFonts w:ascii="Arial" w:cs="Arial" w:eastAsia="Arial" w:hAnsi="Arial"/>
          <w:sz w:val="34"/>
          <w:szCs w:val="34"/>
          <w:b w:val="1"/>
          <w:bCs w:val="1"/>
          <w:color w:val="4395D4"/>
        </w:rPr>
        <w:t>Section 3</w:t>
      </w:r>
    </w:p>
    <w:p>
      <w:pPr>
        <w:spacing w:after="0" w:line="175" w:lineRule="exact"/>
        <w:rPr>
          <w:sz w:val="20"/>
          <w:szCs w:val="20"/>
          <w:color w:val="auto"/>
        </w:rPr>
      </w:pPr>
    </w:p>
    <w:p>
      <w:pPr>
        <w:spacing w:after="0"/>
        <w:rPr>
          <w:sz w:val="20"/>
          <w:szCs w:val="20"/>
          <w:color w:val="auto"/>
        </w:rPr>
      </w:pPr>
      <w:r>
        <w:rPr>
          <w:rFonts w:ascii="Arial" w:cs="Arial" w:eastAsia="Arial" w:hAnsi="Arial"/>
          <w:sz w:val="24"/>
          <w:szCs w:val="24"/>
          <w:b w:val="1"/>
          <w:bCs w:val="1"/>
          <w:color w:val="455986"/>
        </w:rPr>
        <w:t>2020 Executive Compensation Program</w:t>
      </w:r>
    </w:p>
    <w:p>
      <w:pPr>
        <w:spacing w:after="0" w:line="156" w:lineRule="exact"/>
        <w:rPr>
          <w:sz w:val="20"/>
          <w:szCs w:val="20"/>
          <w:color w:val="auto"/>
        </w:rPr>
      </w:pPr>
    </w:p>
    <w:p>
      <w:pPr>
        <w:spacing w:after="0"/>
        <w:rPr>
          <w:sz w:val="20"/>
          <w:szCs w:val="20"/>
          <w:color w:val="auto"/>
        </w:rPr>
      </w:pPr>
      <w:r>
        <w:rPr>
          <w:rFonts w:ascii="Arial" w:cs="Arial" w:eastAsia="Arial" w:hAnsi="Arial"/>
          <w:sz w:val="20"/>
          <w:szCs w:val="20"/>
          <w:b w:val="1"/>
          <w:bCs w:val="1"/>
          <w:color w:val="231F20"/>
        </w:rPr>
        <w:t>Overview</w:t>
      </w:r>
    </w:p>
    <w:p>
      <w:pPr>
        <w:spacing w:after="0" w:line="166" w:lineRule="exact"/>
        <w:rPr>
          <w:sz w:val="20"/>
          <w:szCs w:val="20"/>
          <w:color w:val="auto"/>
        </w:rPr>
      </w:pPr>
    </w:p>
    <w:p>
      <w:pPr>
        <w:ind w:right="100"/>
        <w:spacing w:after="0" w:line="278" w:lineRule="auto"/>
        <w:rPr>
          <w:sz w:val="20"/>
          <w:szCs w:val="20"/>
          <w:color w:val="auto"/>
        </w:rPr>
      </w:pPr>
      <w:r>
        <w:rPr>
          <w:rFonts w:ascii="Arial" w:cs="Arial" w:eastAsia="Arial" w:hAnsi="Arial"/>
          <w:sz w:val="14"/>
          <w:szCs w:val="14"/>
          <w:color w:val="231F20"/>
        </w:rPr>
        <w:t>Our executive compensation program is composed of the following seven elements, which we believe are important components of a well-designed, balanced and competitive compensation program. We use these elements to achieve our compensation program objectives as follows:</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2140" w:type="dxa"/>
            <w:vAlign w:val="bottom"/>
            <w:tcBorders>
              <w:bottom w:val="single" w:sz="8" w:color="4395D4"/>
            </w:tcBorders>
          </w:tcPr>
          <w:p>
            <w:pPr>
              <w:spacing w:after="0"/>
              <w:rPr>
                <w:sz w:val="20"/>
                <w:szCs w:val="20"/>
                <w:color w:val="auto"/>
              </w:rPr>
            </w:pPr>
            <w:r>
              <w:rPr>
                <w:rFonts w:ascii="Arial" w:cs="Arial" w:eastAsia="Arial" w:hAnsi="Arial"/>
                <w:sz w:val="14"/>
                <w:szCs w:val="14"/>
                <w:color w:val="455986"/>
              </w:rPr>
              <w:t>Element of Compensation</w:t>
            </w:r>
          </w:p>
        </w:tc>
        <w:tc>
          <w:tcPr>
            <w:tcW w:w="9100" w:type="dxa"/>
            <w:vAlign w:val="bottom"/>
            <w:tcBorders>
              <w:bottom w:val="single" w:sz="8" w:color="4395D4"/>
            </w:tcBorders>
          </w:tcPr>
          <w:p>
            <w:pPr>
              <w:ind w:left="460"/>
              <w:spacing w:after="0"/>
              <w:rPr>
                <w:sz w:val="20"/>
                <w:szCs w:val="20"/>
                <w:color w:val="auto"/>
              </w:rPr>
            </w:pPr>
            <w:r>
              <w:rPr>
                <w:rFonts w:ascii="Arial" w:cs="Arial" w:eastAsia="Arial" w:hAnsi="Arial"/>
                <w:sz w:val="14"/>
                <w:szCs w:val="14"/>
                <w:color w:val="455986"/>
              </w:rPr>
              <w:t>Objectives</w:t>
            </w:r>
          </w:p>
        </w:tc>
        <w:tc>
          <w:tcPr>
            <w:tcW w:w="0" w:type="dxa"/>
            <w:vAlign w:val="bottom"/>
          </w:tcPr>
          <w:p>
            <w:pPr>
              <w:spacing w:after="0"/>
              <w:rPr>
                <w:sz w:val="1"/>
                <w:szCs w:val="1"/>
                <w:color w:val="auto"/>
              </w:rPr>
            </w:pPr>
          </w:p>
        </w:tc>
      </w:tr>
      <w:tr>
        <w:trPr>
          <w:trHeight w:val="151"/>
        </w:trPr>
        <w:tc>
          <w:tcPr>
            <w:tcW w:w="2140" w:type="dxa"/>
            <w:vAlign w:val="bottom"/>
          </w:tcPr>
          <w:p>
            <w:pPr>
              <w:spacing w:after="0" w:line="151" w:lineRule="exact"/>
              <w:rPr>
                <w:sz w:val="20"/>
                <w:szCs w:val="20"/>
                <w:color w:val="auto"/>
              </w:rPr>
            </w:pPr>
            <w:r>
              <w:rPr>
                <w:rFonts w:ascii="Arial" w:cs="Arial" w:eastAsia="Arial" w:hAnsi="Arial"/>
                <w:sz w:val="14"/>
                <w:szCs w:val="14"/>
                <w:b w:val="1"/>
                <w:bCs w:val="1"/>
                <w:color w:val="455986"/>
              </w:rPr>
              <w:t>Competitively</w:t>
            </w:r>
          </w:p>
        </w:tc>
        <w:tc>
          <w:tcPr>
            <w:tcW w:w="9100" w:type="dxa"/>
            <w:vAlign w:val="bottom"/>
          </w:tcPr>
          <w:p>
            <w:pPr>
              <w:ind w:left="460"/>
              <w:spacing w:after="0" w:line="151" w:lineRule="exact"/>
              <w:rPr>
                <w:sz w:val="20"/>
                <w:szCs w:val="20"/>
                <w:color w:val="auto"/>
              </w:rPr>
            </w:pPr>
            <w:r>
              <w:rPr>
                <w:rFonts w:ascii="Arial" w:cs="Arial" w:eastAsia="Arial" w:hAnsi="Arial"/>
                <w:sz w:val="14"/>
                <w:szCs w:val="14"/>
                <w:color w:val="231F20"/>
              </w:rPr>
              <w:t>Designed to attract and retain named executive officers consistent with their talent and experience; market-based salary increases are</w:t>
            </w:r>
          </w:p>
        </w:tc>
        <w:tc>
          <w:tcPr>
            <w:tcW w:w="0" w:type="dxa"/>
            <w:vAlign w:val="bottom"/>
          </w:tcPr>
          <w:p>
            <w:pPr>
              <w:spacing w:after="0"/>
              <w:rPr>
                <w:sz w:val="1"/>
                <w:szCs w:val="1"/>
                <w:color w:val="auto"/>
              </w:rPr>
            </w:pPr>
          </w:p>
        </w:tc>
      </w:tr>
      <w:tr>
        <w:trPr>
          <w:trHeight w:val="153"/>
        </w:trPr>
        <w:tc>
          <w:tcPr>
            <w:tcW w:w="2140" w:type="dxa"/>
            <w:vAlign w:val="bottom"/>
          </w:tcPr>
          <w:p>
            <w:pPr>
              <w:spacing w:after="0" w:line="153" w:lineRule="exact"/>
              <w:rPr>
                <w:sz w:val="20"/>
                <w:szCs w:val="20"/>
                <w:color w:val="auto"/>
              </w:rPr>
            </w:pPr>
            <w:r>
              <w:rPr>
                <w:rFonts w:ascii="Arial" w:cs="Arial" w:eastAsia="Arial" w:hAnsi="Arial"/>
                <w:sz w:val="14"/>
                <w:szCs w:val="14"/>
                <w:b w:val="1"/>
                <w:bCs w:val="1"/>
                <w:color w:val="455986"/>
              </w:rPr>
              <w:t>benchmarked base</w:t>
            </w:r>
          </w:p>
        </w:tc>
        <w:tc>
          <w:tcPr>
            <w:tcW w:w="9100" w:type="dxa"/>
            <w:vAlign w:val="bottom"/>
          </w:tcPr>
          <w:p>
            <w:pPr>
              <w:ind w:left="460"/>
              <w:spacing w:after="0" w:line="153" w:lineRule="exact"/>
              <w:rPr>
                <w:sz w:val="20"/>
                <w:szCs w:val="20"/>
                <w:color w:val="auto"/>
              </w:rPr>
            </w:pPr>
            <w:r>
              <w:rPr>
                <w:rFonts w:ascii="Arial" w:cs="Arial" w:eastAsia="Arial" w:hAnsi="Arial"/>
                <w:sz w:val="14"/>
                <w:szCs w:val="14"/>
                <w:color w:val="231F20"/>
              </w:rPr>
              <w:t>designed to recognize the executives’ performance of their duties and responsibilities; and promotions and related salary increases are</w:t>
            </w:r>
          </w:p>
        </w:tc>
        <w:tc>
          <w:tcPr>
            <w:tcW w:w="0" w:type="dxa"/>
            <w:vAlign w:val="bottom"/>
          </w:tcPr>
          <w:p>
            <w:pPr>
              <w:spacing w:after="0"/>
              <w:rPr>
                <w:sz w:val="1"/>
                <w:szCs w:val="1"/>
                <w:color w:val="auto"/>
              </w:rPr>
            </w:pPr>
          </w:p>
        </w:tc>
      </w:tr>
      <w:tr>
        <w:trPr>
          <w:trHeight w:val="202"/>
        </w:trPr>
        <w:tc>
          <w:tcPr>
            <w:tcW w:w="2140" w:type="dxa"/>
            <w:vAlign w:val="bottom"/>
            <w:tcBorders>
              <w:bottom w:val="single" w:sz="8" w:color="231F20"/>
            </w:tcBorders>
          </w:tcPr>
          <w:p>
            <w:pPr>
              <w:spacing w:after="0"/>
              <w:rPr>
                <w:sz w:val="20"/>
                <w:szCs w:val="20"/>
                <w:color w:val="auto"/>
              </w:rPr>
            </w:pPr>
            <w:r>
              <w:rPr>
                <w:rFonts w:ascii="Arial" w:cs="Arial" w:eastAsia="Arial" w:hAnsi="Arial"/>
                <w:sz w:val="14"/>
                <w:szCs w:val="14"/>
                <w:b w:val="1"/>
                <w:bCs w:val="1"/>
                <w:color w:val="455986"/>
              </w:rPr>
              <w:t>salaries</w:t>
            </w:r>
          </w:p>
        </w:tc>
        <w:tc>
          <w:tcPr>
            <w:tcW w:w="9100" w:type="dxa"/>
            <w:vAlign w:val="bottom"/>
            <w:tcBorders>
              <w:bottom w:val="single" w:sz="8" w:color="231F20"/>
            </w:tcBorders>
          </w:tcPr>
          <w:p>
            <w:pPr>
              <w:ind w:left="460"/>
              <w:spacing w:after="0"/>
              <w:rPr>
                <w:sz w:val="20"/>
                <w:szCs w:val="20"/>
                <w:color w:val="auto"/>
              </w:rPr>
            </w:pPr>
            <w:r>
              <w:rPr>
                <w:rFonts w:ascii="Arial" w:cs="Arial" w:eastAsia="Arial" w:hAnsi="Arial"/>
                <w:sz w:val="14"/>
                <w:szCs w:val="14"/>
                <w:color w:val="231F20"/>
              </w:rPr>
              <w:t>designed to encourage executives to assume increased job duties and responsibilities.</w:t>
            </w:r>
          </w:p>
        </w:tc>
        <w:tc>
          <w:tcPr>
            <w:tcW w:w="0" w:type="dxa"/>
            <w:vAlign w:val="bottom"/>
          </w:tcPr>
          <w:p>
            <w:pPr>
              <w:spacing w:after="0"/>
              <w:rPr>
                <w:sz w:val="1"/>
                <w:szCs w:val="1"/>
                <w:color w:val="auto"/>
              </w:rPr>
            </w:pPr>
          </w:p>
        </w:tc>
      </w:tr>
      <w:tr>
        <w:trPr>
          <w:trHeight w:val="148"/>
        </w:trPr>
        <w:tc>
          <w:tcPr>
            <w:tcW w:w="2140" w:type="dxa"/>
            <w:vAlign w:val="bottom"/>
          </w:tcPr>
          <w:p>
            <w:pPr>
              <w:spacing w:after="0" w:line="148" w:lineRule="exact"/>
              <w:rPr>
                <w:sz w:val="20"/>
                <w:szCs w:val="20"/>
                <w:color w:val="auto"/>
              </w:rPr>
            </w:pPr>
            <w:r>
              <w:rPr>
                <w:rFonts w:ascii="Arial" w:cs="Arial" w:eastAsia="Arial" w:hAnsi="Arial"/>
                <w:sz w:val="14"/>
                <w:szCs w:val="14"/>
                <w:b w:val="1"/>
                <w:bCs w:val="1"/>
                <w:color w:val="455986"/>
              </w:rPr>
              <w:t>Short-term incentives</w:t>
            </w:r>
          </w:p>
        </w:tc>
        <w:tc>
          <w:tcPr>
            <w:tcW w:w="9100" w:type="dxa"/>
            <w:vAlign w:val="bottom"/>
          </w:tcPr>
          <w:p>
            <w:pPr>
              <w:ind w:left="460"/>
              <w:spacing w:after="0" w:line="148" w:lineRule="exact"/>
              <w:rPr>
                <w:sz w:val="20"/>
                <w:szCs w:val="20"/>
                <w:color w:val="auto"/>
              </w:rPr>
            </w:pPr>
            <w:r>
              <w:rPr>
                <w:rFonts w:ascii="Arial" w:cs="Arial" w:eastAsia="Arial" w:hAnsi="Arial"/>
                <w:sz w:val="14"/>
                <w:szCs w:val="14"/>
                <w:color w:val="231F20"/>
              </w:rPr>
              <w:t>Intended to reward executives for:</w:t>
            </w:r>
          </w:p>
        </w:tc>
        <w:tc>
          <w:tcPr>
            <w:tcW w:w="0" w:type="dxa"/>
            <w:vAlign w:val="bottom"/>
          </w:tcPr>
          <w:p>
            <w:pPr>
              <w:spacing w:after="0"/>
              <w:rPr>
                <w:sz w:val="1"/>
                <w:szCs w:val="1"/>
                <w:color w:val="auto"/>
              </w:rPr>
            </w:pPr>
          </w:p>
        </w:tc>
      </w:tr>
      <w:tr>
        <w:trPr>
          <w:trHeight w:val="153"/>
        </w:trPr>
        <w:tc>
          <w:tcPr>
            <w:tcW w:w="2140" w:type="dxa"/>
            <w:vAlign w:val="bottom"/>
          </w:tcPr>
          <w:p>
            <w:pPr>
              <w:spacing w:after="0" w:line="153" w:lineRule="exact"/>
              <w:rPr>
                <w:sz w:val="20"/>
                <w:szCs w:val="20"/>
                <w:color w:val="auto"/>
              </w:rPr>
            </w:pPr>
            <w:r>
              <w:rPr>
                <w:rFonts w:ascii="Arial" w:cs="Arial" w:eastAsia="Arial" w:hAnsi="Arial"/>
                <w:sz w:val="14"/>
                <w:szCs w:val="14"/>
                <w:b w:val="1"/>
                <w:bCs w:val="1"/>
                <w:color w:val="455986"/>
              </w:rPr>
              <w:t>or annual cash incentive</w:t>
            </w:r>
          </w:p>
        </w:tc>
        <w:tc>
          <w:tcPr>
            <w:tcW w:w="9100" w:type="dxa"/>
            <w:vAlign w:val="bottom"/>
            <w:vMerge w:val="restart"/>
          </w:tcPr>
          <w:p>
            <w:pPr>
              <w:ind w:left="460"/>
              <w:spacing w:after="0"/>
              <w:rPr>
                <w:sz w:val="20"/>
                <w:szCs w:val="20"/>
                <w:color w:val="auto"/>
              </w:rPr>
            </w:pPr>
            <w:r>
              <w:rPr>
                <w:rFonts w:ascii="Arial" w:cs="Arial" w:eastAsia="Arial" w:hAnsi="Arial"/>
                <w:sz w:val="14"/>
                <w:szCs w:val="14"/>
                <w:color w:val="455986"/>
              </w:rPr>
              <w:t xml:space="preserve">•  </w:t>
            </w:r>
            <w:r>
              <w:rPr>
                <w:rFonts w:ascii="Arial" w:cs="Arial" w:eastAsia="Arial" w:hAnsi="Arial"/>
                <w:sz w:val="14"/>
                <w:szCs w:val="14"/>
                <w:color w:val="231F20"/>
              </w:rPr>
              <w:t>improving the quality of service to our customers;</w:t>
            </w:r>
          </w:p>
        </w:tc>
        <w:tc>
          <w:tcPr>
            <w:tcW w:w="0" w:type="dxa"/>
            <w:vAlign w:val="bottom"/>
          </w:tcPr>
          <w:p>
            <w:pPr>
              <w:spacing w:after="0"/>
              <w:rPr>
                <w:sz w:val="1"/>
                <w:szCs w:val="1"/>
                <w:color w:val="auto"/>
              </w:rPr>
            </w:pPr>
          </w:p>
        </w:tc>
      </w:tr>
      <w:tr>
        <w:trPr>
          <w:trHeight w:val="120"/>
        </w:trPr>
        <w:tc>
          <w:tcPr>
            <w:tcW w:w="2140" w:type="dxa"/>
            <w:vAlign w:val="bottom"/>
            <w:vMerge w:val="restart"/>
          </w:tcPr>
          <w:p>
            <w:pPr>
              <w:spacing w:after="0"/>
              <w:rPr>
                <w:sz w:val="20"/>
                <w:szCs w:val="20"/>
                <w:color w:val="auto"/>
              </w:rPr>
            </w:pPr>
            <w:r>
              <w:rPr>
                <w:rFonts w:ascii="Arial" w:cs="Arial" w:eastAsia="Arial" w:hAnsi="Arial"/>
                <w:sz w:val="14"/>
                <w:szCs w:val="14"/>
                <w:b w:val="1"/>
                <w:bCs w:val="1"/>
                <w:color w:val="455986"/>
              </w:rPr>
              <w:t>awards</w:t>
            </w:r>
          </w:p>
        </w:tc>
        <w:tc>
          <w:tcPr>
            <w:tcW w:w="91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85"/>
        </w:trPr>
        <w:tc>
          <w:tcPr>
            <w:tcW w:w="2140" w:type="dxa"/>
            <w:vAlign w:val="bottom"/>
            <w:vMerge w:val="continue"/>
          </w:tcPr>
          <w:p>
            <w:pPr>
              <w:spacing w:after="0"/>
              <w:rPr>
                <w:sz w:val="7"/>
                <w:szCs w:val="7"/>
                <w:color w:val="auto"/>
              </w:rPr>
            </w:pPr>
          </w:p>
        </w:tc>
        <w:tc>
          <w:tcPr>
            <w:tcW w:w="9100" w:type="dxa"/>
            <w:vAlign w:val="bottom"/>
            <w:vMerge w:val="restart"/>
          </w:tcPr>
          <w:p>
            <w:pPr>
              <w:ind w:left="460"/>
              <w:spacing w:after="0"/>
              <w:rPr>
                <w:sz w:val="20"/>
                <w:szCs w:val="20"/>
                <w:color w:val="auto"/>
              </w:rPr>
            </w:pPr>
            <w:r>
              <w:rPr>
                <w:rFonts w:ascii="Arial" w:cs="Arial" w:eastAsia="Arial" w:hAnsi="Arial"/>
                <w:sz w:val="14"/>
                <w:szCs w:val="14"/>
                <w:color w:val="455986"/>
              </w:rPr>
              <w:t xml:space="preserve">•  </w:t>
            </w:r>
            <w:r>
              <w:rPr>
                <w:rFonts w:ascii="Arial" w:cs="Arial" w:eastAsia="Arial" w:hAnsi="Arial"/>
                <w:sz w:val="14"/>
                <w:szCs w:val="14"/>
                <w:color w:val="231F20"/>
              </w:rPr>
              <w:t>controlling the cost of service to our customers by managing expenses and improving performance;</w:t>
            </w:r>
          </w:p>
        </w:tc>
        <w:tc>
          <w:tcPr>
            <w:tcW w:w="0" w:type="dxa"/>
            <w:vAlign w:val="bottom"/>
          </w:tcPr>
          <w:p>
            <w:pPr>
              <w:spacing w:after="0"/>
              <w:rPr>
                <w:sz w:val="1"/>
                <w:szCs w:val="1"/>
                <w:color w:val="auto"/>
              </w:rPr>
            </w:pPr>
          </w:p>
        </w:tc>
      </w:tr>
      <w:tr>
        <w:trPr>
          <w:trHeight w:val="158"/>
        </w:trPr>
        <w:tc>
          <w:tcPr>
            <w:tcW w:w="2140" w:type="dxa"/>
            <w:vAlign w:val="bottom"/>
          </w:tcPr>
          <w:p>
            <w:pPr>
              <w:spacing w:after="0"/>
              <w:rPr>
                <w:sz w:val="13"/>
                <w:szCs w:val="13"/>
                <w:color w:val="auto"/>
              </w:rPr>
            </w:pPr>
          </w:p>
        </w:tc>
        <w:tc>
          <w:tcPr>
            <w:tcW w:w="91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1"/>
        </w:trPr>
        <w:tc>
          <w:tcPr>
            <w:tcW w:w="2140" w:type="dxa"/>
            <w:vAlign w:val="bottom"/>
          </w:tcPr>
          <w:p>
            <w:pPr>
              <w:spacing w:after="0"/>
              <w:rPr>
                <w:sz w:val="17"/>
                <w:szCs w:val="17"/>
                <w:color w:val="auto"/>
              </w:rPr>
            </w:pPr>
          </w:p>
        </w:tc>
        <w:tc>
          <w:tcPr>
            <w:tcW w:w="9100" w:type="dxa"/>
            <w:vAlign w:val="bottom"/>
          </w:tcPr>
          <w:p>
            <w:pPr>
              <w:ind w:left="460"/>
              <w:spacing w:after="0"/>
              <w:rPr>
                <w:sz w:val="20"/>
                <w:szCs w:val="20"/>
                <w:color w:val="auto"/>
              </w:rPr>
            </w:pPr>
            <w:r>
              <w:rPr>
                <w:rFonts w:ascii="Arial" w:cs="Arial" w:eastAsia="Arial" w:hAnsi="Arial"/>
                <w:sz w:val="14"/>
                <w:szCs w:val="14"/>
                <w:color w:val="455986"/>
              </w:rPr>
              <w:t xml:space="preserve">•  </w:t>
            </w:r>
            <w:r>
              <w:rPr>
                <w:rFonts w:ascii="Arial" w:cs="Arial" w:eastAsia="Arial" w:hAnsi="Arial"/>
                <w:sz w:val="14"/>
                <w:szCs w:val="14"/>
                <w:color w:val="231F20"/>
              </w:rPr>
              <w:t>achieving economies of scale by the acquisition of additional water and wastewater systems that can benefit from our resources and</w:t>
            </w:r>
          </w:p>
        </w:tc>
        <w:tc>
          <w:tcPr>
            <w:tcW w:w="0" w:type="dxa"/>
            <w:vAlign w:val="bottom"/>
          </w:tcPr>
          <w:p>
            <w:pPr>
              <w:spacing w:after="0"/>
              <w:rPr>
                <w:sz w:val="1"/>
                <w:szCs w:val="1"/>
                <w:color w:val="auto"/>
              </w:rPr>
            </w:pPr>
          </w:p>
        </w:tc>
      </w:tr>
      <w:tr>
        <w:trPr>
          <w:trHeight w:val="195"/>
        </w:trPr>
        <w:tc>
          <w:tcPr>
            <w:tcW w:w="2140" w:type="dxa"/>
            <w:vAlign w:val="bottom"/>
          </w:tcPr>
          <w:p>
            <w:pPr>
              <w:spacing w:after="0"/>
              <w:rPr>
                <w:sz w:val="16"/>
                <w:szCs w:val="16"/>
                <w:color w:val="auto"/>
              </w:rPr>
            </w:pPr>
          </w:p>
        </w:tc>
        <w:tc>
          <w:tcPr>
            <w:tcW w:w="9100" w:type="dxa"/>
            <w:vAlign w:val="bottom"/>
          </w:tcPr>
          <w:p>
            <w:pPr>
              <w:ind w:left="620"/>
              <w:spacing w:after="0"/>
              <w:rPr>
                <w:sz w:val="20"/>
                <w:szCs w:val="20"/>
                <w:color w:val="auto"/>
              </w:rPr>
            </w:pPr>
            <w:r>
              <w:rPr>
                <w:rFonts w:ascii="Arial" w:cs="Arial" w:eastAsia="Arial" w:hAnsi="Arial"/>
                <w:sz w:val="14"/>
                <w:szCs w:val="14"/>
                <w:color w:val="231F20"/>
              </w:rPr>
              <w:t>expertise;</w:t>
            </w:r>
          </w:p>
        </w:tc>
        <w:tc>
          <w:tcPr>
            <w:tcW w:w="0" w:type="dxa"/>
            <w:vAlign w:val="bottom"/>
          </w:tcPr>
          <w:p>
            <w:pPr>
              <w:spacing w:after="0"/>
              <w:rPr>
                <w:sz w:val="1"/>
                <w:szCs w:val="1"/>
                <w:color w:val="auto"/>
              </w:rPr>
            </w:pPr>
          </w:p>
        </w:tc>
      </w:tr>
      <w:tr>
        <w:trPr>
          <w:trHeight w:val="230"/>
        </w:trPr>
        <w:tc>
          <w:tcPr>
            <w:tcW w:w="2140" w:type="dxa"/>
            <w:vAlign w:val="bottom"/>
          </w:tcPr>
          <w:p>
            <w:pPr>
              <w:spacing w:after="0"/>
              <w:rPr>
                <w:sz w:val="19"/>
                <w:szCs w:val="19"/>
                <w:color w:val="auto"/>
              </w:rPr>
            </w:pPr>
          </w:p>
        </w:tc>
        <w:tc>
          <w:tcPr>
            <w:tcW w:w="9100" w:type="dxa"/>
            <w:vAlign w:val="bottom"/>
          </w:tcPr>
          <w:p>
            <w:pPr>
              <w:ind w:left="460"/>
              <w:spacing w:after="0"/>
              <w:rPr>
                <w:sz w:val="20"/>
                <w:szCs w:val="20"/>
                <w:color w:val="auto"/>
              </w:rPr>
            </w:pPr>
            <w:r>
              <w:rPr>
                <w:rFonts w:ascii="Arial" w:cs="Arial" w:eastAsia="Arial" w:hAnsi="Arial"/>
                <w:sz w:val="14"/>
                <w:szCs w:val="14"/>
                <w:color w:val="455986"/>
              </w:rPr>
              <w:t xml:space="preserve">•  </w:t>
            </w:r>
            <w:r>
              <w:rPr>
                <w:rFonts w:ascii="Arial" w:cs="Arial" w:eastAsia="Arial" w:hAnsi="Arial"/>
                <w:sz w:val="14"/>
                <w:szCs w:val="14"/>
                <w:color w:val="231F20"/>
              </w:rPr>
              <w:t>disposing of under-performing systems where appropriate; and</w:t>
            </w:r>
          </w:p>
        </w:tc>
        <w:tc>
          <w:tcPr>
            <w:tcW w:w="0" w:type="dxa"/>
            <w:vAlign w:val="bottom"/>
          </w:tcPr>
          <w:p>
            <w:pPr>
              <w:spacing w:after="0"/>
              <w:rPr>
                <w:sz w:val="1"/>
                <w:szCs w:val="1"/>
                <w:color w:val="auto"/>
              </w:rPr>
            </w:pPr>
          </w:p>
        </w:tc>
      </w:tr>
      <w:tr>
        <w:trPr>
          <w:trHeight w:val="245"/>
        </w:trPr>
        <w:tc>
          <w:tcPr>
            <w:tcW w:w="2140" w:type="dxa"/>
            <w:vAlign w:val="bottom"/>
            <w:tcBorders>
              <w:bottom w:val="single" w:sz="8" w:color="231F20"/>
            </w:tcBorders>
          </w:tcPr>
          <w:p>
            <w:pPr>
              <w:spacing w:after="0"/>
              <w:rPr>
                <w:sz w:val="21"/>
                <w:szCs w:val="21"/>
                <w:color w:val="auto"/>
              </w:rPr>
            </w:pPr>
          </w:p>
        </w:tc>
        <w:tc>
          <w:tcPr>
            <w:tcW w:w="9100" w:type="dxa"/>
            <w:vAlign w:val="bottom"/>
            <w:tcBorders>
              <w:bottom w:val="single" w:sz="8" w:color="231F20"/>
            </w:tcBorders>
          </w:tcPr>
          <w:p>
            <w:pPr>
              <w:ind w:left="460"/>
              <w:spacing w:after="0"/>
              <w:rPr>
                <w:sz w:val="20"/>
                <w:szCs w:val="20"/>
                <w:color w:val="auto"/>
              </w:rPr>
            </w:pPr>
            <w:r>
              <w:rPr>
                <w:rFonts w:ascii="Arial" w:cs="Arial" w:eastAsia="Arial" w:hAnsi="Arial"/>
                <w:sz w:val="14"/>
                <w:szCs w:val="14"/>
                <w:color w:val="455986"/>
              </w:rPr>
              <w:t xml:space="preserve">•  </w:t>
            </w:r>
            <w:r>
              <w:rPr>
                <w:rFonts w:ascii="Arial" w:cs="Arial" w:eastAsia="Arial" w:hAnsi="Arial"/>
                <w:sz w:val="14"/>
                <w:szCs w:val="14"/>
                <w:color w:val="231F20"/>
              </w:rPr>
              <w:t>enhancing our financial viability and performance by the achievement of annual objectives.</w:t>
            </w:r>
          </w:p>
        </w:tc>
        <w:tc>
          <w:tcPr>
            <w:tcW w:w="0" w:type="dxa"/>
            <w:vAlign w:val="bottom"/>
          </w:tcPr>
          <w:p>
            <w:pPr>
              <w:spacing w:after="0"/>
              <w:rPr>
                <w:sz w:val="1"/>
                <w:szCs w:val="1"/>
                <w:color w:val="auto"/>
              </w:rPr>
            </w:pPr>
          </w:p>
        </w:tc>
      </w:tr>
      <w:tr>
        <w:trPr>
          <w:trHeight w:val="151"/>
        </w:trPr>
        <w:tc>
          <w:tcPr>
            <w:tcW w:w="2140" w:type="dxa"/>
            <w:vAlign w:val="bottom"/>
          </w:tcPr>
          <w:p>
            <w:pPr>
              <w:spacing w:after="0" w:line="151" w:lineRule="exact"/>
              <w:rPr>
                <w:sz w:val="20"/>
                <w:szCs w:val="20"/>
                <w:color w:val="auto"/>
              </w:rPr>
            </w:pPr>
            <w:r>
              <w:rPr>
                <w:rFonts w:ascii="Arial" w:cs="Arial" w:eastAsia="Arial" w:hAnsi="Arial"/>
                <w:sz w:val="14"/>
                <w:szCs w:val="14"/>
                <w:b w:val="1"/>
                <w:bCs w:val="1"/>
                <w:color w:val="455986"/>
              </w:rPr>
              <w:t>Long-term equity</w:t>
            </w:r>
          </w:p>
        </w:tc>
        <w:tc>
          <w:tcPr>
            <w:tcW w:w="9100" w:type="dxa"/>
            <w:vAlign w:val="bottom"/>
          </w:tcPr>
          <w:p>
            <w:pPr>
              <w:ind w:left="460"/>
              <w:spacing w:after="0" w:line="151" w:lineRule="exact"/>
              <w:rPr>
                <w:sz w:val="20"/>
                <w:szCs w:val="20"/>
                <w:color w:val="auto"/>
              </w:rPr>
            </w:pPr>
            <w:r>
              <w:rPr>
                <w:rFonts w:ascii="Arial" w:cs="Arial" w:eastAsia="Arial" w:hAnsi="Arial"/>
                <w:sz w:val="14"/>
                <w:szCs w:val="14"/>
                <w:color w:val="231F20"/>
              </w:rPr>
              <w:t>Designed to reward named executive officers for:</w:t>
            </w:r>
          </w:p>
        </w:tc>
        <w:tc>
          <w:tcPr>
            <w:tcW w:w="0" w:type="dxa"/>
            <w:vAlign w:val="bottom"/>
          </w:tcPr>
          <w:p>
            <w:pPr>
              <w:spacing w:after="0"/>
              <w:rPr>
                <w:sz w:val="1"/>
                <w:szCs w:val="1"/>
                <w:color w:val="auto"/>
              </w:rPr>
            </w:pPr>
          </w:p>
        </w:tc>
      </w:tr>
      <w:tr>
        <w:trPr>
          <w:trHeight w:val="205"/>
        </w:trPr>
        <w:tc>
          <w:tcPr>
            <w:tcW w:w="2140" w:type="dxa"/>
            <w:vAlign w:val="bottom"/>
          </w:tcPr>
          <w:p>
            <w:pPr>
              <w:spacing w:after="0"/>
              <w:rPr>
                <w:sz w:val="20"/>
                <w:szCs w:val="20"/>
                <w:color w:val="auto"/>
              </w:rPr>
            </w:pPr>
            <w:r>
              <w:rPr>
                <w:rFonts w:ascii="Arial" w:cs="Arial" w:eastAsia="Arial" w:hAnsi="Arial"/>
                <w:sz w:val="14"/>
                <w:szCs w:val="14"/>
                <w:b w:val="1"/>
                <w:bCs w:val="1"/>
                <w:color w:val="455986"/>
              </w:rPr>
              <w:t>incentives</w:t>
            </w:r>
          </w:p>
        </w:tc>
        <w:tc>
          <w:tcPr>
            <w:tcW w:w="9100" w:type="dxa"/>
            <w:vAlign w:val="bottom"/>
            <w:vMerge w:val="restart"/>
          </w:tcPr>
          <w:p>
            <w:pPr>
              <w:ind w:left="460"/>
              <w:spacing w:after="0"/>
              <w:rPr>
                <w:sz w:val="20"/>
                <w:szCs w:val="20"/>
                <w:color w:val="auto"/>
              </w:rPr>
            </w:pPr>
            <w:r>
              <w:rPr>
                <w:rFonts w:ascii="Arial" w:cs="Arial" w:eastAsia="Arial" w:hAnsi="Arial"/>
                <w:sz w:val="14"/>
                <w:szCs w:val="14"/>
                <w:color w:val="455986"/>
              </w:rPr>
              <w:t xml:space="preserve">•  </w:t>
            </w:r>
            <w:r>
              <w:rPr>
                <w:rFonts w:ascii="Arial" w:cs="Arial" w:eastAsia="Arial" w:hAnsi="Arial"/>
                <w:sz w:val="14"/>
                <w:szCs w:val="14"/>
                <w:color w:val="231F20"/>
              </w:rPr>
              <w:t>enhancing our financial health, which also benefits our customers;</w:t>
            </w:r>
          </w:p>
        </w:tc>
        <w:tc>
          <w:tcPr>
            <w:tcW w:w="0" w:type="dxa"/>
            <w:vAlign w:val="bottom"/>
          </w:tcPr>
          <w:p>
            <w:pPr>
              <w:spacing w:after="0"/>
              <w:rPr>
                <w:sz w:val="1"/>
                <w:szCs w:val="1"/>
                <w:color w:val="auto"/>
              </w:rPr>
            </w:pPr>
          </w:p>
        </w:tc>
      </w:tr>
      <w:tr>
        <w:trPr>
          <w:trHeight w:val="69"/>
        </w:trPr>
        <w:tc>
          <w:tcPr>
            <w:tcW w:w="2140" w:type="dxa"/>
            <w:vAlign w:val="bottom"/>
          </w:tcPr>
          <w:p>
            <w:pPr>
              <w:spacing w:after="0"/>
              <w:rPr>
                <w:sz w:val="5"/>
                <w:szCs w:val="5"/>
                <w:color w:val="auto"/>
              </w:rPr>
            </w:pPr>
          </w:p>
        </w:tc>
        <w:tc>
          <w:tcPr>
            <w:tcW w:w="91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42"/>
        </w:trPr>
        <w:tc>
          <w:tcPr>
            <w:tcW w:w="2140" w:type="dxa"/>
            <w:vAlign w:val="bottom"/>
          </w:tcPr>
          <w:p>
            <w:pPr>
              <w:spacing w:after="0"/>
              <w:rPr>
                <w:sz w:val="21"/>
                <w:szCs w:val="21"/>
                <w:color w:val="auto"/>
              </w:rPr>
            </w:pPr>
          </w:p>
        </w:tc>
        <w:tc>
          <w:tcPr>
            <w:tcW w:w="9100" w:type="dxa"/>
            <w:vAlign w:val="bottom"/>
          </w:tcPr>
          <w:p>
            <w:pPr>
              <w:ind w:left="460"/>
              <w:spacing w:after="0"/>
              <w:rPr>
                <w:sz w:val="20"/>
                <w:szCs w:val="20"/>
                <w:color w:val="auto"/>
              </w:rPr>
            </w:pPr>
            <w:r>
              <w:rPr>
                <w:rFonts w:ascii="Arial" w:cs="Arial" w:eastAsia="Arial" w:hAnsi="Arial"/>
                <w:sz w:val="14"/>
                <w:szCs w:val="14"/>
                <w:color w:val="455986"/>
              </w:rPr>
              <w:t xml:space="preserve">•  </w:t>
            </w:r>
            <w:r>
              <w:rPr>
                <w:rFonts w:ascii="Arial" w:cs="Arial" w:eastAsia="Arial" w:hAnsi="Arial"/>
                <w:sz w:val="14"/>
                <w:szCs w:val="14"/>
                <w:color w:val="231F20"/>
              </w:rPr>
              <w:t>improving our long-term performance through both revenue increases and cost control; and</w:t>
            </w:r>
          </w:p>
        </w:tc>
        <w:tc>
          <w:tcPr>
            <w:tcW w:w="0" w:type="dxa"/>
            <w:vAlign w:val="bottom"/>
          </w:tcPr>
          <w:p>
            <w:pPr>
              <w:spacing w:after="0"/>
              <w:rPr>
                <w:sz w:val="1"/>
                <w:szCs w:val="1"/>
                <w:color w:val="auto"/>
              </w:rPr>
            </w:pPr>
          </w:p>
        </w:tc>
      </w:tr>
      <w:tr>
        <w:trPr>
          <w:trHeight w:val="201"/>
        </w:trPr>
        <w:tc>
          <w:tcPr>
            <w:tcW w:w="2140" w:type="dxa"/>
            <w:vAlign w:val="bottom"/>
          </w:tcPr>
          <w:p>
            <w:pPr>
              <w:spacing w:after="0"/>
              <w:rPr>
                <w:sz w:val="17"/>
                <w:szCs w:val="17"/>
                <w:color w:val="auto"/>
              </w:rPr>
            </w:pPr>
          </w:p>
        </w:tc>
        <w:tc>
          <w:tcPr>
            <w:tcW w:w="9100" w:type="dxa"/>
            <w:vAlign w:val="bottom"/>
          </w:tcPr>
          <w:p>
            <w:pPr>
              <w:ind w:left="460"/>
              <w:spacing w:after="0"/>
              <w:rPr>
                <w:sz w:val="20"/>
                <w:szCs w:val="20"/>
                <w:color w:val="auto"/>
              </w:rPr>
            </w:pPr>
            <w:r>
              <w:rPr>
                <w:rFonts w:ascii="Arial" w:cs="Arial" w:eastAsia="Arial" w:hAnsi="Arial"/>
                <w:sz w:val="14"/>
                <w:szCs w:val="14"/>
                <w:color w:val="455986"/>
              </w:rPr>
              <w:t xml:space="preserve">•  </w:t>
            </w:r>
            <w:r>
              <w:rPr>
                <w:rFonts w:ascii="Arial" w:cs="Arial" w:eastAsia="Arial" w:hAnsi="Arial"/>
                <w:sz w:val="14"/>
                <w:szCs w:val="14"/>
                <w:color w:val="231F20"/>
              </w:rPr>
              <w:t>achieving increases in the Company’s equity and in absolute shareholder value and shareholder value relative to peer companies,</w:t>
            </w:r>
          </w:p>
        </w:tc>
        <w:tc>
          <w:tcPr>
            <w:tcW w:w="0" w:type="dxa"/>
            <w:vAlign w:val="bottom"/>
          </w:tcPr>
          <w:p>
            <w:pPr>
              <w:spacing w:after="0"/>
              <w:rPr>
                <w:sz w:val="1"/>
                <w:szCs w:val="1"/>
                <w:color w:val="auto"/>
              </w:rPr>
            </w:pPr>
          </w:p>
        </w:tc>
      </w:tr>
      <w:tr>
        <w:trPr>
          <w:trHeight w:val="197"/>
        </w:trPr>
        <w:tc>
          <w:tcPr>
            <w:tcW w:w="2140" w:type="dxa"/>
            <w:vAlign w:val="bottom"/>
            <w:tcBorders>
              <w:bottom w:val="single" w:sz="8" w:color="231F20"/>
            </w:tcBorders>
          </w:tcPr>
          <w:p>
            <w:pPr>
              <w:spacing w:after="0"/>
              <w:rPr>
                <w:sz w:val="17"/>
                <w:szCs w:val="17"/>
                <w:color w:val="auto"/>
              </w:rPr>
            </w:pPr>
          </w:p>
        </w:tc>
        <w:tc>
          <w:tcPr>
            <w:tcW w:w="9100" w:type="dxa"/>
            <w:vAlign w:val="bottom"/>
            <w:tcBorders>
              <w:bottom w:val="single" w:sz="8" w:color="231F20"/>
            </w:tcBorders>
          </w:tcPr>
          <w:p>
            <w:pPr>
              <w:ind w:left="620"/>
              <w:spacing w:after="0"/>
              <w:rPr>
                <w:sz w:val="20"/>
                <w:szCs w:val="20"/>
                <w:color w:val="auto"/>
              </w:rPr>
            </w:pPr>
            <w:r>
              <w:rPr>
                <w:rFonts w:ascii="Arial" w:cs="Arial" w:eastAsia="Arial" w:hAnsi="Arial"/>
                <w:sz w:val="14"/>
                <w:szCs w:val="14"/>
                <w:color w:val="231F20"/>
              </w:rPr>
              <w:t>as well as helping to retain executives due to the longer-term nature of these incentives.</w:t>
            </w:r>
          </w:p>
        </w:tc>
        <w:tc>
          <w:tcPr>
            <w:tcW w:w="0" w:type="dxa"/>
            <w:vAlign w:val="bottom"/>
          </w:tcPr>
          <w:p>
            <w:pPr>
              <w:spacing w:after="0"/>
              <w:rPr>
                <w:sz w:val="1"/>
                <w:szCs w:val="1"/>
                <w:color w:val="auto"/>
              </w:rPr>
            </w:pPr>
          </w:p>
        </w:tc>
      </w:tr>
      <w:tr>
        <w:trPr>
          <w:trHeight w:val="199"/>
        </w:trPr>
        <w:tc>
          <w:tcPr>
            <w:tcW w:w="2140" w:type="dxa"/>
            <w:vAlign w:val="bottom"/>
            <w:tcBorders>
              <w:bottom w:val="single" w:sz="8" w:color="231F20"/>
            </w:tcBorders>
          </w:tcPr>
          <w:p>
            <w:pPr>
              <w:spacing w:after="0"/>
              <w:rPr>
                <w:sz w:val="20"/>
                <w:szCs w:val="20"/>
                <w:color w:val="auto"/>
              </w:rPr>
            </w:pPr>
            <w:r>
              <w:rPr>
                <w:rFonts w:ascii="Arial" w:cs="Arial" w:eastAsia="Arial" w:hAnsi="Arial"/>
                <w:sz w:val="14"/>
                <w:szCs w:val="14"/>
                <w:b w:val="1"/>
                <w:bCs w:val="1"/>
                <w:color w:val="455986"/>
              </w:rPr>
              <w:t>Retirement benefits</w:t>
            </w:r>
          </w:p>
        </w:tc>
        <w:tc>
          <w:tcPr>
            <w:tcW w:w="9100" w:type="dxa"/>
            <w:vAlign w:val="bottom"/>
            <w:tcBorders>
              <w:bottom w:val="single" w:sz="8" w:color="231F20"/>
            </w:tcBorders>
          </w:tcPr>
          <w:p>
            <w:pPr>
              <w:ind w:left="460"/>
              <w:spacing w:after="0"/>
              <w:rPr>
                <w:sz w:val="20"/>
                <w:szCs w:val="20"/>
                <w:color w:val="auto"/>
              </w:rPr>
            </w:pPr>
            <w:r>
              <w:rPr>
                <w:rFonts w:ascii="Arial" w:cs="Arial" w:eastAsia="Arial" w:hAnsi="Arial"/>
                <w:sz w:val="14"/>
                <w:szCs w:val="14"/>
                <w:color w:val="231F20"/>
              </w:rPr>
              <w:t>Intended to assist named executive officers to provide income for their retirement.</w:t>
            </w:r>
          </w:p>
        </w:tc>
        <w:tc>
          <w:tcPr>
            <w:tcW w:w="0" w:type="dxa"/>
            <w:vAlign w:val="bottom"/>
          </w:tcPr>
          <w:p>
            <w:pPr>
              <w:spacing w:after="0"/>
              <w:rPr>
                <w:sz w:val="1"/>
                <w:szCs w:val="1"/>
                <w:color w:val="auto"/>
              </w:rPr>
            </w:pPr>
          </w:p>
        </w:tc>
      </w:tr>
      <w:tr>
        <w:trPr>
          <w:trHeight w:val="148"/>
        </w:trPr>
        <w:tc>
          <w:tcPr>
            <w:tcW w:w="2140" w:type="dxa"/>
            <w:vAlign w:val="bottom"/>
          </w:tcPr>
          <w:p>
            <w:pPr>
              <w:spacing w:after="0" w:line="148" w:lineRule="exact"/>
              <w:rPr>
                <w:sz w:val="20"/>
                <w:szCs w:val="20"/>
                <w:color w:val="auto"/>
              </w:rPr>
            </w:pPr>
            <w:r>
              <w:rPr>
                <w:rFonts w:ascii="Arial" w:cs="Arial" w:eastAsia="Arial" w:hAnsi="Arial"/>
                <w:sz w:val="14"/>
                <w:szCs w:val="14"/>
                <w:b w:val="1"/>
                <w:bCs w:val="1"/>
                <w:color w:val="455986"/>
              </w:rPr>
              <w:t>Non-qualified deferred</w:t>
            </w:r>
          </w:p>
        </w:tc>
        <w:tc>
          <w:tcPr>
            <w:tcW w:w="9100" w:type="dxa"/>
            <w:vAlign w:val="bottom"/>
          </w:tcPr>
          <w:p>
            <w:pPr>
              <w:ind w:left="460"/>
              <w:spacing w:after="0" w:line="148" w:lineRule="exact"/>
              <w:rPr>
                <w:sz w:val="20"/>
                <w:szCs w:val="20"/>
                <w:color w:val="auto"/>
              </w:rPr>
            </w:pPr>
            <w:r>
              <w:rPr>
                <w:rFonts w:ascii="Arial" w:cs="Arial" w:eastAsia="Arial" w:hAnsi="Arial"/>
                <w:sz w:val="14"/>
                <w:szCs w:val="14"/>
                <w:color w:val="231F20"/>
              </w:rPr>
              <w:t>Designed to allow eligible executives to manage their financial and tax planning and defer current income until a later date, including</w:t>
            </w:r>
          </w:p>
        </w:tc>
        <w:tc>
          <w:tcPr>
            <w:tcW w:w="0" w:type="dxa"/>
            <w:vAlign w:val="bottom"/>
          </w:tcPr>
          <w:p>
            <w:pPr>
              <w:spacing w:after="0"/>
              <w:rPr>
                <w:sz w:val="1"/>
                <w:szCs w:val="1"/>
                <w:color w:val="auto"/>
              </w:rPr>
            </w:pPr>
          </w:p>
        </w:tc>
      </w:tr>
      <w:tr>
        <w:trPr>
          <w:trHeight w:val="202"/>
        </w:trPr>
        <w:tc>
          <w:tcPr>
            <w:tcW w:w="2140" w:type="dxa"/>
            <w:vAlign w:val="bottom"/>
            <w:tcBorders>
              <w:bottom w:val="single" w:sz="8" w:color="231F20"/>
            </w:tcBorders>
          </w:tcPr>
          <w:p>
            <w:pPr>
              <w:spacing w:after="0"/>
              <w:rPr>
                <w:sz w:val="20"/>
                <w:szCs w:val="20"/>
                <w:color w:val="auto"/>
              </w:rPr>
            </w:pPr>
            <w:r>
              <w:rPr>
                <w:rFonts w:ascii="Arial" w:cs="Arial" w:eastAsia="Arial" w:hAnsi="Arial"/>
                <w:sz w:val="14"/>
                <w:szCs w:val="14"/>
                <w:b w:val="1"/>
                <w:bCs w:val="1"/>
                <w:color w:val="455986"/>
              </w:rPr>
              <w:t>compensation plan</w:t>
            </w:r>
          </w:p>
        </w:tc>
        <w:tc>
          <w:tcPr>
            <w:tcW w:w="9100" w:type="dxa"/>
            <w:vAlign w:val="bottom"/>
            <w:tcBorders>
              <w:bottom w:val="single" w:sz="8" w:color="231F20"/>
            </w:tcBorders>
          </w:tcPr>
          <w:p>
            <w:pPr>
              <w:ind w:left="460"/>
              <w:spacing w:after="0"/>
              <w:rPr>
                <w:sz w:val="20"/>
                <w:szCs w:val="20"/>
                <w:color w:val="auto"/>
              </w:rPr>
            </w:pPr>
            <w:r>
              <w:rPr>
                <w:rFonts w:ascii="Arial" w:cs="Arial" w:eastAsia="Arial" w:hAnsi="Arial"/>
                <w:sz w:val="14"/>
                <w:szCs w:val="14"/>
                <w:color w:val="231F20"/>
              </w:rPr>
              <w:t>following retirement or other separation from employment without an additional contribution from the Company.</w:t>
            </w:r>
          </w:p>
        </w:tc>
        <w:tc>
          <w:tcPr>
            <w:tcW w:w="0" w:type="dxa"/>
            <w:vAlign w:val="bottom"/>
          </w:tcPr>
          <w:p>
            <w:pPr>
              <w:spacing w:after="0"/>
              <w:rPr>
                <w:sz w:val="1"/>
                <w:szCs w:val="1"/>
                <w:color w:val="auto"/>
              </w:rPr>
            </w:pPr>
          </w:p>
        </w:tc>
      </w:tr>
      <w:tr>
        <w:trPr>
          <w:trHeight w:val="148"/>
        </w:trPr>
        <w:tc>
          <w:tcPr>
            <w:tcW w:w="2140" w:type="dxa"/>
            <w:vAlign w:val="bottom"/>
          </w:tcPr>
          <w:p>
            <w:pPr>
              <w:spacing w:after="0" w:line="148" w:lineRule="exact"/>
              <w:rPr>
                <w:sz w:val="20"/>
                <w:szCs w:val="20"/>
                <w:color w:val="auto"/>
              </w:rPr>
            </w:pPr>
            <w:r>
              <w:rPr>
                <w:rFonts w:ascii="Arial" w:cs="Arial" w:eastAsia="Arial" w:hAnsi="Arial"/>
                <w:sz w:val="14"/>
                <w:szCs w:val="14"/>
                <w:b w:val="1"/>
                <w:bCs w:val="1"/>
                <w:color w:val="455986"/>
              </w:rPr>
              <w:t>Double-trigger</w:t>
            </w:r>
          </w:p>
        </w:tc>
        <w:tc>
          <w:tcPr>
            <w:tcW w:w="9100" w:type="dxa"/>
            <w:vAlign w:val="bottom"/>
          </w:tcPr>
          <w:p>
            <w:pPr>
              <w:ind w:left="460"/>
              <w:spacing w:after="0" w:line="148" w:lineRule="exact"/>
              <w:rPr>
                <w:sz w:val="20"/>
                <w:szCs w:val="20"/>
                <w:color w:val="auto"/>
              </w:rPr>
            </w:pPr>
            <w:r>
              <w:rPr>
                <w:rFonts w:ascii="Arial" w:cs="Arial" w:eastAsia="Arial" w:hAnsi="Arial"/>
                <w:sz w:val="14"/>
                <w:szCs w:val="14"/>
                <w:color w:val="231F20"/>
              </w:rPr>
              <w:t>Designed to promote stability and dedication to shareholder value in the event of a fundamental transaction affecting the ownership of</w:t>
            </w:r>
          </w:p>
        </w:tc>
        <w:tc>
          <w:tcPr>
            <w:tcW w:w="0" w:type="dxa"/>
            <w:vAlign w:val="bottom"/>
          </w:tcPr>
          <w:p>
            <w:pPr>
              <w:spacing w:after="0"/>
              <w:rPr>
                <w:sz w:val="1"/>
                <w:szCs w:val="1"/>
                <w:color w:val="auto"/>
              </w:rPr>
            </w:pPr>
          </w:p>
        </w:tc>
      </w:tr>
      <w:tr>
        <w:trPr>
          <w:trHeight w:val="153"/>
        </w:trPr>
        <w:tc>
          <w:tcPr>
            <w:tcW w:w="2140" w:type="dxa"/>
            <w:vAlign w:val="bottom"/>
          </w:tcPr>
          <w:p>
            <w:pPr>
              <w:spacing w:after="0" w:line="153" w:lineRule="exact"/>
              <w:rPr>
                <w:sz w:val="20"/>
                <w:szCs w:val="20"/>
                <w:color w:val="auto"/>
              </w:rPr>
            </w:pPr>
            <w:r>
              <w:rPr>
                <w:rFonts w:ascii="Arial" w:cs="Arial" w:eastAsia="Arial" w:hAnsi="Arial"/>
                <w:sz w:val="14"/>
                <w:szCs w:val="14"/>
                <w:b w:val="1"/>
                <w:bCs w:val="1"/>
                <w:color w:val="455986"/>
              </w:rPr>
              <w:t>Change-in-control</w:t>
            </w:r>
          </w:p>
        </w:tc>
        <w:tc>
          <w:tcPr>
            <w:tcW w:w="9100" w:type="dxa"/>
            <w:vAlign w:val="bottom"/>
          </w:tcPr>
          <w:p>
            <w:pPr>
              <w:ind w:left="460"/>
              <w:spacing w:after="0" w:line="153" w:lineRule="exact"/>
              <w:rPr>
                <w:sz w:val="20"/>
                <w:szCs w:val="20"/>
                <w:color w:val="auto"/>
              </w:rPr>
            </w:pPr>
            <w:r>
              <w:rPr>
                <w:rFonts w:ascii="Arial" w:cs="Arial" w:eastAsia="Arial" w:hAnsi="Arial"/>
                <w:sz w:val="14"/>
                <w:szCs w:val="14"/>
                <w:color w:val="231F20"/>
              </w:rPr>
              <w:t>the Company and to enable the named executive officers to evaluate such a transaction impartially.</w:t>
            </w:r>
          </w:p>
        </w:tc>
        <w:tc>
          <w:tcPr>
            <w:tcW w:w="0" w:type="dxa"/>
            <w:vAlign w:val="bottom"/>
          </w:tcPr>
          <w:p>
            <w:pPr>
              <w:spacing w:after="0"/>
              <w:rPr>
                <w:sz w:val="1"/>
                <w:szCs w:val="1"/>
                <w:color w:val="auto"/>
              </w:rPr>
            </w:pPr>
          </w:p>
        </w:tc>
      </w:tr>
      <w:tr>
        <w:trPr>
          <w:trHeight w:val="202"/>
        </w:trPr>
        <w:tc>
          <w:tcPr>
            <w:tcW w:w="2140" w:type="dxa"/>
            <w:vAlign w:val="bottom"/>
            <w:tcBorders>
              <w:bottom w:val="single" w:sz="8" w:color="231F20"/>
            </w:tcBorders>
          </w:tcPr>
          <w:p>
            <w:pPr>
              <w:spacing w:after="0"/>
              <w:rPr>
                <w:sz w:val="20"/>
                <w:szCs w:val="20"/>
                <w:color w:val="auto"/>
              </w:rPr>
            </w:pPr>
            <w:r>
              <w:rPr>
                <w:rFonts w:ascii="Arial" w:cs="Arial" w:eastAsia="Arial" w:hAnsi="Arial"/>
                <w:sz w:val="14"/>
                <w:szCs w:val="14"/>
                <w:b w:val="1"/>
                <w:bCs w:val="1"/>
                <w:color w:val="455986"/>
              </w:rPr>
              <w:t>agreements</w:t>
            </w:r>
          </w:p>
        </w:tc>
        <w:tc>
          <w:tcPr>
            <w:tcW w:w="9100" w:type="dxa"/>
            <w:vAlign w:val="bottom"/>
            <w:tcBorders>
              <w:bottom w:val="single" w:sz="8" w:color="231F20"/>
            </w:tcBorders>
          </w:tcPr>
          <w:p>
            <w:pPr>
              <w:spacing w:after="0"/>
              <w:rPr>
                <w:sz w:val="17"/>
                <w:szCs w:val="17"/>
                <w:color w:val="auto"/>
              </w:rPr>
            </w:pPr>
          </w:p>
        </w:tc>
        <w:tc>
          <w:tcPr>
            <w:tcW w:w="0" w:type="dxa"/>
            <w:vAlign w:val="bottom"/>
          </w:tcPr>
          <w:p>
            <w:pPr>
              <w:spacing w:after="0"/>
              <w:rPr>
                <w:sz w:val="1"/>
                <w:szCs w:val="1"/>
                <w:color w:val="auto"/>
              </w:rPr>
            </w:pPr>
          </w:p>
        </w:tc>
      </w:tr>
      <w:tr>
        <w:trPr>
          <w:trHeight w:val="148"/>
        </w:trPr>
        <w:tc>
          <w:tcPr>
            <w:tcW w:w="2140" w:type="dxa"/>
            <w:vAlign w:val="bottom"/>
          </w:tcPr>
          <w:p>
            <w:pPr>
              <w:spacing w:after="0" w:line="148" w:lineRule="exact"/>
              <w:rPr>
                <w:sz w:val="20"/>
                <w:szCs w:val="20"/>
                <w:color w:val="auto"/>
              </w:rPr>
            </w:pPr>
            <w:r>
              <w:rPr>
                <w:rFonts w:ascii="Arial" w:cs="Arial" w:eastAsia="Arial" w:hAnsi="Arial"/>
                <w:sz w:val="14"/>
                <w:szCs w:val="14"/>
                <w:b w:val="1"/>
                <w:bCs w:val="1"/>
                <w:color w:val="455986"/>
              </w:rPr>
              <w:t>Stock ownership</w:t>
            </w:r>
          </w:p>
        </w:tc>
        <w:tc>
          <w:tcPr>
            <w:tcW w:w="9100" w:type="dxa"/>
            <w:vAlign w:val="bottom"/>
          </w:tcPr>
          <w:p>
            <w:pPr>
              <w:ind w:left="460"/>
              <w:spacing w:after="0" w:line="148" w:lineRule="exact"/>
              <w:rPr>
                <w:sz w:val="20"/>
                <w:szCs w:val="20"/>
                <w:color w:val="auto"/>
              </w:rPr>
            </w:pPr>
            <w:r>
              <w:rPr>
                <w:rFonts w:ascii="Arial" w:cs="Arial" w:eastAsia="Arial" w:hAnsi="Arial"/>
                <w:sz w:val="14"/>
                <w:szCs w:val="14"/>
                <w:color w:val="231F20"/>
              </w:rPr>
              <w:t>Designed to focus named executive officers on the long-term performance of the Company and align the interests of our executives</w:t>
            </w:r>
          </w:p>
        </w:tc>
        <w:tc>
          <w:tcPr>
            <w:tcW w:w="0" w:type="dxa"/>
            <w:vAlign w:val="bottom"/>
          </w:tcPr>
          <w:p>
            <w:pPr>
              <w:spacing w:after="0"/>
              <w:rPr>
                <w:sz w:val="1"/>
                <w:szCs w:val="1"/>
                <w:color w:val="auto"/>
              </w:rPr>
            </w:pPr>
          </w:p>
        </w:tc>
      </w:tr>
      <w:tr>
        <w:trPr>
          <w:trHeight w:val="202"/>
        </w:trPr>
        <w:tc>
          <w:tcPr>
            <w:tcW w:w="2140" w:type="dxa"/>
            <w:vAlign w:val="bottom"/>
            <w:tcBorders>
              <w:bottom w:val="single" w:sz="8" w:color="455986"/>
            </w:tcBorders>
          </w:tcPr>
          <w:p>
            <w:pPr>
              <w:spacing w:after="0"/>
              <w:rPr>
                <w:sz w:val="20"/>
                <w:szCs w:val="20"/>
                <w:color w:val="auto"/>
              </w:rPr>
            </w:pPr>
            <w:r>
              <w:rPr>
                <w:rFonts w:ascii="Arial" w:cs="Arial" w:eastAsia="Arial" w:hAnsi="Arial"/>
                <w:sz w:val="14"/>
                <w:szCs w:val="14"/>
                <w:b w:val="1"/>
                <w:bCs w:val="1"/>
                <w:color w:val="455986"/>
              </w:rPr>
              <w:t>guidelines</w:t>
            </w:r>
          </w:p>
        </w:tc>
        <w:tc>
          <w:tcPr>
            <w:tcW w:w="9100" w:type="dxa"/>
            <w:vAlign w:val="bottom"/>
            <w:tcBorders>
              <w:bottom w:val="single" w:sz="8" w:color="455986"/>
            </w:tcBorders>
          </w:tcPr>
          <w:p>
            <w:pPr>
              <w:ind w:left="460"/>
              <w:spacing w:after="0"/>
              <w:rPr>
                <w:sz w:val="20"/>
                <w:szCs w:val="20"/>
                <w:color w:val="auto"/>
              </w:rPr>
            </w:pPr>
            <w:r>
              <w:rPr>
                <w:rFonts w:ascii="Arial" w:cs="Arial" w:eastAsia="Arial" w:hAnsi="Arial"/>
                <w:sz w:val="14"/>
                <w:szCs w:val="14"/>
                <w:color w:val="231F20"/>
              </w:rPr>
              <w:t>with our shareholders by encouraging named executive officers to maintain a significant ownership interest in the Company.</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113665</wp:posOffset>
            </wp:positionV>
            <wp:extent cx="7139940" cy="825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139940" cy="8255"/>
                    </a:xfrm>
                    <a:prstGeom prst="rect">
                      <a:avLst/>
                    </a:prstGeom>
                    <a:noFill/>
                  </pic:spPr>
                </pic:pic>
              </a:graphicData>
            </a:graphic>
          </wp:anchor>
        </w:drawing>
      </w:r>
    </w:p>
    <w:p>
      <w:pPr>
        <w:spacing w:after="0" w:line="228" w:lineRule="exact"/>
        <w:rPr>
          <w:sz w:val="20"/>
          <w:szCs w:val="20"/>
          <w:color w:val="auto"/>
        </w:rPr>
      </w:pPr>
    </w:p>
    <w:p>
      <w:pPr>
        <w:ind w:left="300" w:hanging="298"/>
        <w:spacing w:after="0"/>
        <w:tabs>
          <w:tab w:leader="none" w:pos="300" w:val="left"/>
        </w:tabs>
        <w:numPr>
          <w:ilvl w:val="0"/>
          <w:numId w:val="97"/>
        </w:numPr>
        <w:rPr>
          <w:rFonts w:ascii="Arial" w:cs="Arial" w:eastAsia="Arial" w:hAnsi="Arial"/>
          <w:sz w:val="15"/>
          <w:szCs w:val="15"/>
          <w:color w:val="455986"/>
        </w:rPr>
      </w:pPr>
      <w:r>
        <w:rPr>
          <w:rFonts w:ascii="Arial" w:cs="Arial" w:eastAsia="Arial" w:hAnsi="Arial"/>
          <w:sz w:val="12"/>
          <w:szCs w:val="12"/>
          <w:color w:val="4395D4"/>
        </w:rPr>
        <w:t xml:space="preserve">ESSENTIAL UTILITIES, INC. </w:t>
      </w:r>
      <w:r>
        <w:rPr>
          <w:rFonts w:ascii="Arial" w:cs="Arial" w:eastAsia="Arial" w:hAnsi="Arial"/>
          <w:sz w:val="12"/>
          <w:szCs w:val="12"/>
          <w:color w:val="455986"/>
        </w:rPr>
        <w:t>2021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316230</wp:posOffset>
            </wp:positionV>
            <wp:extent cx="7139940" cy="2413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139940" cy="24130"/>
                    </a:xfrm>
                    <a:prstGeom prst="rect">
                      <a:avLst/>
                    </a:prstGeom>
                    <a:noFill/>
                  </pic:spPr>
                </pic:pic>
              </a:graphicData>
            </a:graphic>
          </wp:anchor>
        </w:drawing>
      </w:r>
    </w:p>
    <w:p>
      <w:pPr>
        <w:sectPr>
          <w:pgSz w:w="11900" w:h="16838" w:orient="portrait"/>
          <w:cols w:equalWidth="0" w:num="1">
            <w:col w:w="11240"/>
          </w:cols>
          <w:pgMar w:left="320" w:top="637" w:right="339" w:bottom="1440" w:gutter="0" w:footer="0" w:header="0"/>
        </w:sectPr>
      </w:pPr>
    </w:p>
    <w:bookmarkStart w:id="53" w:name="page54"/>
    <w:bookmarkEnd w:id="53"/>
    <w:p>
      <w:pPr>
        <w:spacing w:after="0"/>
        <w:rPr>
          <w:sz w:val="20"/>
          <w:szCs w:val="20"/>
          <w:color w:val="auto"/>
        </w:rPr>
      </w:pPr>
      <w:r>
        <w:rPr>
          <w:rFonts w:ascii="Arial" w:cs="Arial" w:eastAsia="Arial" w:hAnsi="Arial"/>
          <w:sz w:val="14"/>
          <w:szCs w:val="14"/>
          <w:b w:val="1"/>
          <w:bCs w:val="1"/>
          <w:color w:val="455986"/>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27940</wp:posOffset>
            </wp:positionV>
            <wp:extent cx="7139940" cy="825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139940" cy="8255"/>
                    </a:xfrm>
                    <a:prstGeom prst="rect">
                      <a:avLst/>
                    </a:prstGeom>
                    <a:noFill/>
                  </pic:spPr>
                </pic:pic>
              </a:graphicData>
            </a:graphic>
          </wp:anchor>
        </w:drawing>
      </w:r>
    </w:p>
    <w:p>
      <w:pPr>
        <w:spacing w:after="0" w:line="76" w:lineRule="exact"/>
        <w:rPr>
          <w:sz w:val="20"/>
          <w:szCs w:val="20"/>
          <w:color w:val="auto"/>
        </w:rPr>
      </w:pPr>
    </w:p>
    <w:p>
      <w:pPr>
        <w:spacing w:after="0"/>
        <w:rPr>
          <w:sz w:val="20"/>
          <w:szCs w:val="20"/>
          <w:color w:val="auto"/>
        </w:rPr>
      </w:pPr>
      <w:r>
        <w:rPr>
          <w:rFonts w:ascii="Arial" w:cs="Arial" w:eastAsia="Arial" w:hAnsi="Arial"/>
          <w:sz w:val="14"/>
          <w:szCs w:val="14"/>
          <w:color w:val="4395D4"/>
        </w:rPr>
        <w:t xml:space="preserve">Section 3 </w:t>
      </w:r>
      <w:r>
        <w:rPr>
          <w:rFonts w:ascii="Arial" w:cs="Arial" w:eastAsia="Arial" w:hAnsi="Arial"/>
          <w:sz w:val="14"/>
          <w:szCs w:val="14"/>
          <w:color w:val="231F20"/>
        </w:rPr>
        <w:t>2020 Executive Compensation Program</w:t>
      </w:r>
    </w:p>
    <w:p>
      <w:pPr>
        <w:spacing w:after="0" w:line="161" w:lineRule="exact"/>
        <w:rPr>
          <w:sz w:val="20"/>
          <w:szCs w:val="20"/>
          <w:color w:val="auto"/>
        </w:rPr>
      </w:pPr>
    </w:p>
    <w:p>
      <w:pPr>
        <w:spacing w:after="0"/>
        <w:rPr>
          <w:sz w:val="20"/>
          <w:szCs w:val="20"/>
          <w:color w:val="auto"/>
        </w:rPr>
      </w:pPr>
      <w:r>
        <w:rPr>
          <w:rFonts w:ascii="Arial" w:cs="Arial" w:eastAsia="Arial" w:hAnsi="Arial"/>
          <w:sz w:val="20"/>
          <w:szCs w:val="20"/>
          <w:b w:val="1"/>
          <w:bCs w:val="1"/>
          <w:color w:val="231F20"/>
        </w:rPr>
        <w:t>Base Salary</w:t>
      </w:r>
    </w:p>
    <w:p>
      <w:pPr>
        <w:spacing w:after="0" w:line="166" w:lineRule="exact"/>
        <w:rPr>
          <w:sz w:val="20"/>
          <w:szCs w:val="20"/>
          <w:color w:val="auto"/>
        </w:rPr>
      </w:pPr>
    </w:p>
    <w:p>
      <w:pPr>
        <w:ind w:right="120"/>
        <w:spacing w:after="0"/>
        <w:rPr>
          <w:sz w:val="20"/>
          <w:szCs w:val="20"/>
          <w:color w:val="auto"/>
        </w:rPr>
      </w:pPr>
      <w:r>
        <w:rPr>
          <w:rFonts w:ascii="Arial" w:cs="Arial" w:eastAsia="Arial" w:hAnsi="Arial"/>
          <w:sz w:val="14"/>
          <w:szCs w:val="14"/>
          <w:color w:val="231F20"/>
        </w:rPr>
        <w:t>Base salary is designed to provide the named executive officer and all our other employees, with a level of fixed pay that is commensurate with the employee’s role and responsibility. We believe that by delivering base salaries that are reflective of market medians, we are positioned to attract and retain top caliber executives in an increasingly competitive labor market. In 2020, no turnover of the top executive team is indicative of our success in attracting and retaining the executives throughout a significant acquisition and growth process. The Compensation Committee annually reviews the base salaries of the named executive officers as well as all our senior executives, to evaluate whether they are competitive with our industry peers.</w:t>
      </w:r>
    </w:p>
    <w:p>
      <w:pPr>
        <w:spacing w:after="0" w:line="114" w:lineRule="exact"/>
        <w:rPr>
          <w:sz w:val="20"/>
          <w:szCs w:val="20"/>
          <w:color w:val="auto"/>
        </w:rPr>
      </w:pPr>
    </w:p>
    <w:p>
      <w:pPr>
        <w:ind w:right="80"/>
        <w:spacing w:after="0" w:line="245" w:lineRule="auto"/>
        <w:rPr>
          <w:sz w:val="20"/>
          <w:szCs w:val="20"/>
          <w:color w:val="auto"/>
        </w:rPr>
      </w:pPr>
      <w:r>
        <w:rPr>
          <w:rFonts w:ascii="Arial" w:cs="Arial" w:eastAsia="Arial" w:hAnsi="Arial"/>
          <w:sz w:val="14"/>
          <w:szCs w:val="14"/>
          <w:color w:val="231F20"/>
        </w:rPr>
        <w:t>The Compensation Committee determines any base salary changes for the named executive officers based on a combination of factors including competitive peer market pay, level of responsibility, experience, and internal pay equity. Additionally, the Compensation Committee considers recommendations from our CEO, Mr. Franklin, reflecting his assessment of the individual’s performance and their contributions to the achievement of business objectives. Mr. Franklin’s pay is evaluated separately by the Compensation Committee with the final recommendation approved by all the independent members of the Board.</w:t>
      </w:r>
    </w:p>
    <w:p>
      <w:pPr>
        <w:spacing w:after="0" w:line="108" w:lineRule="exact"/>
        <w:rPr>
          <w:sz w:val="20"/>
          <w:szCs w:val="20"/>
          <w:color w:val="auto"/>
        </w:rPr>
      </w:pPr>
    </w:p>
    <w:p>
      <w:pPr>
        <w:spacing w:after="0"/>
        <w:rPr>
          <w:sz w:val="20"/>
          <w:szCs w:val="20"/>
          <w:color w:val="auto"/>
        </w:rPr>
      </w:pPr>
      <w:r>
        <w:rPr>
          <w:rFonts w:ascii="Arial" w:cs="Arial" w:eastAsia="Arial" w:hAnsi="Arial"/>
          <w:sz w:val="14"/>
          <w:szCs w:val="14"/>
          <w:color w:val="231F20"/>
        </w:rPr>
        <w:t>A competitive base salary is necessary to attract and retain a talented and experienced workforce. Actual salaries for the named executive officers, other than the Chief Executive Officer whose salary is determined by the Board of Directors using the same criteria, are determined by the Compensation Committee by considering both the market median rate for the position and internal equity with both the other named executive officers and other employees of the Company. The Compensation Committee’s goal is to maintain base salaries generally in line with the market median rate over time for each of the named executive officers, although deviations from this goal may occur due to promotions.</w:t>
      </w:r>
    </w:p>
    <w:p>
      <w:pPr>
        <w:spacing w:after="0" w:line="275" w:lineRule="exact"/>
        <w:rPr>
          <w:sz w:val="20"/>
          <w:szCs w:val="20"/>
          <w:color w:val="auto"/>
        </w:rPr>
      </w:pPr>
    </w:p>
    <w:p>
      <w:pPr>
        <w:ind w:right="340"/>
        <w:spacing w:after="0" w:line="278" w:lineRule="auto"/>
        <w:rPr>
          <w:sz w:val="20"/>
          <w:szCs w:val="20"/>
          <w:color w:val="auto"/>
        </w:rPr>
      </w:pPr>
      <w:r>
        <w:rPr>
          <w:rFonts w:ascii="Arial" w:cs="Arial" w:eastAsia="Arial" w:hAnsi="Arial"/>
          <w:sz w:val="14"/>
          <w:szCs w:val="14"/>
          <w:color w:val="231F20"/>
        </w:rPr>
        <w:t>Base salaries are considered for adjustment annually and adjustments are based on general movement in external salary levels, changes in the market rate for the named executive officers’ positions, individual performance, internal equity and changes in individual duties and responsibilities.</w:t>
      </w:r>
    </w:p>
    <w:p>
      <w:pPr>
        <w:spacing w:after="0" w:line="83" w:lineRule="exact"/>
        <w:rPr>
          <w:sz w:val="20"/>
          <w:szCs w:val="20"/>
          <w:color w:val="auto"/>
        </w:rPr>
      </w:pPr>
    </w:p>
    <w:p>
      <w:pPr>
        <w:spacing w:after="0"/>
        <w:rPr>
          <w:sz w:val="20"/>
          <w:szCs w:val="20"/>
          <w:color w:val="auto"/>
        </w:rPr>
      </w:pPr>
      <w:r>
        <w:rPr>
          <w:rFonts w:ascii="Arial" w:cs="Arial" w:eastAsia="Arial" w:hAnsi="Arial"/>
          <w:sz w:val="17"/>
          <w:szCs w:val="17"/>
          <w:b w:val="1"/>
          <w:bCs w:val="1"/>
          <w:color w:val="4395D4"/>
        </w:rPr>
        <w:t>NEO 2020 Base Salary</w:t>
      </w:r>
    </w:p>
    <w:p>
      <w:pPr>
        <w:spacing w:after="0" w:line="153" w:lineRule="exact"/>
        <w:rPr>
          <w:sz w:val="20"/>
          <w:szCs w:val="20"/>
          <w:color w:val="auto"/>
        </w:rPr>
      </w:pPr>
    </w:p>
    <w:p>
      <w:pPr>
        <w:ind w:right="160"/>
        <w:spacing w:after="0" w:line="278" w:lineRule="auto"/>
        <w:rPr>
          <w:sz w:val="20"/>
          <w:szCs w:val="20"/>
          <w:color w:val="auto"/>
        </w:rPr>
      </w:pPr>
      <w:r>
        <w:rPr>
          <w:rFonts w:ascii="Arial" w:cs="Arial" w:eastAsia="Arial" w:hAnsi="Arial"/>
          <w:sz w:val="14"/>
          <w:szCs w:val="14"/>
          <w:color w:val="231F20"/>
        </w:rPr>
        <w:t>For 2020, the annual increases to the salaries for the named executive officers reflected these assessments and averaged 7.0% which reflected market salaries based on the addition of Peoples Natural Gas into Essential Utilities.</w:t>
      </w:r>
    </w:p>
    <w:p>
      <w:pPr>
        <w:spacing w:after="0" w:line="86" w:lineRule="exact"/>
        <w:rPr>
          <w:sz w:val="20"/>
          <w:szCs w:val="20"/>
          <w:color w:val="auto"/>
        </w:rPr>
      </w:pPr>
    </w:p>
    <w:p>
      <w:pPr>
        <w:ind w:right="360"/>
        <w:spacing w:after="0" w:line="278" w:lineRule="auto"/>
        <w:rPr>
          <w:sz w:val="20"/>
          <w:szCs w:val="20"/>
          <w:color w:val="auto"/>
        </w:rPr>
      </w:pPr>
      <w:r>
        <w:rPr>
          <w:rFonts w:ascii="Arial" w:cs="Arial" w:eastAsia="Arial" w:hAnsi="Arial"/>
          <w:sz w:val="14"/>
          <w:szCs w:val="14"/>
          <w:color w:val="231F20"/>
        </w:rPr>
        <w:t>The base salaries approved by the Compensation Committee for 2020, effective March 16, 2020, were as follows: Mr. Franklin, $875,000; Mr. Fox, $432,853; Mr. Schuller, $445,512; Mr. Rhodes, $430,921; and Mr. Luning, $385,683.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92710</wp:posOffset>
            </wp:positionV>
            <wp:extent cx="7139940" cy="825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139940" cy="8255"/>
                    </a:xfrm>
                    <a:prstGeom prst="rect">
                      <a:avLst/>
                    </a:prstGeom>
                    <a:noFill/>
                  </pic:spPr>
                </pic:pic>
              </a:graphicData>
            </a:graphic>
          </wp:anchor>
        </w:drawing>
      </w:r>
    </w:p>
    <w:p>
      <w:pPr>
        <w:spacing w:after="0" w:line="172" w:lineRule="exact"/>
        <w:rPr>
          <w:sz w:val="20"/>
          <w:szCs w:val="20"/>
          <w:color w:val="auto"/>
        </w:rPr>
      </w:pPr>
    </w:p>
    <w:p>
      <w:pPr>
        <w:jc w:val="right"/>
        <w:spacing w:after="0"/>
        <w:tabs>
          <w:tab w:leader="none" w:pos="140" w:val="left"/>
        </w:tabs>
        <w:rPr>
          <w:sz w:val="20"/>
          <w:szCs w:val="20"/>
          <w:color w:val="auto"/>
        </w:rPr>
      </w:pPr>
      <w:r>
        <w:rPr>
          <w:rFonts w:ascii="Arial" w:cs="Arial" w:eastAsia="Arial" w:hAnsi="Arial"/>
          <w:sz w:val="12"/>
          <w:szCs w:val="12"/>
          <w:color w:val="4395D4"/>
        </w:rPr>
        <w:t xml:space="preserve">ESSENTIAL UTILITIES, INC. </w:t>
      </w:r>
      <w:r>
        <w:rPr>
          <w:rFonts w:ascii="Arial" w:cs="Arial" w:eastAsia="Arial" w:hAnsi="Arial"/>
          <w:sz w:val="12"/>
          <w:szCs w:val="12"/>
          <w:color w:val="455986"/>
        </w:rPr>
        <w:t>2021 PROXY STATEMENT</w:t>
      </w:r>
      <w:r>
        <w:rPr>
          <w:sz w:val="20"/>
          <w:szCs w:val="20"/>
          <w:color w:val="auto"/>
        </w:rPr>
        <w:tab/>
      </w:r>
      <w:r>
        <w:rPr>
          <w:rFonts w:ascii="Arial" w:cs="Arial" w:eastAsia="Arial" w:hAnsi="Arial"/>
          <w:sz w:val="14"/>
          <w:szCs w:val="14"/>
          <w:color w:val="455986"/>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339090</wp:posOffset>
            </wp:positionV>
            <wp:extent cx="7139940" cy="2413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139940" cy="24130"/>
                    </a:xfrm>
                    <a:prstGeom prst="rect">
                      <a:avLst/>
                    </a:prstGeom>
                    <a:noFill/>
                  </pic:spPr>
                </pic:pic>
              </a:graphicData>
            </a:graphic>
          </wp:anchor>
        </w:drawing>
      </w:r>
    </w:p>
    <w:p>
      <w:pPr>
        <w:sectPr>
          <w:pgSz w:w="11900" w:h="16838" w:orient="portrait"/>
          <w:cols w:equalWidth="0" w:num="1">
            <w:col w:w="11240"/>
          </w:cols>
          <w:pgMar w:left="320" w:top="636" w:right="339" w:bottom="1440" w:gutter="0" w:footer="0" w:header="0"/>
        </w:sectPr>
      </w:pPr>
    </w:p>
    <w:bookmarkStart w:id="54" w:name="page55"/>
    <w:bookmarkEnd w:id="54"/>
    <w:p>
      <w:pPr>
        <w:spacing w:after="0"/>
        <w:rPr>
          <w:sz w:val="20"/>
          <w:szCs w:val="20"/>
          <w:color w:val="auto"/>
        </w:rPr>
      </w:pPr>
      <w:r>
        <w:rPr>
          <w:rFonts w:ascii="Arial" w:cs="Arial" w:eastAsia="Arial" w:hAnsi="Arial"/>
          <w:sz w:val="14"/>
          <w:szCs w:val="14"/>
          <w:b w:val="1"/>
          <w:bCs w:val="1"/>
          <w:color w:val="455986"/>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27940</wp:posOffset>
            </wp:positionV>
            <wp:extent cx="7139940" cy="825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139940" cy="8255"/>
                    </a:xfrm>
                    <a:prstGeom prst="rect">
                      <a:avLst/>
                    </a:prstGeom>
                    <a:noFill/>
                  </pic:spPr>
                </pic:pic>
              </a:graphicData>
            </a:graphic>
          </wp:anchor>
        </w:drawing>
      </w:r>
    </w:p>
    <w:p>
      <w:pPr>
        <w:spacing w:after="0" w:line="76" w:lineRule="exact"/>
        <w:rPr>
          <w:sz w:val="20"/>
          <w:szCs w:val="20"/>
          <w:color w:val="auto"/>
        </w:rPr>
      </w:pPr>
    </w:p>
    <w:p>
      <w:pPr>
        <w:spacing w:after="0"/>
        <w:rPr>
          <w:sz w:val="20"/>
          <w:szCs w:val="20"/>
          <w:color w:val="auto"/>
        </w:rPr>
      </w:pPr>
      <w:r>
        <w:rPr>
          <w:rFonts w:ascii="Arial" w:cs="Arial" w:eastAsia="Arial" w:hAnsi="Arial"/>
          <w:sz w:val="14"/>
          <w:szCs w:val="14"/>
          <w:color w:val="4395D4"/>
        </w:rPr>
        <w:t xml:space="preserve">Section 3 </w:t>
      </w:r>
      <w:r>
        <w:rPr>
          <w:rFonts w:ascii="Arial" w:cs="Arial" w:eastAsia="Arial" w:hAnsi="Arial"/>
          <w:sz w:val="14"/>
          <w:szCs w:val="14"/>
          <w:color w:val="231F20"/>
        </w:rPr>
        <w:t>2020 Executive Compensation Program</w:t>
      </w:r>
    </w:p>
    <w:p>
      <w:pPr>
        <w:spacing w:after="0" w:line="161" w:lineRule="exact"/>
        <w:rPr>
          <w:sz w:val="20"/>
          <w:szCs w:val="20"/>
          <w:color w:val="auto"/>
        </w:rPr>
      </w:pPr>
    </w:p>
    <w:p>
      <w:pPr>
        <w:spacing w:after="0"/>
        <w:rPr>
          <w:sz w:val="20"/>
          <w:szCs w:val="20"/>
          <w:color w:val="auto"/>
        </w:rPr>
      </w:pPr>
      <w:r>
        <w:rPr>
          <w:rFonts w:ascii="Arial" w:cs="Arial" w:eastAsia="Arial" w:hAnsi="Arial"/>
          <w:sz w:val="20"/>
          <w:szCs w:val="20"/>
          <w:b w:val="1"/>
          <w:bCs w:val="1"/>
          <w:color w:val="231F20"/>
        </w:rPr>
        <w:t>Short-Term Incentive Awards</w:t>
      </w:r>
    </w:p>
    <w:p>
      <w:pPr>
        <w:spacing w:after="0" w:line="162" w:lineRule="exact"/>
        <w:rPr>
          <w:sz w:val="20"/>
          <w:szCs w:val="20"/>
          <w:color w:val="auto"/>
        </w:rPr>
      </w:pPr>
    </w:p>
    <w:p>
      <w:pPr>
        <w:spacing w:after="0"/>
        <w:rPr>
          <w:sz w:val="20"/>
          <w:szCs w:val="20"/>
          <w:color w:val="auto"/>
        </w:rPr>
      </w:pPr>
      <w:r>
        <w:rPr>
          <w:rFonts w:ascii="Arial" w:cs="Arial" w:eastAsia="Arial" w:hAnsi="Arial"/>
          <w:sz w:val="17"/>
          <w:szCs w:val="17"/>
          <w:b w:val="1"/>
          <w:bCs w:val="1"/>
          <w:color w:val="4395D4"/>
        </w:rPr>
        <w:t>The 2020 Annual Cash Incentive Awards</w:t>
      </w:r>
    </w:p>
    <w:p>
      <w:pPr>
        <w:spacing w:after="0" w:line="153" w:lineRule="exact"/>
        <w:rPr>
          <w:sz w:val="20"/>
          <w:szCs w:val="20"/>
          <w:color w:val="auto"/>
        </w:rPr>
      </w:pPr>
    </w:p>
    <w:p>
      <w:pPr>
        <w:ind w:right="200"/>
        <w:spacing w:after="0" w:line="278" w:lineRule="auto"/>
        <w:rPr>
          <w:sz w:val="20"/>
          <w:szCs w:val="20"/>
          <w:color w:val="auto"/>
        </w:rPr>
      </w:pPr>
      <w:r>
        <w:rPr>
          <w:rFonts w:ascii="Arial" w:cs="Arial" w:eastAsia="Arial" w:hAnsi="Arial"/>
          <w:sz w:val="14"/>
          <w:szCs w:val="14"/>
          <w:color w:val="231F20"/>
        </w:rPr>
        <w:t>The Annual Cash Incentive Award Plan is a non-equity incentive plan which provides each named executive officer with the opportunity to earn a cash award tied primarily to Company performance against business objectives with a small individual performance element.</w:t>
      </w:r>
    </w:p>
    <w:p>
      <w:pPr>
        <w:spacing w:after="0" w:line="84" w:lineRule="exact"/>
        <w:rPr>
          <w:sz w:val="20"/>
          <w:szCs w:val="20"/>
          <w:color w:val="auto"/>
        </w:rPr>
      </w:pPr>
    </w:p>
    <w:p>
      <w:pPr>
        <w:spacing w:after="0"/>
        <w:rPr>
          <w:sz w:val="20"/>
          <w:szCs w:val="20"/>
          <w:color w:val="auto"/>
        </w:rPr>
      </w:pPr>
      <w:r>
        <w:rPr>
          <w:rFonts w:ascii="Arial" w:cs="Arial" w:eastAsia="Arial" w:hAnsi="Arial"/>
          <w:sz w:val="14"/>
          <w:szCs w:val="14"/>
          <w:b w:val="1"/>
          <w:bCs w:val="1"/>
          <w:color w:val="231F20"/>
        </w:rPr>
        <w:t>A balanced scorecard approach to this cash incentive ensures that all employees work in the best interests of the shareholders, employees, and customers.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2940" w:type="dxa"/>
            <w:vAlign w:val="bottom"/>
            <w:gridSpan w:val="5"/>
          </w:tcPr>
          <w:p>
            <w:pPr>
              <w:spacing w:after="0"/>
              <w:rPr>
                <w:sz w:val="20"/>
                <w:szCs w:val="20"/>
                <w:color w:val="auto"/>
              </w:rPr>
            </w:pPr>
            <w:r>
              <w:rPr>
                <w:rFonts w:ascii="Arial" w:cs="Arial" w:eastAsia="Arial" w:hAnsi="Arial"/>
                <w:sz w:val="14"/>
                <w:szCs w:val="14"/>
                <w:b w:val="1"/>
                <w:bCs w:val="1"/>
                <w:color w:val="455986"/>
              </w:rPr>
              <w:t>Metric/Weighting</w:t>
            </w:r>
          </w:p>
        </w:tc>
        <w:tc>
          <w:tcPr>
            <w:tcW w:w="8300" w:type="dxa"/>
            <w:vAlign w:val="bottom"/>
          </w:tcPr>
          <w:p>
            <w:pPr>
              <w:ind w:left="320"/>
              <w:spacing w:after="0"/>
              <w:rPr>
                <w:sz w:val="20"/>
                <w:szCs w:val="20"/>
                <w:color w:val="auto"/>
              </w:rPr>
            </w:pPr>
            <w:r>
              <w:rPr>
                <w:rFonts w:ascii="Arial" w:cs="Arial" w:eastAsia="Arial" w:hAnsi="Arial"/>
                <w:sz w:val="14"/>
                <w:szCs w:val="14"/>
                <w:b w:val="1"/>
                <w:bCs w:val="1"/>
                <w:color w:val="455986"/>
              </w:rPr>
              <w:t xml:space="preserve">Metric Rationale and Definition </w:t>
            </w:r>
            <w:r>
              <w:rPr>
                <w:rFonts w:ascii="Arial" w:cs="Arial" w:eastAsia="Arial" w:hAnsi="Arial"/>
                <w:sz w:val="14"/>
                <w:szCs w:val="14"/>
                <w:color w:val="455986"/>
              </w:rPr>
              <w:t>Target Performance Range: 50% - 150% of Target</w:t>
            </w:r>
          </w:p>
        </w:tc>
        <w:tc>
          <w:tcPr>
            <w:tcW w:w="0" w:type="dxa"/>
            <w:vAlign w:val="bottom"/>
          </w:tcPr>
          <w:p>
            <w:pPr>
              <w:spacing w:after="0"/>
              <w:rPr>
                <w:sz w:val="1"/>
                <w:szCs w:val="1"/>
                <w:color w:val="auto"/>
              </w:rPr>
            </w:pPr>
          </w:p>
        </w:tc>
      </w:tr>
      <w:tr>
        <w:trPr>
          <w:trHeight w:val="23"/>
        </w:trPr>
        <w:tc>
          <w:tcPr>
            <w:tcW w:w="2940" w:type="dxa"/>
            <w:vAlign w:val="bottom"/>
            <w:tcBorders>
              <w:bottom w:val="single" w:sz="8" w:color="4395D4"/>
            </w:tcBorders>
            <w:gridSpan w:val="5"/>
          </w:tcPr>
          <w:p>
            <w:pPr>
              <w:spacing w:after="0" w:line="20" w:lineRule="exact"/>
              <w:rPr>
                <w:sz w:val="1"/>
                <w:szCs w:val="1"/>
                <w:color w:val="auto"/>
              </w:rPr>
            </w:pPr>
          </w:p>
        </w:tc>
        <w:tc>
          <w:tcPr>
            <w:tcW w:w="8300" w:type="dxa"/>
            <w:vAlign w:val="bottom"/>
            <w:tcBorders>
              <w:bottom w:val="single" w:sz="8" w:color="4395D4"/>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6"/>
        </w:trPr>
        <w:tc>
          <w:tcPr>
            <w:tcW w:w="2940" w:type="dxa"/>
            <w:vAlign w:val="bottom"/>
            <w:gridSpan w:val="5"/>
          </w:tcPr>
          <w:p>
            <w:pPr>
              <w:spacing w:after="0"/>
              <w:rPr>
                <w:sz w:val="20"/>
                <w:szCs w:val="20"/>
                <w:color w:val="auto"/>
              </w:rPr>
            </w:pPr>
            <w:r>
              <w:rPr>
                <w:rFonts w:ascii="Arial" w:cs="Arial" w:eastAsia="Arial" w:hAnsi="Arial"/>
                <w:sz w:val="14"/>
                <w:szCs w:val="14"/>
                <w:b w:val="1"/>
                <w:bCs w:val="1"/>
                <w:color w:val="4395D4"/>
              </w:rPr>
              <w:t xml:space="preserve">50% </w:t>
            </w:r>
            <w:r>
              <w:rPr>
                <w:rFonts w:ascii="Arial" w:cs="Arial" w:eastAsia="Arial" w:hAnsi="Arial"/>
                <w:sz w:val="14"/>
                <w:szCs w:val="14"/>
                <w:color w:val="455986"/>
              </w:rPr>
              <w:t>Financial</w:t>
            </w:r>
          </w:p>
        </w:tc>
        <w:tc>
          <w:tcPr>
            <w:tcW w:w="8300" w:type="dxa"/>
            <w:vAlign w:val="bottom"/>
          </w:tcPr>
          <w:p>
            <w:pPr>
              <w:ind w:left="320"/>
              <w:spacing w:after="0"/>
              <w:rPr>
                <w:sz w:val="20"/>
                <w:szCs w:val="20"/>
                <w:color w:val="auto"/>
              </w:rPr>
            </w:pPr>
            <w:r>
              <w:rPr>
                <w:rFonts w:ascii="Arial" w:cs="Arial" w:eastAsia="Arial" w:hAnsi="Arial"/>
                <w:sz w:val="14"/>
                <w:szCs w:val="14"/>
                <w:color w:val="231F20"/>
              </w:rPr>
              <w:t>Half of the total award funding is based on the financial performance of the overall Company with the majority (35%) based</w:t>
            </w:r>
          </w:p>
        </w:tc>
        <w:tc>
          <w:tcPr>
            <w:tcW w:w="0" w:type="dxa"/>
            <w:vAlign w:val="bottom"/>
          </w:tcPr>
          <w:p>
            <w:pPr>
              <w:spacing w:after="0"/>
              <w:rPr>
                <w:sz w:val="1"/>
                <w:szCs w:val="1"/>
                <w:color w:val="auto"/>
              </w:rPr>
            </w:pPr>
          </w:p>
        </w:tc>
      </w:tr>
      <w:tr>
        <w:trPr>
          <w:trHeight w:val="21"/>
        </w:trPr>
        <w:tc>
          <w:tcPr>
            <w:tcW w:w="8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300" w:type="dxa"/>
            <w:vAlign w:val="bottom"/>
            <w:vMerge w:val="restart"/>
          </w:tcPr>
          <w:p>
            <w:pPr>
              <w:ind w:left="320"/>
              <w:spacing w:after="0"/>
              <w:rPr>
                <w:sz w:val="20"/>
                <w:szCs w:val="20"/>
                <w:color w:val="auto"/>
              </w:rPr>
            </w:pPr>
            <w:r>
              <w:rPr>
                <w:rFonts w:ascii="Arial" w:cs="Arial" w:eastAsia="Arial" w:hAnsi="Arial"/>
                <w:sz w:val="14"/>
                <w:szCs w:val="14"/>
                <w:color w:val="231F20"/>
              </w:rPr>
              <w:t>on Essential Earnings Per Share and 15% based on Return on Equity.</w:t>
            </w:r>
          </w:p>
        </w:tc>
        <w:tc>
          <w:tcPr>
            <w:tcW w:w="0" w:type="dxa"/>
            <w:vAlign w:val="bottom"/>
          </w:tcPr>
          <w:p>
            <w:pPr>
              <w:spacing w:after="0" w:line="20" w:lineRule="exact"/>
              <w:rPr>
                <w:sz w:val="1"/>
                <w:szCs w:val="1"/>
                <w:color w:val="auto"/>
              </w:rPr>
            </w:pPr>
          </w:p>
        </w:tc>
      </w:tr>
      <w:tr>
        <w:trPr>
          <w:trHeight w:val="153"/>
        </w:trPr>
        <w:tc>
          <w:tcPr>
            <w:tcW w:w="80" w:type="dxa"/>
            <w:vAlign w:val="bottom"/>
            <w:shd w:val="clear" w:color="auto" w:fill="2494D8"/>
          </w:tcPr>
          <w:p>
            <w:pPr>
              <w:spacing w:after="0"/>
              <w:rPr>
                <w:sz w:val="13"/>
                <w:szCs w:val="13"/>
                <w:color w:val="auto"/>
              </w:rPr>
            </w:pPr>
          </w:p>
        </w:tc>
        <w:tc>
          <w:tcPr>
            <w:tcW w:w="2100" w:type="dxa"/>
            <w:vAlign w:val="bottom"/>
            <w:shd w:val="clear" w:color="auto" w:fill="2494D8"/>
          </w:tcPr>
          <w:p>
            <w:pPr>
              <w:spacing w:after="0"/>
              <w:rPr>
                <w:sz w:val="13"/>
                <w:szCs w:val="13"/>
                <w:color w:val="auto"/>
              </w:rPr>
            </w:pPr>
          </w:p>
        </w:tc>
        <w:tc>
          <w:tcPr>
            <w:tcW w:w="180" w:type="dxa"/>
            <w:vAlign w:val="bottom"/>
            <w:shd w:val="clear" w:color="auto" w:fill="D1D2D4"/>
          </w:tcPr>
          <w:p>
            <w:pPr>
              <w:spacing w:after="0"/>
              <w:rPr>
                <w:sz w:val="13"/>
                <w:szCs w:val="13"/>
                <w:color w:val="auto"/>
              </w:rPr>
            </w:pPr>
          </w:p>
        </w:tc>
        <w:tc>
          <w:tcPr>
            <w:tcW w:w="180" w:type="dxa"/>
            <w:vAlign w:val="bottom"/>
            <w:shd w:val="clear" w:color="auto" w:fill="D1D2D4"/>
          </w:tcPr>
          <w:p>
            <w:pPr>
              <w:spacing w:after="0"/>
              <w:rPr>
                <w:sz w:val="13"/>
                <w:szCs w:val="13"/>
                <w:color w:val="auto"/>
              </w:rPr>
            </w:pPr>
          </w:p>
        </w:tc>
        <w:tc>
          <w:tcPr>
            <w:tcW w:w="400" w:type="dxa"/>
            <w:vAlign w:val="bottom"/>
            <w:shd w:val="clear" w:color="auto" w:fill="D1D2D4"/>
          </w:tcPr>
          <w:p>
            <w:pPr>
              <w:spacing w:after="0"/>
              <w:rPr>
                <w:sz w:val="13"/>
                <w:szCs w:val="13"/>
                <w:color w:val="auto"/>
              </w:rPr>
            </w:pPr>
          </w:p>
        </w:tc>
        <w:tc>
          <w:tcPr>
            <w:tcW w:w="83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32"/>
        </w:trPr>
        <w:tc>
          <w:tcPr>
            <w:tcW w:w="80" w:type="dxa"/>
            <w:vAlign w:val="bottom"/>
          </w:tcPr>
          <w:p>
            <w:pPr>
              <w:spacing w:after="0" w:line="132" w:lineRule="exact"/>
              <w:rPr>
                <w:sz w:val="20"/>
                <w:szCs w:val="20"/>
                <w:color w:val="auto"/>
              </w:rPr>
            </w:pPr>
            <w:r>
              <w:rPr>
                <w:rFonts w:ascii="Times New Roman" w:cs="Times New Roman" w:eastAsia="Times New Roman" w:hAnsi="Times New Roman"/>
                <w:sz w:val="14"/>
                <w:szCs w:val="14"/>
                <w:color w:val="4395D4"/>
              </w:rPr>
              <w:t>·</w:t>
            </w:r>
          </w:p>
        </w:tc>
        <w:tc>
          <w:tcPr>
            <w:tcW w:w="2860" w:type="dxa"/>
            <w:vAlign w:val="bottom"/>
            <w:gridSpan w:val="4"/>
          </w:tcPr>
          <w:p>
            <w:pPr>
              <w:ind w:left="40"/>
              <w:spacing w:after="0" w:line="132" w:lineRule="exact"/>
              <w:rPr>
                <w:sz w:val="20"/>
                <w:szCs w:val="20"/>
                <w:color w:val="auto"/>
              </w:rPr>
            </w:pPr>
            <w:r>
              <w:rPr>
                <w:rFonts w:ascii="Arial" w:cs="Arial" w:eastAsia="Arial" w:hAnsi="Arial"/>
                <w:sz w:val="14"/>
                <w:szCs w:val="14"/>
                <w:color w:val="231F20"/>
              </w:rPr>
              <w:t>Adjusted Earnings Per Share* 35%</w:t>
            </w:r>
          </w:p>
        </w:tc>
        <w:tc>
          <w:tcPr>
            <w:tcW w:w="8300" w:type="dxa"/>
            <w:vAlign w:val="bottom"/>
            <w:vMerge w:val="restart"/>
          </w:tcPr>
          <w:p>
            <w:pPr>
              <w:ind w:left="320"/>
              <w:spacing w:after="0"/>
              <w:rPr>
                <w:sz w:val="20"/>
                <w:szCs w:val="20"/>
                <w:color w:val="auto"/>
              </w:rPr>
            </w:pPr>
            <w:r>
              <w:rPr>
                <w:rFonts w:ascii="Arial" w:cs="Arial" w:eastAsia="Arial" w:hAnsi="Arial"/>
                <w:sz w:val="14"/>
                <w:szCs w:val="14"/>
                <w:color w:val="231F20"/>
              </w:rPr>
              <w:t>This award measure aligns the executive to results for the shareholders.</w:t>
            </w:r>
          </w:p>
        </w:tc>
        <w:tc>
          <w:tcPr>
            <w:tcW w:w="0" w:type="dxa"/>
            <w:vAlign w:val="bottom"/>
          </w:tcPr>
          <w:p>
            <w:pPr>
              <w:spacing w:after="0"/>
              <w:rPr>
                <w:sz w:val="1"/>
                <w:szCs w:val="1"/>
                <w:color w:val="auto"/>
              </w:rPr>
            </w:pPr>
          </w:p>
        </w:tc>
      </w:tr>
      <w:tr>
        <w:trPr>
          <w:trHeight w:val="118"/>
        </w:trPr>
        <w:tc>
          <w:tcPr>
            <w:tcW w:w="80" w:type="dxa"/>
            <w:vAlign w:val="bottom"/>
            <w:vMerge w:val="restart"/>
          </w:tcPr>
          <w:p>
            <w:pPr>
              <w:spacing w:after="0"/>
              <w:rPr>
                <w:sz w:val="20"/>
                <w:szCs w:val="20"/>
                <w:color w:val="auto"/>
              </w:rPr>
            </w:pPr>
            <w:r>
              <w:rPr>
                <w:rFonts w:ascii="Times New Roman" w:cs="Times New Roman" w:eastAsia="Times New Roman" w:hAnsi="Times New Roman"/>
                <w:sz w:val="14"/>
                <w:szCs w:val="14"/>
                <w:color w:val="4395D4"/>
              </w:rPr>
              <w:t>·</w:t>
            </w:r>
          </w:p>
        </w:tc>
        <w:tc>
          <w:tcPr>
            <w:tcW w:w="2860" w:type="dxa"/>
            <w:vAlign w:val="bottom"/>
            <w:gridSpan w:val="4"/>
            <w:vMerge w:val="restart"/>
          </w:tcPr>
          <w:p>
            <w:pPr>
              <w:ind w:left="40"/>
              <w:spacing w:after="0"/>
              <w:rPr>
                <w:sz w:val="20"/>
                <w:szCs w:val="20"/>
                <w:color w:val="auto"/>
              </w:rPr>
            </w:pPr>
            <w:r>
              <w:rPr>
                <w:rFonts w:ascii="Arial" w:cs="Arial" w:eastAsia="Arial" w:hAnsi="Arial"/>
                <w:sz w:val="14"/>
                <w:szCs w:val="14"/>
                <w:color w:val="231F20"/>
              </w:rPr>
              <w:t>Return on Equity 15%</w:t>
            </w:r>
          </w:p>
        </w:tc>
        <w:tc>
          <w:tcPr>
            <w:tcW w:w="83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77"/>
        </w:trPr>
        <w:tc>
          <w:tcPr>
            <w:tcW w:w="80" w:type="dxa"/>
            <w:vAlign w:val="bottom"/>
            <w:vMerge w:val="continue"/>
          </w:tcPr>
          <w:p>
            <w:pPr>
              <w:spacing w:after="0"/>
              <w:rPr>
                <w:sz w:val="6"/>
                <w:szCs w:val="6"/>
                <w:color w:val="auto"/>
              </w:rPr>
            </w:pPr>
          </w:p>
        </w:tc>
        <w:tc>
          <w:tcPr>
            <w:tcW w:w="2860" w:type="dxa"/>
            <w:vAlign w:val="bottom"/>
            <w:gridSpan w:val="4"/>
            <w:vMerge w:val="continue"/>
          </w:tcPr>
          <w:p>
            <w:pPr>
              <w:spacing w:after="0"/>
              <w:rPr>
                <w:sz w:val="6"/>
                <w:szCs w:val="6"/>
                <w:color w:val="auto"/>
              </w:rPr>
            </w:pPr>
          </w:p>
        </w:tc>
        <w:tc>
          <w:tcPr>
            <w:tcW w:w="83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1"/>
        </w:trPr>
        <w:tc>
          <w:tcPr>
            <w:tcW w:w="2940" w:type="dxa"/>
            <w:vAlign w:val="bottom"/>
            <w:tcBorders>
              <w:bottom w:val="single" w:sz="8" w:color="auto"/>
            </w:tcBorders>
            <w:gridSpan w:val="5"/>
          </w:tcPr>
          <w:p>
            <w:pPr>
              <w:spacing w:after="0"/>
              <w:rPr>
                <w:sz w:val="2"/>
                <w:szCs w:val="2"/>
                <w:color w:val="auto"/>
              </w:rPr>
            </w:pPr>
          </w:p>
        </w:tc>
        <w:tc>
          <w:tcPr>
            <w:tcW w:w="8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6"/>
        </w:trPr>
        <w:tc>
          <w:tcPr>
            <w:tcW w:w="2940" w:type="dxa"/>
            <w:vAlign w:val="bottom"/>
            <w:gridSpan w:val="5"/>
          </w:tcPr>
          <w:p>
            <w:pPr>
              <w:spacing w:after="0"/>
              <w:rPr>
                <w:sz w:val="20"/>
                <w:szCs w:val="20"/>
                <w:color w:val="auto"/>
              </w:rPr>
            </w:pPr>
            <w:r>
              <w:rPr>
                <w:rFonts w:ascii="Arial" w:cs="Arial" w:eastAsia="Arial" w:hAnsi="Arial"/>
                <w:sz w:val="14"/>
                <w:szCs w:val="14"/>
                <w:b w:val="1"/>
                <w:bCs w:val="1"/>
                <w:color w:val="4395D4"/>
              </w:rPr>
              <w:t xml:space="preserve">20% </w:t>
            </w:r>
            <w:r>
              <w:rPr>
                <w:rFonts w:ascii="Arial" w:cs="Arial" w:eastAsia="Arial" w:hAnsi="Arial"/>
                <w:sz w:val="14"/>
                <w:szCs w:val="14"/>
                <w:color w:val="455986"/>
              </w:rPr>
              <w:t>Safety</w:t>
            </w:r>
          </w:p>
        </w:tc>
        <w:tc>
          <w:tcPr>
            <w:tcW w:w="8300" w:type="dxa"/>
            <w:vAlign w:val="bottom"/>
          </w:tcPr>
          <w:p>
            <w:pPr>
              <w:ind w:left="320"/>
              <w:spacing w:after="0"/>
              <w:rPr>
                <w:sz w:val="20"/>
                <w:szCs w:val="20"/>
                <w:color w:val="auto"/>
              </w:rPr>
            </w:pPr>
            <w:r>
              <w:rPr>
                <w:rFonts w:ascii="Arial" w:cs="Arial" w:eastAsia="Arial" w:hAnsi="Arial"/>
                <w:sz w:val="14"/>
                <w:szCs w:val="14"/>
                <w:color w:val="231F20"/>
              </w:rPr>
              <w:t>From the employee perspective, Essential has a strong commitment to safety with an additional 20% of the award based on</w:t>
            </w:r>
          </w:p>
        </w:tc>
        <w:tc>
          <w:tcPr>
            <w:tcW w:w="0" w:type="dxa"/>
            <w:vAlign w:val="bottom"/>
          </w:tcPr>
          <w:p>
            <w:pPr>
              <w:spacing w:after="0"/>
              <w:rPr>
                <w:sz w:val="1"/>
                <w:szCs w:val="1"/>
                <w:color w:val="auto"/>
              </w:rPr>
            </w:pPr>
          </w:p>
        </w:tc>
      </w:tr>
      <w:tr>
        <w:trPr>
          <w:trHeight w:val="72"/>
        </w:trPr>
        <w:tc>
          <w:tcPr>
            <w:tcW w:w="80" w:type="dxa"/>
            <w:vAlign w:val="bottom"/>
          </w:tcPr>
          <w:p>
            <w:pPr>
              <w:spacing w:after="0"/>
              <w:rPr>
                <w:sz w:val="6"/>
                <w:szCs w:val="6"/>
                <w:color w:val="auto"/>
              </w:rPr>
            </w:pPr>
          </w:p>
        </w:tc>
        <w:tc>
          <w:tcPr>
            <w:tcW w:w="2100" w:type="dxa"/>
            <w:vAlign w:val="bottom"/>
          </w:tcPr>
          <w:p>
            <w:pPr>
              <w:spacing w:after="0"/>
              <w:rPr>
                <w:sz w:val="6"/>
                <w:szCs w:val="6"/>
                <w:color w:val="auto"/>
              </w:rPr>
            </w:pPr>
          </w:p>
        </w:tc>
        <w:tc>
          <w:tcPr>
            <w:tcW w:w="180" w:type="dxa"/>
            <w:vAlign w:val="bottom"/>
          </w:tcPr>
          <w:p>
            <w:pPr>
              <w:spacing w:after="0"/>
              <w:rPr>
                <w:sz w:val="6"/>
                <w:szCs w:val="6"/>
                <w:color w:val="auto"/>
              </w:rPr>
            </w:pPr>
          </w:p>
        </w:tc>
        <w:tc>
          <w:tcPr>
            <w:tcW w:w="180" w:type="dxa"/>
            <w:vAlign w:val="bottom"/>
          </w:tcPr>
          <w:p>
            <w:pPr>
              <w:spacing w:after="0"/>
              <w:rPr>
                <w:sz w:val="6"/>
                <w:szCs w:val="6"/>
                <w:color w:val="auto"/>
              </w:rPr>
            </w:pPr>
          </w:p>
        </w:tc>
        <w:tc>
          <w:tcPr>
            <w:tcW w:w="400" w:type="dxa"/>
            <w:vAlign w:val="bottom"/>
          </w:tcPr>
          <w:p>
            <w:pPr>
              <w:spacing w:after="0"/>
              <w:rPr>
                <w:sz w:val="6"/>
                <w:szCs w:val="6"/>
                <w:color w:val="auto"/>
              </w:rPr>
            </w:pPr>
          </w:p>
        </w:tc>
        <w:tc>
          <w:tcPr>
            <w:tcW w:w="8300" w:type="dxa"/>
            <w:vAlign w:val="bottom"/>
            <w:vMerge w:val="restart"/>
          </w:tcPr>
          <w:p>
            <w:pPr>
              <w:ind w:left="320"/>
              <w:spacing w:after="0" w:line="153" w:lineRule="exact"/>
              <w:rPr>
                <w:sz w:val="20"/>
                <w:szCs w:val="20"/>
                <w:color w:val="auto"/>
              </w:rPr>
            </w:pPr>
            <w:r>
              <w:rPr>
                <w:rFonts w:ascii="Arial" w:cs="Arial" w:eastAsia="Arial" w:hAnsi="Arial"/>
                <w:sz w:val="14"/>
                <w:szCs w:val="14"/>
                <w:color w:val="231F20"/>
              </w:rPr>
              <w:t>the ability of the Company to manage OSHA defined lost time incidents and recordable incidents as well as responsible</w:t>
            </w:r>
          </w:p>
        </w:tc>
        <w:tc>
          <w:tcPr>
            <w:tcW w:w="0" w:type="dxa"/>
            <w:vAlign w:val="bottom"/>
          </w:tcPr>
          <w:p>
            <w:pPr>
              <w:spacing w:after="0"/>
              <w:rPr>
                <w:sz w:val="1"/>
                <w:szCs w:val="1"/>
                <w:color w:val="auto"/>
              </w:rPr>
            </w:pPr>
          </w:p>
        </w:tc>
      </w:tr>
      <w:tr>
        <w:trPr>
          <w:trHeight w:val="81"/>
        </w:trPr>
        <w:tc>
          <w:tcPr>
            <w:tcW w:w="80" w:type="dxa"/>
            <w:vAlign w:val="bottom"/>
            <w:shd w:val="clear" w:color="auto" w:fill="D1D2D4"/>
          </w:tcPr>
          <w:p>
            <w:pPr>
              <w:spacing w:after="0"/>
              <w:rPr>
                <w:sz w:val="7"/>
                <w:szCs w:val="7"/>
                <w:color w:val="auto"/>
              </w:rPr>
            </w:pPr>
          </w:p>
        </w:tc>
        <w:tc>
          <w:tcPr>
            <w:tcW w:w="2100" w:type="dxa"/>
            <w:vAlign w:val="bottom"/>
            <w:shd w:val="clear" w:color="auto" w:fill="D1D2D4"/>
          </w:tcPr>
          <w:p>
            <w:pPr>
              <w:spacing w:after="0"/>
              <w:rPr>
                <w:sz w:val="7"/>
                <w:szCs w:val="7"/>
                <w:color w:val="auto"/>
              </w:rPr>
            </w:pPr>
          </w:p>
        </w:tc>
        <w:tc>
          <w:tcPr>
            <w:tcW w:w="180" w:type="dxa"/>
            <w:vAlign w:val="bottom"/>
            <w:shd w:val="clear" w:color="auto" w:fill="2494D8"/>
          </w:tcPr>
          <w:p>
            <w:pPr>
              <w:spacing w:after="0"/>
              <w:rPr>
                <w:sz w:val="7"/>
                <w:szCs w:val="7"/>
                <w:color w:val="auto"/>
              </w:rPr>
            </w:pPr>
          </w:p>
        </w:tc>
        <w:tc>
          <w:tcPr>
            <w:tcW w:w="180" w:type="dxa"/>
            <w:vAlign w:val="bottom"/>
            <w:shd w:val="clear" w:color="auto" w:fill="D1D2D4"/>
          </w:tcPr>
          <w:p>
            <w:pPr>
              <w:spacing w:after="0"/>
              <w:rPr>
                <w:sz w:val="7"/>
                <w:szCs w:val="7"/>
                <w:color w:val="auto"/>
              </w:rPr>
            </w:pPr>
          </w:p>
        </w:tc>
        <w:tc>
          <w:tcPr>
            <w:tcW w:w="400" w:type="dxa"/>
            <w:vAlign w:val="bottom"/>
            <w:shd w:val="clear" w:color="auto" w:fill="D1D2D4"/>
          </w:tcPr>
          <w:p>
            <w:pPr>
              <w:spacing w:after="0"/>
              <w:rPr>
                <w:sz w:val="7"/>
                <w:szCs w:val="7"/>
                <w:color w:val="auto"/>
              </w:rPr>
            </w:pPr>
          </w:p>
        </w:tc>
        <w:tc>
          <w:tcPr>
            <w:tcW w:w="83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23"/>
        </w:trPr>
        <w:tc>
          <w:tcPr>
            <w:tcW w:w="80" w:type="dxa"/>
            <w:vAlign w:val="bottom"/>
            <w:shd w:val="clear" w:color="auto" w:fill="D1D2D4"/>
          </w:tcPr>
          <w:p>
            <w:pPr>
              <w:spacing w:after="0"/>
              <w:rPr>
                <w:sz w:val="10"/>
                <w:szCs w:val="10"/>
                <w:color w:val="auto"/>
              </w:rPr>
            </w:pPr>
          </w:p>
        </w:tc>
        <w:tc>
          <w:tcPr>
            <w:tcW w:w="2100" w:type="dxa"/>
            <w:vAlign w:val="bottom"/>
            <w:shd w:val="clear" w:color="auto" w:fill="D1D2D4"/>
          </w:tcPr>
          <w:p>
            <w:pPr>
              <w:spacing w:after="0"/>
              <w:rPr>
                <w:sz w:val="10"/>
                <w:szCs w:val="10"/>
                <w:color w:val="auto"/>
              </w:rPr>
            </w:pPr>
          </w:p>
        </w:tc>
        <w:tc>
          <w:tcPr>
            <w:tcW w:w="180" w:type="dxa"/>
            <w:vAlign w:val="bottom"/>
            <w:shd w:val="clear" w:color="auto" w:fill="2494D8"/>
          </w:tcPr>
          <w:p>
            <w:pPr>
              <w:spacing w:after="0"/>
              <w:rPr>
                <w:sz w:val="10"/>
                <w:szCs w:val="10"/>
                <w:color w:val="auto"/>
              </w:rPr>
            </w:pPr>
          </w:p>
        </w:tc>
        <w:tc>
          <w:tcPr>
            <w:tcW w:w="180" w:type="dxa"/>
            <w:vAlign w:val="bottom"/>
            <w:shd w:val="clear" w:color="auto" w:fill="D1D2D4"/>
          </w:tcPr>
          <w:p>
            <w:pPr>
              <w:spacing w:after="0"/>
              <w:rPr>
                <w:sz w:val="10"/>
                <w:szCs w:val="10"/>
                <w:color w:val="auto"/>
              </w:rPr>
            </w:pPr>
          </w:p>
        </w:tc>
        <w:tc>
          <w:tcPr>
            <w:tcW w:w="400" w:type="dxa"/>
            <w:vAlign w:val="bottom"/>
            <w:shd w:val="clear" w:color="auto" w:fill="D1D2D4"/>
          </w:tcPr>
          <w:p>
            <w:pPr>
              <w:spacing w:after="0"/>
              <w:rPr>
                <w:sz w:val="10"/>
                <w:szCs w:val="10"/>
                <w:color w:val="auto"/>
              </w:rPr>
            </w:pPr>
          </w:p>
        </w:tc>
        <w:tc>
          <w:tcPr>
            <w:tcW w:w="8300" w:type="dxa"/>
            <w:vAlign w:val="bottom"/>
            <w:vMerge w:val="restart"/>
          </w:tcPr>
          <w:p>
            <w:pPr>
              <w:ind w:left="320"/>
              <w:spacing w:after="0" w:line="153" w:lineRule="exact"/>
              <w:rPr>
                <w:sz w:val="20"/>
                <w:szCs w:val="20"/>
                <w:color w:val="auto"/>
              </w:rPr>
            </w:pPr>
            <w:r>
              <w:rPr>
                <w:rFonts w:ascii="Arial" w:cs="Arial" w:eastAsia="Arial" w:hAnsi="Arial"/>
                <w:sz w:val="14"/>
                <w:szCs w:val="14"/>
                <w:color w:val="231F20"/>
              </w:rPr>
              <w:t>vehicle accident rates, defined as the number of responsible vehicle accident (RVA) during which the driver failed to do</w:t>
            </w:r>
          </w:p>
        </w:tc>
        <w:tc>
          <w:tcPr>
            <w:tcW w:w="0" w:type="dxa"/>
            <w:vAlign w:val="bottom"/>
          </w:tcPr>
          <w:p>
            <w:pPr>
              <w:spacing w:after="0"/>
              <w:rPr>
                <w:sz w:val="1"/>
                <w:szCs w:val="1"/>
                <w:color w:val="auto"/>
              </w:rPr>
            </w:pPr>
          </w:p>
        </w:tc>
      </w:tr>
      <w:tr>
        <w:trPr>
          <w:trHeight w:val="30"/>
        </w:trPr>
        <w:tc>
          <w:tcPr>
            <w:tcW w:w="80" w:type="dxa"/>
            <w:vAlign w:val="bottom"/>
            <w:vMerge w:val="restart"/>
          </w:tcPr>
          <w:p>
            <w:pPr>
              <w:spacing w:after="0"/>
              <w:rPr>
                <w:sz w:val="20"/>
                <w:szCs w:val="20"/>
                <w:color w:val="auto"/>
              </w:rPr>
            </w:pPr>
            <w:r>
              <w:rPr>
                <w:rFonts w:ascii="Times New Roman" w:cs="Times New Roman" w:eastAsia="Times New Roman" w:hAnsi="Times New Roman"/>
                <w:sz w:val="14"/>
                <w:szCs w:val="14"/>
                <w:color w:val="4395D4"/>
              </w:rPr>
              <w:t>·</w:t>
            </w:r>
          </w:p>
        </w:tc>
        <w:tc>
          <w:tcPr>
            <w:tcW w:w="2860" w:type="dxa"/>
            <w:vAlign w:val="bottom"/>
            <w:gridSpan w:val="4"/>
            <w:vMerge w:val="restart"/>
          </w:tcPr>
          <w:p>
            <w:pPr>
              <w:ind w:left="40"/>
              <w:spacing w:after="0"/>
              <w:rPr>
                <w:sz w:val="20"/>
                <w:szCs w:val="20"/>
                <w:color w:val="auto"/>
              </w:rPr>
            </w:pPr>
            <w:r>
              <w:rPr>
                <w:rFonts w:ascii="Arial" w:cs="Arial" w:eastAsia="Arial" w:hAnsi="Arial"/>
                <w:sz w:val="14"/>
                <w:szCs w:val="14"/>
                <w:color w:val="231F20"/>
              </w:rPr>
              <w:t>Lost Time/Restricted Time Incidents</w:t>
            </w:r>
          </w:p>
        </w:tc>
        <w:tc>
          <w:tcPr>
            <w:tcW w:w="830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80" w:type="dxa"/>
            <w:vAlign w:val="bottom"/>
            <w:vMerge w:val="continue"/>
          </w:tcPr>
          <w:p>
            <w:pPr>
              <w:spacing w:after="0"/>
              <w:rPr>
                <w:sz w:val="12"/>
                <w:szCs w:val="12"/>
                <w:color w:val="auto"/>
              </w:rPr>
            </w:pPr>
          </w:p>
        </w:tc>
        <w:tc>
          <w:tcPr>
            <w:tcW w:w="2860" w:type="dxa"/>
            <w:vAlign w:val="bottom"/>
            <w:gridSpan w:val="4"/>
            <w:vMerge w:val="continue"/>
          </w:tcPr>
          <w:p>
            <w:pPr>
              <w:spacing w:after="0"/>
              <w:rPr>
                <w:sz w:val="12"/>
                <w:szCs w:val="12"/>
                <w:color w:val="auto"/>
              </w:rPr>
            </w:pPr>
          </w:p>
        </w:tc>
        <w:tc>
          <w:tcPr>
            <w:tcW w:w="8300" w:type="dxa"/>
            <w:vAlign w:val="bottom"/>
          </w:tcPr>
          <w:p>
            <w:pPr>
              <w:ind w:left="320"/>
              <w:spacing w:after="0" w:line="149" w:lineRule="exact"/>
              <w:rPr>
                <w:sz w:val="20"/>
                <w:szCs w:val="20"/>
                <w:color w:val="auto"/>
              </w:rPr>
            </w:pPr>
            <w:r>
              <w:rPr>
                <w:rFonts w:ascii="Arial" w:cs="Arial" w:eastAsia="Arial" w:hAnsi="Arial"/>
                <w:sz w:val="14"/>
                <w:szCs w:val="14"/>
                <w:color w:val="231F20"/>
              </w:rPr>
              <w:t>everything reasonable to avoid the accident per million miles driven. The determination of the preventability is based on</w:t>
            </w:r>
          </w:p>
        </w:tc>
        <w:tc>
          <w:tcPr>
            <w:tcW w:w="0" w:type="dxa"/>
            <w:vAlign w:val="bottom"/>
          </w:tcPr>
          <w:p>
            <w:pPr>
              <w:spacing w:after="0"/>
              <w:rPr>
                <w:sz w:val="1"/>
                <w:szCs w:val="1"/>
                <w:color w:val="auto"/>
              </w:rPr>
            </w:pPr>
          </w:p>
        </w:tc>
      </w:tr>
      <w:tr>
        <w:trPr>
          <w:trHeight w:val="157"/>
        </w:trPr>
        <w:tc>
          <w:tcPr>
            <w:tcW w:w="80" w:type="dxa"/>
            <w:vAlign w:val="bottom"/>
          </w:tcPr>
          <w:p>
            <w:pPr>
              <w:spacing w:after="0" w:line="157" w:lineRule="exact"/>
              <w:rPr>
                <w:sz w:val="20"/>
                <w:szCs w:val="20"/>
                <w:color w:val="auto"/>
              </w:rPr>
            </w:pPr>
            <w:r>
              <w:rPr>
                <w:rFonts w:ascii="Times New Roman" w:cs="Times New Roman" w:eastAsia="Times New Roman" w:hAnsi="Times New Roman"/>
                <w:sz w:val="14"/>
                <w:szCs w:val="14"/>
                <w:color w:val="4395D4"/>
              </w:rPr>
              <w:t>·</w:t>
            </w:r>
          </w:p>
        </w:tc>
        <w:tc>
          <w:tcPr>
            <w:tcW w:w="2860" w:type="dxa"/>
            <w:vAlign w:val="bottom"/>
            <w:gridSpan w:val="4"/>
          </w:tcPr>
          <w:p>
            <w:pPr>
              <w:ind w:left="40"/>
              <w:spacing w:after="0" w:line="157" w:lineRule="exact"/>
              <w:rPr>
                <w:sz w:val="20"/>
                <w:szCs w:val="20"/>
                <w:color w:val="auto"/>
              </w:rPr>
            </w:pPr>
            <w:r>
              <w:rPr>
                <w:rFonts w:ascii="Arial" w:cs="Arial" w:eastAsia="Arial" w:hAnsi="Arial"/>
                <w:sz w:val="14"/>
                <w:szCs w:val="14"/>
                <w:color w:val="231F20"/>
              </w:rPr>
              <w:t>Responsible Vehicle Accident Rate</w:t>
            </w:r>
          </w:p>
        </w:tc>
        <w:tc>
          <w:tcPr>
            <w:tcW w:w="8300" w:type="dxa"/>
            <w:vAlign w:val="bottom"/>
          </w:tcPr>
          <w:p>
            <w:pPr>
              <w:ind w:left="320"/>
              <w:spacing w:after="0" w:line="157" w:lineRule="exact"/>
              <w:rPr>
                <w:sz w:val="20"/>
                <w:szCs w:val="20"/>
                <w:color w:val="auto"/>
              </w:rPr>
            </w:pPr>
            <w:r>
              <w:rPr>
                <w:rFonts w:ascii="Arial" w:cs="Arial" w:eastAsia="Arial" w:hAnsi="Arial"/>
                <w:sz w:val="14"/>
                <w:szCs w:val="14"/>
                <w:color w:val="231F20"/>
              </w:rPr>
              <w:t>criteria similar to that found in the National Safety Council’s Guide to Determine Motor Vehicle Accident Preventability</w:t>
            </w:r>
          </w:p>
        </w:tc>
        <w:tc>
          <w:tcPr>
            <w:tcW w:w="0" w:type="dxa"/>
            <w:vAlign w:val="bottom"/>
          </w:tcPr>
          <w:p>
            <w:pPr>
              <w:spacing w:after="0"/>
              <w:rPr>
                <w:sz w:val="1"/>
                <w:szCs w:val="1"/>
                <w:color w:val="auto"/>
              </w:rPr>
            </w:pPr>
          </w:p>
        </w:tc>
      </w:tr>
      <w:tr>
        <w:trPr>
          <w:trHeight w:val="171"/>
        </w:trPr>
        <w:tc>
          <w:tcPr>
            <w:tcW w:w="80" w:type="dxa"/>
            <w:vAlign w:val="bottom"/>
          </w:tcPr>
          <w:p>
            <w:pPr>
              <w:spacing w:after="0"/>
              <w:rPr>
                <w:sz w:val="20"/>
                <w:szCs w:val="20"/>
                <w:color w:val="auto"/>
              </w:rPr>
            </w:pPr>
            <w:r>
              <w:rPr>
                <w:rFonts w:ascii="Times New Roman" w:cs="Times New Roman" w:eastAsia="Times New Roman" w:hAnsi="Times New Roman"/>
                <w:sz w:val="14"/>
                <w:szCs w:val="14"/>
                <w:color w:val="4395D4"/>
              </w:rPr>
              <w:t>·</w:t>
            </w:r>
          </w:p>
        </w:tc>
        <w:tc>
          <w:tcPr>
            <w:tcW w:w="2860" w:type="dxa"/>
            <w:vAlign w:val="bottom"/>
            <w:gridSpan w:val="4"/>
          </w:tcPr>
          <w:p>
            <w:pPr>
              <w:ind w:left="40"/>
              <w:spacing w:after="0"/>
              <w:rPr>
                <w:sz w:val="20"/>
                <w:szCs w:val="20"/>
                <w:color w:val="auto"/>
              </w:rPr>
            </w:pPr>
            <w:r>
              <w:rPr>
                <w:rFonts w:ascii="Arial" w:cs="Arial" w:eastAsia="Arial" w:hAnsi="Arial"/>
                <w:sz w:val="14"/>
                <w:szCs w:val="14"/>
                <w:color w:val="231F20"/>
              </w:rPr>
              <w:t>Peoples Gas Safety Rate</w:t>
            </w:r>
          </w:p>
        </w:tc>
        <w:tc>
          <w:tcPr>
            <w:tcW w:w="8300" w:type="dxa"/>
            <w:vAlign w:val="bottom"/>
          </w:tcPr>
          <w:p>
            <w:pPr>
              <w:ind w:left="320"/>
              <w:spacing w:after="0"/>
              <w:rPr>
                <w:sz w:val="20"/>
                <w:szCs w:val="20"/>
                <w:color w:val="auto"/>
              </w:rPr>
            </w:pPr>
            <w:r>
              <w:rPr>
                <w:rFonts w:ascii="Arial" w:cs="Arial" w:eastAsia="Arial" w:hAnsi="Arial"/>
                <w:sz w:val="14"/>
                <w:szCs w:val="14"/>
                <w:color w:val="231F20"/>
              </w:rPr>
              <w:t>Report. Peoples Gas Safety measures compliance with key measures including inspections completed, e.g. regulating</w:t>
            </w:r>
          </w:p>
        </w:tc>
        <w:tc>
          <w:tcPr>
            <w:tcW w:w="0" w:type="dxa"/>
            <w:vAlign w:val="bottom"/>
          </w:tcPr>
          <w:p>
            <w:pPr>
              <w:spacing w:after="0"/>
              <w:rPr>
                <w:sz w:val="1"/>
                <w:szCs w:val="1"/>
                <w:color w:val="auto"/>
              </w:rPr>
            </w:pPr>
          </w:p>
        </w:tc>
      </w:tr>
      <w:tr>
        <w:trPr>
          <w:trHeight w:val="156"/>
        </w:trPr>
        <w:tc>
          <w:tcPr>
            <w:tcW w:w="80" w:type="dxa"/>
            <w:vAlign w:val="bottom"/>
            <w:tcBorders>
              <w:bottom w:val="single" w:sz="8" w:color="auto"/>
            </w:tcBorders>
          </w:tcPr>
          <w:p>
            <w:pPr>
              <w:spacing w:after="0"/>
              <w:rPr>
                <w:sz w:val="13"/>
                <w:szCs w:val="13"/>
                <w:color w:val="auto"/>
              </w:rPr>
            </w:pPr>
          </w:p>
        </w:tc>
        <w:tc>
          <w:tcPr>
            <w:tcW w:w="210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8300" w:type="dxa"/>
            <w:vAlign w:val="bottom"/>
            <w:tcBorders>
              <w:bottom w:val="single" w:sz="8" w:color="auto"/>
            </w:tcBorders>
          </w:tcPr>
          <w:p>
            <w:pPr>
              <w:ind w:left="320"/>
              <w:spacing w:after="0" w:line="157" w:lineRule="exact"/>
              <w:rPr>
                <w:sz w:val="20"/>
                <w:szCs w:val="20"/>
                <w:color w:val="auto"/>
              </w:rPr>
            </w:pPr>
            <w:r>
              <w:rPr>
                <w:rFonts w:ascii="Arial" w:cs="Arial" w:eastAsia="Arial" w:hAnsi="Arial"/>
                <w:sz w:val="14"/>
                <w:szCs w:val="14"/>
                <w:color w:val="231F20"/>
              </w:rPr>
              <w:t>station inspections, critical valve inspections, corrosion test station reads, and leak surveys.</w:t>
            </w:r>
          </w:p>
        </w:tc>
        <w:tc>
          <w:tcPr>
            <w:tcW w:w="0" w:type="dxa"/>
            <w:vAlign w:val="bottom"/>
          </w:tcPr>
          <w:p>
            <w:pPr>
              <w:spacing w:after="0"/>
              <w:rPr>
                <w:sz w:val="1"/>
                <w:szCs w:val="1"/>
                <w:color w:val="auto"/>
              </w:rPr>
            </w:pPr>
          </w:p>
        </w:tc>
      </w:tr>
      <w:tr>
        <w:trPr>
          <w:trHeight w:val="176"/>
        </w:trPr>
        <w:tc>
          <w:tcPr>
            <w:tcW w:w="2940" w:type="dxa"/>
            <w:vAlign w:val="bottom"/>
            <w:gridSpan w:val="5"/>
          </w:tcPr>
          <w:p>
            <w:pPr>
              <w:spacing w:after="0"/>
              <w:rPr>
                <w:sz w:val="20"/>
                <w:szCs w:val="20"/>
                <w:color w:val="auto"/>
              </w:rPr>
            </w:pPr>
            <w:r>
              <w:rPr>
                <w:rFonts w:ascii="Arial" w:cs="Arial" w:eastAsia="Arial" w:hAnsi="Arial"/>
                <w:sz w:val="14"/>
                <w:szCs w:val="14"/>
                <w:b w:val="1"/>
                <w:bCs w:val="1"/>
                <w:color w:val="4395D4"/>
              </w:rPr>
              <w:t xml:space="preserve">10% </w:t>
            </w:r>
            <w:r>
              <w:rPr>
                <w:rFonts w:ascii="Arial" w:cs="Arial" w:eastAsia="Arial" w:hAnsi="Arial"/>
                <w:sz w:val="14"/>
                <w:szCs w:val="14"/>
                <w:color w:val="455986"/>
              </w:rPr>
              <w:t>Environmental Stewardship</w:t>
            </w:r>
          </w:p>
        </w:tc>
        <w:tc>
          <w:tcPr>
            <w:tcW w:w="8300" w:type="dxa"/>
            <w:vAlign w:val="bottom"/>
          </w:tcPr>
          <w:p>
            <w:pPr>
              <w:ind w:left="320"/>
              <w:spacing w:after="0"/>
              <w:rPr>
                <w:sz w:val="20"/>
                <w:szCs w:val="20"/>
                <w:color w:val="auto"/>
              </w:rPr>
            </w:pPr>
            <w:r>
              <w:rPr>
                <w:rFonts w:ascii="Arial" w:cs="Arial" w:eastAsia="Arial" w:hAnsi="Arial"/>
                <w:sz w:val="14"/>
                <w:szCs w:val="14"/>
                <w:color w:val="231F20"/>
              </w:rPr>
              <w:t>Environmental stewardship as measured by water and wastewater or gas compliance rates accounts for another 10% of the</w:t>
            </w:r>
          </w:p>
        </w:tc>
        <w:tc>
          <w:tcPr>
            <w:tcW w:w="0" w:type="dxa"/>
            <w:vAlign w:val="bottom"/>
          </w:tcPr>
          <w:p>
            <w:pPr>
              <w:spacing w:after="0"/>
              <w:rPr>
                <w:sz w:val="1"/>
                <w:szCs w:val="1"/>
                <w:color w:val="auto"/>
              </w:rPr>
            </w:pPr>
          </w:p>
        </w:tc>
      </w:tr>
      <w:tr>
        <w:trPr>
          <w:trHeight w:val="21"/>
        </w:trPr>
        <w:tc>
          <w:tcPr>
            <w:tcW w:w="8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300" w:type="dxa"/>
            <w:vAlign w:val="bottom"/>
            <w:vMerge w:val="restart"/>
          </w:tcPr>
          <w:p>
            <w:pPr>
              <w:ind w:left="320"/>
              <w:spacing w:after="0" w:line="153" w:lineRule="exact"/>
              <w:rPr>
                <w:sz w:val="20"/>
                <w:szCs w:val="20"/>
                <w:color w:val="auto"/>
              </w:rPr>
            </w:pPr>
            <w:r>
              <w:rPr>
                <w:rFonts w:ascii="Arial" w:cs="Arial" w:eastAsia="Arial" w:hAnsi="Arial"/>
                <w:sz w:val="14"/>
                <w:szCs w:val="14"/>
                <w:color w:val="231F20"/>
              </w:rPr>
              <w:t>overall plan. Compliance is defined as a Water or Wastewater event causing the operating system to be out of compliance</w:t>
            </w:r>
          </w:p>
        </w:tc>
        <w:tc>
          <w:tcPr>
            <w:tcW w:w="0" w:type="dxa"/>
            <w:vAlign w:val="bottom"/>
          </w:tcPr>
          <w:p>
            <w:pPr>
              <w:spacing w:after="0" w:line="20" w:lineRule="exact"/>
              <w:rPr>
                <w:sz w:val="1"/>
                <w:szCs w:val="1"/>
                <w:color w:val="auto"/>
              </w:rPr>
            </w:pPr>
          </w:p>
        </w:tc>
      </w:tr>
      <w:tr>
        <w:trPr>
          <w:trHeight w:val="133"/>
        </w:trPr>
        <w:tc>
          <w:tcPr>
            <w:tcW w:w="80" w:type="dxa"/>
            <w:vAlign w:val="bottom"/>
            <w:tcBorders>
              <w:bottom w:val="single" w:sz="8" w:color="D1D2D4"/>
            </w:tcBorders>
            <w:shd w:val="clear" w:color="auto" w:fill="D1D2D4"/>
          </w:tcPr>
          <w:p>
            <w:pPr>
              <w:spacing w:after="0"/>
              <w:rPr>
                <w:sz w:val="11"/>
                <w:szCs w:val="11"/>
                <w:color w:val="auto"/>
              </w:rPr>
            </w:pPr>
          </w:p>
        </w:tc>
        <w:tc>
          <w:tcPr>
            <w:tcW w:w="2100" w:type="dxa"/>
            <w:vAlign w:val="bottom"/>
            <w:tcBorders>
              <w:bottom w:val="single" w:sz="8" w:color="D1D2D4"/>
            </w:tcBorders>
            <w:shd w:val="clear" w:color="auto" w:fill="D1D2D4"/>
          </w:tcPr>
          <w:p>
            <w:pPr>
              <w:spacing w:after="0"/>
              <w:rPr>
                <w:sz w:val="11"/>
                <w:szCs w:val="11"/>
                <w:color w:val="auto"/>
              </w:rPr>
            </w:pPr>
          </w:p>
        </w:tc>
        <w:tc>
          <w:tcPr>
            <w:tcW w:w="180" w:type="dxa"/>
            <w:vAlign w:val="bottom"/>
            <w:tcBorders>
              <w:bottom w:val="single" w:sz="8" w:color="D1D2D4"/>
            </w:tcBorders>
            <w:shd w:val="clear" w:color="auto" w:fill="D1D2D4"/>
          </w:tcPr>
          <w:p>
            <w:pPr>
              <w:spacing w:after="0"/>
              <w:rPr>
                <w:sz w:val="11"/>
                <w:szCs w:val="11"/>
                <w:color w:val="auto"/>
              </w:rPr>
            </w:pPr>
          </w:p>
        </w:tc>
        <w:tc>
          <w:tcPr>
            <w:tcW w:w="180" w:type="dxa"/>
            <w:vAlign w:val="bottom"/>
            <w:tcBorders>
              <w:bottom w:val="single" w:sz="8" w:color="2494D8"/>
            </w:tcBorders>
            <w:shd w:val="clear" w:color="auto" w:fill="2494D8"/>
          </w:tcPr>
          <w:p>
            <w:pPr>
              <w:spacing w:after="0"/>
              <w:rPr>
                <w:sz w:val="11"/>
                <w:szCs w:val="11"/>
                <w:color w:val="auto"/>
              </w:rPr>
            </w:pPr>
          </w:p>
        </w:tc>
        <w:tc>
          <w:tcPr>
            <w:tcW w:w="400" w:type="dxa"/>
            <w:vAlign w:val="bottom"/>
            <w:tcBorders>
              <w:bottom w:val="single" w:sz="8" w:color="D1D2D4"/>
            </w:tcBorders>
            <w:shd w:val="clear" w:color="auto" w:fill="D1D2D4"/>
          </w:tcPr>
          <w:p>
            <w:pPr>
              <w:spacing w:after="0"/>
              <w:rPr>
                <w:sz w:val="11"/>
                <w:szCs w:val="11"/>
                <w:color w:val="auto"/>
              </w:rPr>
            </w:pPr>
          </w:p>
        </w:tc>
        <w:tc>
          <w:tcPr>
            <w:tcW w:w="83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80" w:type="dxa"/>
            <w:vAlign w:val="bottom"/>
          </w:tcPr>
          <w:p>
            <w:pPr>
              <w:spacing w:after="0" w:line="132" w:lineRule="exact"/>
              <w:rPr>
                <w:sz w:val="20"/>
                <w:szCs w:val="20"/>
                <w:color w:val="auto"/>
              </w:rPr>
            </w:pPr>
            <w:r>
              <w:rPr>
                <w:rFonts w:ascii="Times New Roman" w:cs="Times New Roman" w:eastAsia="Times New Roman" w:hAnsi="Times New Roman"/>
                <w:sz w:val="14"/>
                <w:szCs w:val="14"/>
                <w:color w:val="4395D4"/>
              </w:rPr>
              <w:t>·</w:t>
            </w:r>
          </w:p>
        </w:tc>
        <w:tc>
          <w:tcPr>
            <w:tcW w:w="2280" w:type="dxa"/>
            <w:vAlign w:val="bottom"/>
            <w:gridSpan w:val="2"/>
          </w:tcPr>
          <w:p>
            <w:pPr>
              <w:ind w:left="40"/>
              <w:spacing w:after="0" w:line="132" w:lineRule="exact"/>
              <w:rPr>
                <w:sz w:val="20"/>
                <w:szCs w:val="20"/>
                <w:color w:val="auto"/>
              </w:rPr>
            </w:pPr>
            <w:r>
              <w:rPr>
                <w:rFonts w:ascii="Arial" w:cs="Arial" w:eastAsia="Arial" w:hAnsi="Arial"/>
                <w:sz w:val="14"/>
                <w:szCs w:val="14"/>
                <w:color w:val="231F20"/>
              </w:rPr>
              <w:t>Water Compliance</w:t>
            </w:r>
          </w:p>
        </w:tc>
        <w:tc>
          <w:tcPr>
            <w:tcW w:w="1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300" w:type="dxa"/>
            <w:vAlign w:val="bottom"/>
          </w:tcPr>
          <w:p>
            <w:pPr>
              <w:ind w:left="320"/>
              <w:spacing w:after="0" w:line="132" w:lineRule="exact"/>
              <w:rPr>
                <w:sz w:val="20"/>
                <w:szCs w:val="20"/>
                <w:color w:val="auto"/>
              </w:rPr>
            </w:pPr>
            <w:r>
              <w:rPr>
                <w:rFonts w:ascii="Arial" w:cs="Arial" w:eastAsia="Arial" w:hAnsi="Arial"/>
                <w:sz w:val="14"/>
                <w:szCs w:val="14"/>
                <w:color w:val="231F20"/>
              </w:rPr>
              <w:t>for at least 1 day out of the available days of the year (365 days in 2020). Reduction in gas leaks outstanding includes the</w:t>
            </w:r>
          </w:p>
        </w:tc>
        <w:tc>
          <w:tcPr>
            <w:tcW w:w="0" w:type="dxa"/>
            <w:vAlign w:val="bottom"/>
          </w:tcPr>
          <w:p>
            <w:pPr>
              <w:spacing w:after="0"/>
              <w:rPr>
                <w:sz w:val="1"/>
                <w:szCs w:val="1"/>
                <w:color w:val="auto"/>
              </w:rPr>
            </w:pPr>
          </w:p>
        </w:tc>
      </w:tr>
      <w:tr>
        <w:trPr>
          <w:trHeight w:val="153"/>
        </w:trPr>
        <w:tc>
          <w:tcPr>
            <w:tcW w:w="80" w:type="dxa"/>
            <w:vAlign w:val="bottom"/>
          </w:tcPr>
          <w:p>
            <w:pPr>
              <w:spacing w:after="0" w:line="153" w:lineRule="exact"/>
              <w:rPr>
                <w:sz w:val="20"/>
                <w:szCs w:val="20"/>
                <w:color w:val="auto"/>
              </w:rPr>
            </w:pPr>
            <w:r>
              <w:rPr>
                <w:rFonts w:ascii="Times New Roman" w:cs="Times New Roman" w:eastAsia="Times New Roman" w:hAnsi="Times New Roman"/>
                <w:sz w:val="14"/>
                <w:szCs w:val="14"/>
                <w:color w:val="4395D4"/>
              </w:rPr>
              <w:t>·</w:t>
            </w:r>
          </w:p>
        </w:tc>
        <w:tc>
          <w:tcPr>
            <w:tcW w:w="2860" w:type="dxa"/>
            <w:vAlign w:val="bottom"/>
            <w:gridSpan w:val="4"/>
          </w:tcPr>
          <w:p>
            <w:pPr>
              <w:ind w:left="40"/>
              <w:spacing w:after="0" w:line="153" w:lineRule="exact"/>
              <w:rPr>
                <w:sz w:val="20"/>
                <w:szCs w:val="20"/>
                <w:color w:val="auto"/>
              </w:rPr>
            </w:pPr>
            <w:r>
              <w:rPr>
                <w:rFonts w:ascii="Arial" w:cs="Arial" w:eastAsia="Arial" w:hAnsi="Arial"/>
                <w:sz w:val="14"/>
                <w:szCs w:val="14"/>
                <w:color w:val="231F20"/>
              </w:rPr>
              <w:t>Wastewater Compliance</w:t>
            </w:r>
          </w:p>
        </w:tc>
        <w:tc>
          <w:tcPr>
            <w:tcW w:w="8300" w:type="dxa"/>
            <w:vAlign w:val="bottom"/>
          </w:tcPr>
          <w:p>
            <w:pPr>
              <w:ind w:left="320"/>
              <w:spacing w:after="0" w:line="153" w:lineRule="exact"/>
              <w:rPr>
                <w:sz w:val="20"/>
                <w:szCs w:val="20"/>
                <w:color w:val="auto"/>
              </w:rPr>
            </w:pPr>
            <w:r>
              <w:rPr>
                <w:rFonts w:ascii="Arial" w:cs="Arial" w:eastAsia="Arial" w:hAnsi="Arial"/>
                <w:sz w:val="14"/>
                <w:szCs w:val="14"/>
                <w:color w:val="231F20"/>
              </w:rPr>
              <w:t>number of leaks outstanding at year end as reported on DOT reports. The gas LTIIP mileage replacement is measured as</w:t>
            </w:r>
          </w:p>
        </w:tc>
        <w:tc>
          <w:tcPr>
            <w:tcW w:w="0" w:type="dxa"/>
            <w:vAlign w:val="bottom"/>
          </w:tcPr>
          <w:p>
            <w:pPr>
              <w:spacing w:after="0"/>
              <w:rPr>
                <w:sz w:val="1"/>
                <w:szCs w:val="1"/>
                <w:color w:val="auto"/>
              </w:rPr>
            </w:pPr>
          </w:p>
        </w:tc>
      </w:tr>
      <w:tr>
        <w:trPr>
          <w:trHeight w:val="171"/>
        </w:trPr>
        <w:tc>
          <w:tcPr>
            <w:tcW w:w="80" w:type="dxa"/>
            <w:vAlign w:val="bottom"/>
          </w:tcPr>
          <w:p>
            <w:pPr>
              <w:spacing w:after="0"/>
              <w:rPr>
                <w:sz w:val="20"/>
                <w:szCs w:val="20"/>
                <w:color w:val="auto"/>
              </w:rPr>
            </w:pPr>
            <w:r>
              <w:rPr>
                <w:rFonts w:ascii="Times New Roman" w:cs="Times New Roman" w:eastAsia="Times New Roman" w:hAnsi="Times New Roman"/>
                <w:sz w:val="14"/>
                <w:szCs w:val="14"/>
                <w:color w:val="4395D4"/>
              </w:rPr>
              <w:t>·</w:t>
            </w:r>
          </w:p>
        </w:tc>
        <w:tc>
          <w:tcPr>
            <w:tcW w:w="2860" w:type="dxa"/>
            <w:vAlign w:val="bottom"/>
            <w:gridSpan w:val="4"/>
          </w:tcPr>
          <w:p>
            <w:pPr>
              <w:ind w:left="40"/>
              <w:spacing w:after="0"/>
              <w:rPr>
                <w:sz w:val="20"/>
                <w:szCs w:val="20"/>
                <w:color w:val="auto"/>
              </w:rPr>
            </w:pPr>
            <w:r>
              <w:rPr>
                <w:rFonts w:ascii="Arial" w:cs="Arial" w:eastAsia="Arial" w:hAnsi="Arial"/>
                <w:sz w:val="14"/>
                <w:szCs w:val="14"/>
                <w:color w:val="231F20"/>
              </w:rPr>
              <w:t>Peoples Gas Leaks</w:t>
            </w:r>
          </w:p>
        </w:tc>
        <w:tc>
          <w:tcPr>
            <w:tcW w:w="8300" w:type="dxa"/>
            <w:vAlign w:val="bottom"/>
          </w:tcPr>
          <w:p>
            <w:pPr>
              <w:ind w:left="320"/>
              <w:spacing w:after="0"/>
              <w:rPr>
                <w:sz w:val="20"/>
                <w:szCs w:val="20"/>
                <w:color w:val="auto"/>
              </w:rPr>
            </w:pPr>
            <w:r>
              <w:rPr>
                <w:rFonts w:ascii="Arial" w:cs="Arial" w:eastAsia="Arial" w:hAnsi="Arial"/>
                <w:sz w:val="14"/>
                <w:szCs w:val="14"/>
                <w:color w:val="231F20"/>
              </w:rPr>
              <w:t>percentage complete per the approved plan.</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1614170</wp:posOffset>
            </wp:positionH>
            <wp:positionV relativeFrom="paragraph">
              <wp:posOffset>-386080</wp:posOffset>
            </wp:positionV>
            <wp:extent cx="8255" cy="9715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8255" cy="97155"/>
                    </a:xfrm>
                    <a:prstGeom prst="rect">
                      <a:avLst/>
                    </a:prstGeom>
                    <a:noFill/>
                  </pic:spPr>
                </pic:pic>
              </a:graphicData>
            </a:graphic>
          </wp:anchor>
        </w:drawing>
        <w:drawing>
          <wp:anchor simplePos="0" relativeHeight="251657728" behindDoc="1" locked="0" layoutInCell="0" allowOverlap="1">
            <wp:simplePos x="0" y="0"/>
            <wp:positionH relativeFrom="column">
              <wp:posOffset>1500505</wp:posOffset>
            </wp:positionH>
            <wp:positionV relativeFrom="paragraph">
              <wp:posOffset>-386080</wp:posOffset>
            </wp:positionV>
            <wp:extent cx="8255" cy="9715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8255" cy="97155"/>
                    </a:xfrm>
                    <a:prstGeom prst="rect">
                      <a:avLst/>
                    </a:prstGeom>
                    <a:noFill/>
                  </pic:spPr>
                </pic:pic>
              </a:graphicData>
            </a:graphic>
          </wp:anchor>
        </w:drawing>
        <w:drawing>
          <wp:anchor simplePos="0" relativeHeight="251657728" behindDoc="1" locked="0" layoutInCell="0" allowOverlap="1">
            <wp:simplePos x="0" y="0"/>
            <wp:positionH relativeFrom="column">
              <wp:posOffset>1386840</wp:posOffset>
            </wp:positionH>
            <wp:positionV relativeFrom="paragraph">
              <wp:posOffset>-386080</wp:posOffset>
            </wp:positionV>
            <wp:extent cx="8255" cy="9715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8255" cy="97155"/>
                    </a:xfrm>
                    <a:prstGeom prst="rect">
                      <a:avLst/>
                    </a:prstGeom>
                    <a:noFill/>
                  </pic:spPr>
                </pic:pic>
              </a:graphicData>
            </a:graphic>
          </wp:anchor>
        </w:drawing>
        <w:drawing>
          <wp:anchor simplePos="0" relativeHeight="251657728" behindDoc="1" locked="0" layoutInCell="0" allowOverlap="1">
            <wp:simplePos x="0" y="0"/>
            <wp:positionH relativeFrom="column">
              <wp:posOffset>1703070</wp:posOffset>
            </wp:positionH>
            <wp:positionV relativeFrom="paragraph">
              <wp:posOffset>-523875</wp:posOffset>
            </wp:positionV>
            <wp:extent cx="8255" cy="23495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8255" cy="234950"/>
                    </a:xfrm>
                    <a:prstGeom prst="rect">
                      <a:avLst/>
                    </a:prstGeom>
                    <a:noFill/>
                  </pic:spPr>
                </pic:pic>
              </a:graphicData>
            </a:graphic>
          </wp:anchor>
        </w:drawing>
        <w:drawing>
          <wp:anchor simplePos="0" relativeHeight="251657728" behindDoc="1" locked="0" layoutInCell="0" allowOverlap="1">
            <wp:simplePos x="0" y="0"/>
            <wp:positionH relativeFrom="column">
              <wp:posOffset>1703070</wp:posOffset>
            </wp:positionH>
            <wp:positionV relativeFrom="paragraph">
              <wp:posOffset>-1075055</wp:posOffset>
            </wp:positionV>
            <wp:extent cx="8255" cy="12954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8255" cy="129540"/>
                    </a:xfrm>
                    <a:prstGeom prst="rect">
                      <a:avLst/>
                    </a:prstGeom>
                    <a:noFill/>
                  </pic:spPr>
                </pic:pic>
              </a:graphicData>
            </a:graphic>
          </wp:anchor>
        </w:drawing>
        <w:drawing>
          <wp:anchor simplePos="0" relativeHeight="251657728" behindDoc="1" locked="0" layoutInCell="0" allowOverlap="1">
            <wp:simplePos x="0" y="0"/>
            <wp:positionH relativeFrom="column">
              <wp:posOffset>1614170</wp:posOffset>
            </wp:positionH>
            <wp:positionV relativeFrom="paragraph">
              <wp:posOffset>-1075055</wp:posOffset>
            </wp:positionV>
            <wp:extent cx="8255" cy="12954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8255" cy="129540"/>
                    </a:xfrm>
                    <a:prstGeom prst="rect">
                      <a:avLst/>
                    </a:prstGeom>
                    <a:noFill/>
                  </pic:spPr>
                </pic:pic>
              </a:graphicData>
            </a:graphic>
          </wp:anchor>
        </w:drawing>
        <w:drawing>
          <wp:anchor simplePos="0" relativeHeight="251657728" behindDoc="1" locked="0" layoutInCell="0" allowOverlap="1">
            <wp:simplePos x="0" y="0"/>
            <wp:positionH relativeFrom="column">
              <wp:posOffset>1500505</wp:posOffset>
            </wp:positionH>
            <wp:positionV relativeFrom="paragraph">
              <wp:posOffset>-1075055</wp:posOffset>
            </wp:positionV>
            <wp:extent cx="8255" cy="12954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8255" cy="129540"/>
                    </a:xfrm>
                    <a:prstGeom prst="rect">
                      <a:avLst/>
                    </a:prstGeom>
                    <a:noFill/>
                  </pic:spPr>
                </pic:pic>
              </a:graphicData>
            </a:graphic>
          </wp:anchor>
        </w:drawing>
        <w:drawing>
          <wp:anchor simplePos="0" relativeHeight="251657728" behindDoc="1" locked="0" layoutInCell="0" allowOverlap="1">
            <wp:simplePos x="0" y="0"/>
            <wp:positionH relativeFrom="column">
              <wp:posOffset>1386840</wp:posOffset>
            </wp:positionH>
            <wp:positionV relativeFrom="paragraph">
              <wp:posOffset>-1075055</wp:posOffset>
            </wp:positionV>
            <wp:extent cx="8255" cy="12954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8255" cy="129540"/>
                    </a:xfrm>
                    <a:prstGeom prst="rect">
                      <a:avLst/>
                    </a:prstGeom>
                    <a:noFill/>
                  </pic:spPr>
                </pic:pic>
              </a:graphicData>
            </a:graphic>
          </wp:anchor>
        </w:drawing>
        <w:drawing>
          <wp:anchor simplePos="0" relativeHeight="251657728" behindDoc="1" locked="0" layoutInCell="0" allowOverlap="1">
            <wp:simplePos x="0" y="0"/>
            <wp:positionH relativeFrom="column">
              <wp:posOffset>1703070</wp:posOffset>
            </wp:positionH>
            <wp:positionV relativeFrom="paragraph">
              <wp:posOffset>-1569720</wp:posOffset>
            </wp:positionV>
            <wp:extent cx="8255" cy="19431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8255" cy="194310"/>
                    </a:xfrm>
                    <a:prstGeom prst="rect">
                      <a:avLst/>
                    </a:prstGeom>
                    <a:noFill/>
                  </pic:spPr>
                </pic:pic>
              </a:graphicData>
            </a:graphic>
          </wp:anchor>
        </w:drawing>
        <w:drawing>
          <wp:anchor simplePos="0" relativeHeight="251657728" behindDoc="1" locked="0" layoutInCell="0" allowOverlap="1">
            <wp:simplePos x="0" y="0"/>
            <wp:positionH relativeFrom="column">
              <wp:posOffset>1614170</wp:posOffset>
            </wp:positionH>
            <wp:positionV relativeFrom="paragraph">
              <wp:posOffset>-1569720</wp:posOffset>
            </wp:positionV>
            <wp:extent cx="8255" cy="9715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8255" cy="97155"/>
                    </a:xfrm>
                    <a:prstGeom prst="rect">
                      <a:avLst/>
                    </a:prstGeom>
                    <a:noFill/>
                  </pic:spPr>
                </pic:pic>
              </a:graphicData>
            </a:graphic>
          </wp:anchor>
        </w:drawing>
        <w:drawing>
          <wp:anchor simplePos="0" relativeHeight="251657728" behindDoc="1" locked="0" layoutInCell="0" allowOverlap="1">
            <wp:simplePos x="0" y="0"/>
            <wp:positionH relativeFrom="column">
              <wp:posOffset>1500505</wp:posOffset>
            </wp:positionH>
            <wp:positionV relativeFrom="paragraph">
              <wp:posOffset>-1569720</wp:posOffset>
            </wp:positionV>
            <wp:extent cx="8255" cy="9715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8255" cy="97155"/>
                    </a:xfrm>
                    <a:prstGeom prst="rect">
                      <a:avLst/>
                    </a:prstGeom>
                    <a:noFill/>
                  </pic:spPr>
                </pic:pic>
              </a:graphicData>
            </a:graphic>
          </wp:anchor>
        </w:drawing>
        <w:drawing>
          <wp:anchor simplePos="0" relativeHeight="251657728" behindDoc="1" locked="0" layoutInCell="0" allowOverlap="1">
            <wp:simplePos x="0" y="0"/>
            <wp:positionH relativeFrom="column">
              <wp:posOffset>1386840</wp:posOffset>
            </wp:positionH>
            <wp:positionV relativeFrom="paragraph">
              <wp:posOffset>-1569720</wp:posOffset>
            </wp:positionV>
            <wp:extent cx="8255" cy="9715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8255" cy="97155"/>
                    </a:xfrm>
                    <a:prstGeom prst="rect">
                      <a:avLst/>
                    </a:prstGeom>
                    <a:noFill/>
                  </pic:spPr>
                </pic:pic>
              </a:graphicData>
            </a:graphic>
          </wp:anchor>
        </w:drawing>
      </w:r>
    </w:p>
    <w:p>
      <w:pPr>
        <w:ind w:left="120" w:hanging="118"/>
        <w:spacing w:after="0"/>
        <w:tabs>
          <w:tab w:leader="none" w:pos="120" w:val="left"/>
        </w:tabs>
        <w:numPr>
          <w:ilvl w:val="0"/>
          <w:numId w:val="98"/>
        </w:numPr>
        <w:rPr>
          <w:rFonts w:ascii="Times New Roman" w:cs="Times New Roman" w:eastAsia="Times New Roman" w:hAnsi="Times New Roman"/>
          <w:sz w:val="14"/>
          <w:szCs w:val="14"/>
          <w:color w:val="4395D4"/>
        </w:rPr>
      </w:pPr>
      <w:r>
        <w:rPr>
          <w:rFonts w:ascii="Arial" w:cs="Arial" w:eastAsia="Arial" w:hAnsi="Arial"/>
          <w:sz w:val="14"/>
          <w:szCs w:val="14"/>
          <w:color w:val="231F20"/>
        </w:rPr>
        <w:t>Peoples Gas LTIIP</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2540" w:type="dxa"/>
            <w:vAlign w:val="bottom"/>
            <w:tcBorders>
              <w:top w:val="single" w:sz="8" w:color="auto"/>
            </w:tcBorders>
          </w:tcPr>
          <w:p>
            <w:pPr>
              <w:spacing w:after="0"/>
              <w:rPr>
                <w:sz w:val="20"/>
                <w:szCs w:val="20"/>
                <w:color w:val="auto"/>
              </w:rPr>
            </w:pPr>
            <w:r>
              <w:rPr>
                <w:rFonts w:ascii="Arial" w:cs="Arial" w:eastAsia="Arial" w:hAnsi="Arial"/>
                <w:sz w:val="14"/>
                <w:szCs w:val="14"/>
                <w:b w:val="1"/>
                <w:bCs w:val="1"/>
                <w:color w:val="4395D4"/>
              </w:rPr>
              <w:t xml:space="preserve">10% </w:t>
            </w:r>
            <w:r>
              <w:rPr>
                <w:rFonts w:ascii="Arial" w:cs="Arial" w:eastAsia="Arial" w:hAnsi="Arial"/>
                <w:sz w:val="14"/>
                <w:szCs w:val="14"/>
                <w:color w:val="455986"/>
              </w:rPr>
              <w:t>Customer Satisfaction</w:t>
            </w:r>
          </w:p>
        </w:tc>
        <w:tc>
          <w:tcPr>
            <w:tcW w:w="140" w:type="dxa"/>
            <w:vAlign w:val="bottom"/>
            <w:tcBorders>
              <w:top w:val="single" w:sz="8" w:color="auto"/>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8300" w:type="dxa"/>
            <w:vAlign w:val="bottom"/>
            <w:tcBorders>
              <w:top w:val="single" w:sz="8" w:color="auto"/>
            </w:tcBorders>
          </w:tcPr>
          <w:p>
            <w:pPr>
              <w:ind w:left="320"/>
              <w:spacing w:after="0"/>
              <w:rPr>
                <w:sz w:val="20"/>
                <w:szCs w:val="20"/>
                <w:color w:val="auto"/>
              </w:rPr>
            </w:pPr>
            <w:r>
              <w:rPr>
                <w:rFonts w:ascii="Arial" w:cs="Arial" w:eastAsia="Arial" w:hAnsi="Arial"/>
                <w:sz w:val="14"/>
                <w:szCs w:val="14"/>
                <w:color w:val="231F20"/>
              </w:rPr>
              <w:t>The customer satisfaction metric (10%) ensures that we balance financial, safety and environmental concerns with our</w:t>
            </w:r>
          </w:p>
        </w:tc>
        <w:tc>
          <w:tcPr>
            <w:tcW w:w="0" w:type="dxa"/>
            <w:vAlign w:val="bottom"/>
          </w:tcPr>
          <w:p>
            <w:pPr>
              <w:spacing w:after="0"/>
              <w:rPr>
                <w:sz w:val="1"/>
                <w:szCs w:val="1"/>
                <w:color w:val="auto"/>
              </w:rPr>
            </w:pPr>
          </w:p>
        </w:tc>
      </w:tr>
      <w:tr>
        <w:trPr>
          <w:trHeight w:val="21"/>
        </w:trPr>
        <w:tc>
          <w:tcPr>
            <w:tcW w:w="2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300" w:type="dxa"/>
            <w:vAlign w:val="bottom"/>
            <w:vMerge w:val="restart"/>
          </w:tcPr>
          <w:p>
            <w:pPr>
              <w:ind w:left="320"/>
              <w:spacing w:after="0" w:line="153" w:lineRule="exact"/>
              <w:rPr>
                <w:sz w:val="20"/>
                <w:szCs w:val="20"/>
                <w:color w:val="auto"/>
              </w:rPr>
            </w:pPr>
            <w:r>
              <w:rPr>
                <w:rFonts w:ascii="Arial" w:cs="Arial" w:eastAsia="Arial" w:hAnsi="Arial"/>
                <w:sz w:val="14"/>
                <w:szCs w:val="14"/>
                <w:color w:val="231F20"/>
              </w:rPr>
              <w:t>customer service levels. This metric measures the service level in terms of timeliness to answer calls within 30 seconds of</w:t>
            </w:r>
          </w:p>
        </w:tc>
        <w:tc>
          <w:tcPr>
            <w:tcW w:w="0" w:type="dxa"/>
            <w:vAlign w:val="bottom"/>
          </w:tcPr>
          <w:p>
            <w:pPr>
              <w:spacing w:after="0" w:line="20" w:lineRule="exact"/>
              <w:rPr>
                <w:sz w:val="1"/>
                <w:szCs w:val="1"/>
                <w:color w:val="auto"/>
              </w:rPr>
            </w:pPr>
          </w:p>
        </w:tc>
      </w:tr>
      <w:tr>
        <w:trPr>
          <w:trHeight w:val="133"/>
        </w:trPr>
        <w:tc>
          <w:tcPr>
            <w:tcW w:w="2540" w:type="dxa"/>
            <w:vAlign w:val="bottom"/>
            <w:tcBorders>
              <w:bottom w:val="single" w:sz="8" w:color="D1D2D4"/>
            </w:tcBorders>
            <w:shd w:val="clear" w:color="auto" w:fill="D1D2D4"/>
          </w:tcPr>
          <w:p>
            <w:pPr>
              <w:spacing w:after="0"/>
              <w:rPr>
                <w:sz w:val="11"/>
                <w:szCs w:val="11"/>
                <w:color w:val="auto"/>
              </w:rPr>
            </w:pPr>
          </w:p>
        </w:tc>
        <w:tc>
          <w:tcPr>
            <w:tcW w:w="140" w:type="dxa"/>
            <w:vAlign w:val="bottom"/>
            <w:tcBorders>
              <w:bottom w:val="single" w:sz="8" w:color="2494D8"/>
            </w:tcBorders>
            <w:shd w:val="clear" w:color="auto" w:fill="2494D8"/>
          </w:tcPr>
          <w:p>
            <w:pPr>
              <w:spacing w:after="0"/>
              <w:rPr>
                <w:sz w:val="11"/>
                <w:szCs w:val="11"/>
                <w:color w:val="auto"/>
              </w:rPr>
            </w:pPr>
          </w:p>
        </w:tc>
        <w:tc>
          <w:tcPr>
            <w:tcW w:w="260" w:type="dxa"/>
            <w:vAlign w:val="bottom"/>
            <w:tcBorders>
              <w:bottom w:val="single" w:sz="8" w:color="D1D2D4"/>
            </w:tcBorders>
            <w:shd w:val="clear" w:color="auto" w:fill="D1D2D4"/>
          </w:tcPr>
          <w:p>
            <w:pPr>
              <w:spacing w:after="0"/>
              <w:rPr>
                <w:sz w:val="11"/>
                <w:szCs w:val="11"/>
                <w:color w:val="auto"/>
              </w:rPr>
            </w:pPr>
          </w:p>
        </w:tc>
        <w:tc>
          <w:tcPr>
            <w:tcW w:w="83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0"/>
        </w:trPr>
        <w:tc>
          <w:tcPr>
            <w:tcW w:w="25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4395D4"/>
              </w:rPr>
              <w:t xml:space="preserve">· </w:t>
            </w:r>
            <w:r>
              <w:rPr>
                <w:rFonts w:ascii="Arial" w:cs="Arial" w:eastAsia="Arial" w:hAnsi="Arial"/>
                <w:sz w:val="14"/>
                <w:szCs w:val="14"/>
                <w:color w:val="231F20"/>
              </w:rPr>
              <w:t>Service Level</w:t>
            </w:r>
          </w:p>
        </w:tc>
        <w:tc>
          <w:tcPr>
            <w:tcW w:w="14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300" w:type="dxa"/>
            <w:vAlign w:val="bottom"/>
            <w:tcBorders>
              <w:bottom w:val="single" w:sz="8" w:color="auto"/>
            </w:tcBorders>
          </w:tcPr>
          <w:p>
            <w:pPr>
              <w:ind w:left="320"/>
              <w:spacing w:after="0"/>
              <w:rPr>
                <w:sz w:val="20"/>
                <w:szCs w:val="20"/>
                <w:color w:val="auto"/>
              </w:rPr>
            </w:pPr>
            <w:r>
              <w:rPr>
                <w:rFonts w:ascii="Arial" w:cs="Arial" w:eastAsia="Arial" w:hAnsi="Arial"/>
                <w:sz w:val="14"/>
                <w:szCs w:val="14"/>
                <w:color w:val="231F20"/>
              </w:rPr>
              <w:t>receiving a customer call.</w:t>
            </w:r>
          </w:p>
        </w:tc>
        <w:tc>
          <w:tcPr>
            <w:tcW w:w="0" w:type="dxa"/>
            <w:vAlign w:val="bottom"/>
          </w:tcPr>
          <w:p>
            <w:pPr>
              <w:spacing w:after="0"/>
              <w:rPr>
                <w:sz w:val="1"/>
                <w:szCs w:val="1"/>
                <w:color w:val="auto"/>
              </w:rPr>
            </w:pPr>
          </w:p>
        </w:tc>
      </w:tr>
      <w:tr>
        <w:trPr>
          <w:trHeight w:val="180"/>
        </w:trPr>
        <w:tc>
          <w:tcPr>
            <w:tcW w:w="2540" w:type="dxa"/>
            <w:vAlign w:val="bottom"/>
          </w:tcPr>
          <w:p>
            <w:pPr>
              <w:spacing w:after="0"/>
              <w:rPr>
                <w:sz w:val="20"/>
                <w:szCs w:val="20"/>
                <w:color w:val="auto"/>
              </w:rPr>
            </w:pPr>
            <w:r>
              <w:rPr>
                <w:rFonts w:ascii="Arial" w:cs="Arial" w:eastAsia="Arial" w:hAnsi="Arial"/>
                <w:sz w:val="14"/>
                <w:szCs w:val="14"/>
                <w:b w:val="1"/>
                <w:bCs w:val="1"/>
                <w:color w:val="4395D4"/>
              </w:rPr>
              <w:t xml:space="preserve">10% </w:t>
            </w:r>
            <w:r>
              <w:rPr>
                <w:rFonts w:ascii="Arial" w:cs="Arial" w:eastAsia="Arial" w:hAnsi="Arial"/>
                <w:sz w:val="14"/>
                <w:szCs w:val="14"/>
                <w:color w:val="455986"/>
              </w:rPr>
              <w:t>Individual Performance</w:t>
            </w:r>
          </w:p>
        </w:tc>
        <w:tc>
          <w:tcPr>
            <w:tcW w:w="1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300" w:type="dxa"/>
            <w:vAlign w:val="bottom"/>
          </w:tcPr>
          <w:p>
            <w:pPr>
              <w:ind w:left="320"/>
              <w:spacing w:after="0"/>
              <w:rPr>
                <w:sz w:val="20"/>
                <w:szCs w:val="20"/>
                <w:color w:val="auto"/>
              </w:rPr>
            </w:pPr>
            <w:r>
              <w:rPr>
                <w:rFonts w:ascii="Arial" w:cs="Arial" w:eastAsia="Arial" w:hAnsi="Arial"/>
                <w:sz w:val="14"/>
                <w:szCs w:val="14"/>
                <w:color w:val="231F20"/>
              </w:rPr>
              <w:t>Individual performance based on specific goals that align with broader Company goals represent 10% of the formula. At the</w:t>
            </w:r>
          </w:p>
        </w:tc>
        <w:tc>
          <w:tcPr>
            <w:tcW w:w="0" w:type="dxa"/>
            <w:vAlign w:val="bottom"/>
          </w:tcPr>
          <w:p>
            <w:pPr>
              <w:spacing w:after="0"/>
              <w:rPr>
                <w:sz w:val="1"/>
                <w:szCs w:val="1"/>
                <w:color w:val="auto"/>
              </w:rPr>
            </w:pPr>
          </w:p>
        </w:tc>
      </w:tr>
      <w:tr>
        <w:trPr>
          <w:trHeight w:val="72"/>
        </w:trPr>
        <w:tc>
          <w:tcPr>
            <w:tcW w:w="2540" w:type="dxa"/>
            <w:vAlign w:val="bottom"/>
          </w:tcPr>
          <w:p>
            <w:pPr>
              <w:spacing w:after="0"/>
              <w:rPr>
                <w:sz w:val="6"/>
                <w:szCs w:val="6"/>
                <w:color w:val="auto"/>
              </w:rPr>
            </w:pPr>
          </w:p>
        </w:tc>
        <w:tc>
          <w:tcPr>
            <w:tcW w:w="140" w:type="dxa"/>
            <w:vAlign w:val="bottom"/>
          </w:tcPr>
          <w:p>
            <w:pPr>
              <w:spacing w:after="0"/>
              <w:rPr>
                <w:sz w:val="6"/>
                <w:szCs w:val="6"/>
                <w:color w:val="auto"/>
              </w:rPr>
            </w:pPr>
          </w:p>
        </w:tc>
        <w:tc>
          <w:tcPr>
            <w:tcW w:w="260" w:type="dxa"/>
            <w:vAlign w:val="bottom"/>
          </w:tcPr>
          <w:p>
            <w:pPr>
              <w:spacing w:after="0"/>
              <w:rPr>
                <w:sz w:val="6"/>
                <w:szCs w:val="6"/>
                <w:color w:val="auto"/>
              </w:rPr>
            </w:pPr>
          </w:p>
        </w:tc>
        <w:tc>
          <w:tcPr>
            <w:tcW w:w="8300" w:type="dxa"/>
            <w:vAlign w:val="bottom"/>
            <w:vMerge w:val="restart"/>
          </w:tcPr>
          <w:p>
            <w:pPr>
              <w:ind w:left="320"/>
              <w:spacing w:after="0" w:line="153" w:lineRule="exact"/>
              <w:rPr>
                <w:sz w:val="20"/>
                <w:szCs w:val="20"/>
                <w:color w:val="auto"/>
              </w:rPr>
            </w:pPr>
            <w:r>
              <w:rPr>
                <w:rFonts w:ascii="Arial" w:cs="Arial" w:eastAsia="Arial" w:hAnsi="Arial"/>
                <w:sz w:val="14"/>
                <w:szCs w:val="14"/>
                <w:color w:val="231F20"/>
              </w:rPr>
              <w:t>beginning of 2020, two individual goals were identified for each named executive officer that aligned with the broader</w:t>
            </w:r>
          </w:p>
        </w:tc>
        <w:tc>
          <w:tcPr>
            <w:tcW w:w="0" w:type="dxa"/>
            <w:vAlign w:val="bottom"/>
          </w:tcPr>
          <w:p>
            <w:pPr>
              <w:spacing w:after="0"/>
              <w:rPr>
                <w:sz w:val="1"/>
                <w:szCs w:val="1"/>
                <w:color w:val="auto"/>
              </w:rPr>
            </w:pPr>
          </w:p>
        </w:tc>
      </w:tr>
      <w:tr>
        <w:trPr>
          <w:trHeight w:val="81"/>
        </w:trPr>
        <w:tc>
          <w:tcPr>
            <w:tcW w:w="2540" w:type="dxa"/>
            <w:vAlign w:val="bottom"/>
            <w:shd w:val="clear" w:color="auto" w:fill="D1D2D4"/>
          </w:tcPr>
          <w:p>
            <w:pPr>
              <w:spacing w:after="0"/>
              <w:rPr>
                <w:sz w:val="7"/>
                <w:szCs w:val="7"/>
                <w:color w:val="auto"/>
              </w:rPr>
            </w:pPr>
          </w:p>
        </w:tc>
        <w:tc>
          <w:tcPr>
            <w:tcW w:w="140" w:type="dxa"/>
            <w:vAlign w:val="bottom"/>
            <w:shd w:val="clear" w:color="auto" w:fill="D1D2D4"/>
          </w:tcPr>
          <w:p>
            <w:pPr>
              <w:spacing w:after="0"/>
              <w:rPr>
                <w:sz w:val="7"/>
                <w:szCs w:val="7"/>
                <w:color w:val="auto"/>
              </w:rPr>
            </w:pPr>
          </w:p>
        </w:tc>
        <w:tc>
          <w:tcPr>
            <w:tcW w:w="260" w:type="dxa"/>
            <w:vAlign w:val="bottom"/>
            <w:shd w:val="clear" w:color="auto" w:fill="2494D8"/>
          </w:tcPr>
          <w:p>
            <w:pPr>
              <w:spacing w:after="0"/>
              <w:rPr>
                <w:sz w:val="7"/>
                <w:szCs w:val="7"/>
                <w:color w:val="auto"/>
              </w:rPr>
            </w:pPr>
          </w:p>
        </w:tc>
        <w:tc>
          <w:tcPr>
            <w:tcW w:w="83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2"/>
        </w:trPr>
        <w:tc>
          <w:tcPr>
            <w:tcW w:w="2540" w:type="dxa"/>
            <w:vAlign w:val="bottom"/>
            <w:shd w:val="clear" w:color="auto" w:fill="D1D2D4"/>
          </w:tcPr>
          <w:p>
            <w:pPr>
              <w:spacing w:after="0"/>
              <w:rPr>
                <w:sz w:val="6"/>
                <w:szCs w:val="6"/>
                <w:color w:val="auto"/>
              </w:rPr>
            </w:pPr>
          </w:p>
        </w:tc>
        <w:tc>
          <w:tcPr>
            <w:tcW w:w="140" w:type="dxa"/>
            <w:vAlign w:val="bottom"/>
            <w:shd w:val="clear" w:color="auto" w:fill="D1D2D4"/>
          </w:tcPr>
          <w:p>
            <w:pPr>
              <w:spacing w:after="0"/>
              <w:rPr>
                <w:sz w:val="6"/>
                <w:szCs w:val="6"/>
                <w:color w:val="auto"/>
              </w:rPr>
            </w:pPr>
          </w:p>
        </w:tc>
        <w:tc>
          <w:tcPr>
            <w:tcW w:w="260" w:type="dxa"/>
            <w:vAlign w:val="bottom"/>
            <w:shd w:val="clear" w:color="auto" w:fill="2494D8"/>
          </w:tcPr>
          <w:p>
            <w:pPr>
              <w:spacing w:after="0"/>
              <w:rPr>
                <w:sz w:val="6"/>
                <w:szCs w:val="6"/>
                <w:color w:val="auto"/>
              </w:rPr>
            </w:pPr>
          </w:p>
        </w:tc>
        <w:tc>
          <w:tcPr>
            <w:tcW w:w="8300" w:type="dxa"/>
            <w:vAlign w:val="bottom"/>
            <w:vMerge w:val="restart"/>
          </w:tcPr>
          <w:p>
            <w:pPr>
              <w:ind w:left="320"/>
              <w:spacing w:after="0"/>
              <w:rPr>
                <w:sz w:val="20"/>
                <w:szCs w:val="20"/>
                <w:color w:val="auto"/>
              </w:rPr>
            </w:pPr>
            <w:r>
              <w:rPr>
                <w:rFonts w:ascii="Arial" w:cs="Arial" w:eastAsia="Arial" w:hAnsi="Arial"/>
                <w:sz w:val="14"/>
                <w:szCs w:val="14"/>
                <w:color w:val="231F20"/>
              </w:rPr>
              <w:t>Company goals. Each named executive officer was rated on the achievement of each goal.</w:t>
            </w:r>
          </w:p>
        </w:tc>
        <w:tc>
          <w:tcPr>
            <w:tcW w:w="0" w:type="dxa"/>
            <w:vAlign w:val="bottom"/>
          </w:tcPr>
          <w:p>
            <w:pPr>
              <w:spacing w:after="0"/>
              <w:rPr>
                <w:sz w:val="1"/>
                <w:szCs w:val="1"/>
                <w:color w:val="auto"/>
              </w:rPr>
            </w:pPr>
          </w:p>
        </w:tc>
      </w:tr>
      <w:tr>
        <w:trPr>
          <w:trHeight w:val="123"/>
        </w:trPr>
        <w:tc>
          <w:tcPr>
            <w:tcW w:w="2540" w:type="dxa"/>
            <w:vAlign w:val="bottom"/>
            <w:vMerge w:val="restart"/>
          </w:tcPr>
          <w:p>
            <w:pPr>
              <w:spacing w:after="0"/>
              <w:rPr>
                <w:sz w:val="20"/>
                <w:szCs w:val="20"/>
                <w:color w:val="auto"/>
              </w:rPr>
            </w:pPr>
            <w:r>
              <w:rPr>
                <w:rFonts w:ascii="Times New Roman" w:cs="Times New Roman" w:eastAsia="Times New Roman" w:hAnsi="Times New Roman"/>
                <w:sz w:val="14"/>
                <w:szCs w:val="14"/>
                <w:color w:val="4395D4"/>
              </w:rPr>
              <w:t xml:space="preserve">· </w:t>
            </w:r>
            <w:r>
              <w:rPr>
                <w:rFonts w:ascii="Arial" w:cs="Arial" w:eastAsia="Arial" w:hAnsi="Arial"/>
                <w:sz w:val="14"/>
                <w:szCs w:val="14"/>
                <w:color w:val="231F20"/>
              </w:rPr>
              <w:t>Two individual goals set</w:t>
            </w:r>
          </w:p>
        </w:tc>
        <w:tc>
          <w:tcPr>
            <w:tcW w:w="1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3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77"/>
        </w:trPr>
        <w:tc>
          <w:tcPr>
            <w:tcW w:w="2540" w:type="dxa"/>
            <w:vAlign w:val="bottom"/>
            <w:tcBorders>
              <w:bottom w:val="single" w:sz="8" w:color="auto"/>
            </w:tcBorders>
            <w:vMerge w:val="continue"/>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830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1703070</wp:posOffset>
            </wp:positionH>
            <wp:positionV relativeFrom="paragraph">
              <wp:posOffset>-234315</wp:posOffset>
            </wp:positionV>
            <wp:extent cx="8255" cy="9715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8255" cy="97155"/>
                    </a:xfrm>
                    <a:prstGeom prst="rect">
                      <a:avLst/>
                    </a:prstGeom>
                    <a:noFill/>
                  </pic:spPr>
                </pic:pic>
              </a:graphicData>
            </a:graphic>
          </wp:anchor>
        </w:drawing>
        <w:drawing>
          <wp:anchor simplePos="0" relativeHeight="251657728" behindDoc="1" locked="0" layoutInCell="0" allowOverlap="1">
            <wp:simplePos x="0" y="0"/>
            <wp:positionH relativeFrom="column">
              <wp:posOffset>1614170</wp:posOffset>
            </wp:positionH>
            <wp:positionV relativeFrom="paragraph">
              <wp:posOffset>-234315</wp:posOffset>
            </wp:positionV>
            <wp:extent cx="8255" cy="9715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8255" cy="97155"/>
                    </a:xfrm>
                    <a:prstGeom prst="rect">
                      <a:avLst/>
                    </a:prstGeom>
                    <a:noFill/>
                  </pic:spPr>
                </pic:pic>
              </a:graphicData>
            </a:graphic>
          </wp:anchor>
        </w:drawing>
        <w:drawing>
          <wp:anchor simplePos="0" relativeHeight="251657728" behindDoc="1" locked="0" layoutInCell="0" allowOverlap="1">
            <wp:simplePos x="0" y="0"/>
            <wp:positionH relativeFrom="column">
              <wp:posOffset>1500505</wp:posOffset>
            </wp:positionH>
            <wp:positionV relativeFrom="paragraph">
              <wp:posOffset>-234315</wp:posOffset>
            </wp:positionV>
            <wp:extent cx="8255" cy="9715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8255" cy="97155"/>
                    </a:xfrm>
                    <a:prstGeom prst="rect">
                      <a:avLst/>
                    </a:prstGeom>
                    <a:noFill/>
                  </pic:spPr>
                </pic:pic>
              </a:graphicData>
            </a:graphic>
          </wp:anchor>
        </w:drawing>
        <w:drawing>
          <wp:anchor simplePos="0" relativeHeight="251657728" behindDoc="1" locked="0" layoutInCell="0" allowOverlap="1">
            <wp:simplePos x="0" y="0"/>
            <wp:positionH relativeFrom="column">
              <wp:posOffset>1386840</wp:posOffset>
            </wp:positionH>
            <wp:positionV relativeFrom="paragraph">
              <wp:posOffset>-234315</wp:posOffset>
            </wp:positionV>
            <wp:extent cx="8255" cy="9715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8255" cy="97155"/>
                    </a:xfrm>
                    <a:prstGeom prst="rect">
                      <a:avLst/>
                    </a:prstGeom>
                    <a:noFill/>
                  </pic:spPr>
                </pic:pic>
              </a:graphicData>
            </a:graphic>
          </wp:anchor>
        </w:drawing>
        <w:drawing>
          <wp:anchor simplePos="0" relativeHeight="251657728" behindDoc="1" locked="0" layoutInCell="0" allowOverlap="1">
            <wp:simplePos x="0" y="0"/>
            <wp:positionH relativeFrom="column">
              <wp:posOffset>1703070</wp:posOffset>
            </wp:positionH>
            <wp:positionV relativeFrom="paragraph">
              <wp:posOffset>-631190</wp:posOffset>
            </wp:positionV>
            <wp:extent cx="8255" cy="9715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8255" cy="97155"/>
                    </a:xfrm>
                    <a:prstGeom prst="rect">
                      <a:avLst/>
                    </a:prstGeom>
                    <a:noFill/>
                  </pic:spPr>
                </pic:pic>
              </a:graphicData>
            </a:graphic>
          </wp:anchor>
        </w:drawing>
        <w:drawing>
          <wp:anchor simplePos="0" relativeHeight="251657728" behindDoc="1" locked="0" layoutInCell="0" allowOverlap="1">
            <wp:simplePos x="0" y="0"/>
            <wp:positionH relativeFrom="column">
              <wp:posOffset>1614170</wp:posOffset>
            </wp:positionH>
            <wp:positionV relativeFrom="paragraph">
              <wp:posOffset>-631190</wp:posOffset>
            </wp:positionV>
            <wp:extent cx="8255" cy="9715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8255" cy="97155"/>
                    </a:xfrm>
                    <a:prstGeom prst="rect">
                      <a:avLst/>
                    </a:prstGeom>
                    <a:noFill/>
                  </pic:spPr>
                </pic:pic>
              </a:graphicData>
            </a:graphic>
          </wp:anchor>
        </w:drawing>
        <w:drawing>
          <wp:anchor simplePos="0" relativeHeight="251657728" behindDoc="1" locked="0" layoutInCell="0" allowOverlap="1">
            <wp:simplePos x="0" y="0"/>
            <wp:positionH relativeFrom="column">
              <wp:posOffset>1500505</wp:posOffset>
            </wp:positionH>
            <wp:positionV relativeFrom="paragraph">
              <wp:posOffset>-631190</wp:posOffset>
            </wp:positionV>
            <wp:extent cx="8255" cy="9715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8255" cy="97155"/>
                    </a:xfrm>
                    <a:prstGeom prst="rect">
                      <a:avLst/>
                    </a:prstGeom>
                    <a:noFill/>
                  </pic:spPr>
                </pic:pic>
              </a:graphicData>
            </a:graphic>
          </wp:anchor>
        </w:drawing>
        <w:drawing>
          <wp:anchor simplePos="0" relativeHeight="251657728" behindDoc="1" locked="0" layoutInCell="0" allowOverlap="1">
            <wp:simplePos x="0" y="0"/>
            <wp:positionH relativeFrom="column">
              <wp:posOffset>1386840</wp:posOffset>
            </wp:positionH>
            <wp:positionV relativeFrom="paragraph">
              <wp:posOffset>-631190</wp:posOffset>
            </wp:positionV>
            <wp:extent cx="8255" cy="9715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8255" cy="97155"/>
                    </a:xfrm>
                    <a:prstGeom prst="rect">
                      <a:avLst/>
                    </a:prstGeom>
                    <a:noFill/>
                  </pic:spPr>
                </pic:pic>
              </a:graphicData>
            </a:graphic>
          </wp:anchor>
        </w:drawing>
      </w:r>
    </w:p>
    <w:p>
      <w:pPr>
        <w:spacing w:after="0" w:line="117" w:lineRule="exact"/>
        <w:rPr>
          <w:sz w:val="20"/>
          <w:szCs w:val="20"/>
          <w:color w:val="auto"/>
        </w:rPr>
      </w:pPr>
    </w:p>
    <w:p>
      <w:pPr>
        <w:spacing w:after="0"/>
        <w:tabs>
          <w:tab w:leader="none" w:pos="140" w:val="left"/>
        </w:tabs>
        <w:rPr>
          <w:sz w:val="20"/>
          <w:szCs w:val="20"/>
          <w:color w:val="auto"/>
        </w:rPr>
      </w:pPr>
      <w:r>
        <w:rPr>
          <w:rFonts w:ascii="Arial" w:cs="Arial" w:eastAsia="Arial" w:hAnsi="Arial"/>
          <w:sz w:val="13"/>
          <w:szCs w:val="13"/>
          <w:color w:val="231F20"/>
        </w:rPr>
        <w:t>*</w:t>
      </w:r>
      <w:r>
        <w:rPr>
          <w:sz w:val="20"/>
          <w:szCs w:val="20"/>
          <w:color w:val="auto"/>
        </w:rPr>
        <w:tab/>
      </w:r>
      <w:r>
        <w:rPr>
          <w:rFonts w:ascii="Arial" w:cs="Arial" w:eastAsia="Arial" w:hAnsi="Arial"/>
          <w:sz w:val="12"/>
          <w:szCs w:val="12"/>
          <w:color w:val="231F20"/>
        </w:rPr>
        <w:t>Adjusted EPS is a non-GAAP financial measure. See Appendix B for reconciliation to the GAAP financial measure and adjustments made for purposes of the compensation metric attainment.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167005</wp:posOffset>
            </wp:positionV>
            <wp:extent cx="7139940" cy="825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139940" cy="8255"/>
                    </a:xfrm>
                    <a:prstGeom prst="rect">
                      <a:avLst/>
                    </a:prstGeom>
                    <a:noFill/>
                  </pic:spPr>
                </pic:pic>
              </a:graphicData>
            </a:graphic>
          </wp:anchor>
        </w:drawing>
      </w:r>
    </w:p>
    <w:p>
      <w:pPr>
        <w:spacing w:after="0" w:line="312" w:lineRule="exact"/>
        <w:rPr>
          <w:sz w:val="20"/>
          <w:szCs w:val="20"/>
          <w:color w:val="auto"/>
        </w:rPr>
      </w:pPr>
    </w:p>
    <w:p>
      <w:pPr>
        <w:ind w:left="300" w:hanging="298"/>
        <w:spacing w:after="0"/>
        <w:tabs>
          <w:tab w:leader="none" w:pos="300" w:val="left"/>
        </w:tabs>
        <w:numPr>
          <w:ilvl w:val="0"/>
          <w:numId w:val="99"/>
        </w:numPr>
        <w:rPr>
          <w:rFonts w:ascii="Arial" w:cs="Arial" w:eastAsia="Arial" w:hAnsi="Arial"/>
          <w:sz w:val="15"/>
          <w:szCs w:val="15"/>
          <w:color w:val="455986"/>
        </w:rPr>
      </w:pPr>
      <w:r>
        <w:rPr>
          <w:rFonts w:ascii="Arial" w:cs="Arial" w:eastAsia="Arial" w:hAnsi="Arial"/>
          <w:sz w:val="12"/>
          <w:szCs w:val="12"/>
          <w:color w:val="4395D4"/>
        </w:rPr>
        <w:t xml:space="preserve">ESSENTIAL UTILITIES, INC. </w:t>
      </w:r>
      <w:r>
        <w:rPr>
          <w:rFonts w:ascii="Arial" w:cs="Arial" w:eastAsia="Arial" w:hAnsi="Arial"/>
          <w:sz w:val="12"/>
          <w:szCs w:val="12"/>
          <w:color w:val="455986"/>
        </w:rPr>
        <w:t>2021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324485</wp:posOffset>
            </wp:positionV>
            <wp:extent cx="7139940" cy="2413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139940" cy="24130"/>
                    </a:xfrm>
                    <a:prstGeom prst="rect">
                      <a:avLst/>
                    </a:prstGeom>
                    <a:noFill/>
                  </pic:spPr>
                </pic:pic>
              </a:graphicData>
            </a:graphic>
          </wp:anchor>
        </w:drawing>
      </w:r>
    </w:p>
    <w:p>
      <w:pPr>
        <w:sectPr>
          <w:pgSz w:w="11900" w:h="16838" w:orient="portrait"/>
          <w:cols w:equalWidth="0" w:num="1">
            <w:col w:w="11240"/>
          </w:cols>
          <w:pgMar w:left="320" w:top="637" w:right="339" w:bottom="1440" w:gutter="0" w:footer="0" w:header="0"/>
        </w:sectPr>
      </w:pPr>
    </w:p>
    <w:bookmarkStart w:id="55" w:name="page56"/>
    <w:bookmarkEnd w:id="55"/>
    <w:p>
      <w:pPr>
        <w:spacing w:after="0"/>
        <w:rPr>
          <w:sz w:val="20"/>
          <w:szCs w:val="20"/>
          <w:color w:val="auto"/>
        </w:rPr>
      </w:pPr>
      <w:r>
        <w:rPr>
          <w:rFonts w:ascii="Arial" w:cs="Arial" w:eastAsia="Arial" w:hAnsi="Arial"/>
          <w:sz w:val="14"/>
          <w:szCs w:val="14"/>
          <w:b w:val="1"/>
          <w:bCs w:val="1"/>
          <w:color w:val="455986"/>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27940</wp:posOffset>
            </wp:positionV>
            <wp:extent cx="7139940" cy="825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139940" cy="8255"/>
                    </a:xfrm>
                    <a:prstGeom prst="rect">
                      <a:avLst/>
                    </a:prstGeom>
                    <a:noFill/>
                  </pic:spPr>
                </pic:pic>
              </a:graphicData>
            </a:graphic>
          </wp:anchor>
        </w:drawing>
      </w:r>
    </w:p>
    <w:p>
      <w:pPr>
        <w:spacing w:after="0" w:line="76" w:lineRule="exact"/>
        <w:rPr>
          <w:sz w:val="20"/>
          <w:szCs w:val="20"/>
          <w:color w:val="auto"/>
        </w:rPr>
      </w:pPr>
    </w:p>
    <w:p>
      <w:pPr>
        <w:spacing w:after="0"/>
        <w:rPr>
          <w:sz w:val="20"/>
          <w:szCs w:val="20"/>
          <w:color w:val="auto"/>
        </w:rPr>
      </w:pPr>
      <w:r>
        <w:rPr>
          <w:rFonts w:ascii="Arial" w:cs="Arial" w:eastAsia="Arial" w:hAnsi="Arial"/>
          <w:sz w:val="14"/>
          <w:szCs w:val="14"/>
          <w:color w:val="4395D4"/>
        </w:rPr>
        <w:t xml:space="preserve">Section 3 </w:t>
      </w:r>
      <w:r>
        <w:rPr>
          <w:rFonts w:ascii="Arial" w:cs="Arial" w:eastAsia="Arial" w:hAnsi="Arial"/>
          <w:sz w:val="14"/>
          <w:szCs w:val="14"/>
          <w:color w:val="231F20"/>
        </w:rPr>
        <w:t>2020 Executive Compensation Program</w:t>
      </w:r>
    </w:p>
    <w:p>
      <w:pPr>
        <w:spacing w:after="0" w:line="177" w:lineRule="exact"/>
        <w:rPr>
          <w:sz w:val="20"/>
          <w:szCs w:val="20"/>
          <w:color w:val="auto"/>
        </w:rPr>
      </w:pPr>
    </w:p>
    <w:p>
      <w:pPr>
        <w:spacing w:after="0"/>
        <w:rPr>
          <w:sz w:val="20"/>
          <w:szCs w:val="20"/>
          <w:color w:val="auto"/>
        </w:rPr>
      </w:pPr>
      <w:r>
        <w:rPr>
          <w:rFonts w:ascii="Arial" w:cs="Arial" w:eastAsia="Arial" w:hAnsi="Arial"/>
          <w:sz w:val="15"/>
          <w:szCs w:val="15"/>
          <w:b w:val="1"/>
          <w:bCs w:val="1"/>
          <w:color w:val="231F20"/>
        </w:rPr>
        <w:t>2020 Annual Cash Incentive Award Metrics and Targets</w:t>
      </w:r>
    </w:p>
    <w:p>
      <w:pPr>
        <w:spacing w:after="0" w:line="156" w:lineRule="exact"/>
        <w:rPr>
          <w:sz w:val="20"/>
          <w:szCs w:val="20"/>
          <w:color w:val="auto"/>
        </w:rPr>
      </w:pPr>
    </w:p>
    <w:p>
      <w:pPr>
        <w:spacing w:after="0"/>
        <w:rPr>
          <w:sz w:val="20"/>
          <w:szCs w:val="20"/>
          <w:color w:val="auto"/>
        </w:rPr>
      </w:pPr>
      <w:r>
        <w:rPr>
          <w:rFonts w:ascii="Arial" w:cs="Arial" w:eastAsia="Arial" w:hAnsi="Arial"/>
          <w:sz w:val="14"/>
          <w:szCs w:val="14"/>
          <w:color w:val="231F20"/>
        </w:rPr>
        <w:t>The tables and the narrative below detail the 2020 Annual Cash Incentive Award Metrics.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920" w:type="dxa"/>
            <w:vAlign w:val="bottom"/>
          </w:tcPr>
          <w:p>
            <w:pPr>
              <w:spacing w:after="0"/>
              <w:rPr>
                <w:sz w:val="20"/>
                <w:szCs w:val="20"/>
                <w:color w:val="auto"/>
              </w:rPr>
            </w:pPr>
            <w:r>
              <w:rPr>
                <w:rFonts w:ascii="Arial" w:cs="Arial" w:eastAsia="Arial" w:hAnsi="Arial"/>
                <w:sz w:val="12"/>
                <w:szCs w:val="12"/>
                <w:color w:val="455986"/>
              </w:rPr>
              <w:t>Metric</w:t>
            </w:r>
          </w:p>
        </w:tc>
        <w:tc>
          <w:tcPr>
            <w:tcW w:w="2800" w:type="dxa"/>
            <w:vAlign w:val="bottom"/>
          </w:tcPr>
          <w:p>
            <w:pPr>
              <w:spacing w:after="0"/>
              <w:rPr>
                <w:sz w:val="15"/>
                <w:szCs w:val="15"/>
                <w:color w:val="auto"/>
              </w:rPr>
            </w:pPr>
          </w:p>
        </w:tc>
        <w:tc>
          <w:tcPr>
            <w:tcW w:w="3960" w:type="dxa"/>
            <w:vAlign w:val="bottom"/>
          </w:tcPr>
          <w:p>
            <w:pPr>
              <w:spacing w:after="0"/>
              <w:rPr>
                <w:sz w:val="15"/>
                <w:szCs w:val="15"/>
                <w:color w:val="auto"/>
              </w:rPr>
            </w:pPr>
          </w:p>
        </w:tc>
        <w:tc>
          <w:tcPr>
            <w:tcW w:w="860" w:type="dxa"/>
            <w:vAlign w:val="bottom"/>
            <w:tcBorders>
              <w:bottom w:val="single" w:sz="8" w:color="4395D4"/>
            </w:tcBorders>
          </w:tcPr>
          <w:p>
            <w:pPr>
              <w:spacing w:after="0"/>
              <w:rPr>
                <w:sz w:val="15"/>
                <w:szCs w:val="15"/>
                <w:color w:val="auto"/>
              </w:rPr>
            </w:pPr>
          </w:p>
        </w:tc>
        <w:tc>
          <w:tcPr>
            <w:tcW w:w="1920" w:type="dxa"/>
            <w:vAlign w:val="bottom"/>
            <w:tcBorders>
              <w:bottom w:val="single" w:sz="8" w:color="4395D4"/>
            </w:tcBorders>
            <w:gridSpan w:val="2"/>
          </w:tcPr>
          <w:p>
            <w:pPr>
              <w:jc w:val="right"/>
              <w:ind w:right="408"/>
              <w:spacing w:after="0"/>
              <w:rPr>
                <w:sz w:val="20"/>
                <w:szCs w:val="20"/>
                <w:color w:val="auto"/>
              </w:rPr>
            </w:pPr>
            <w:r>
              <w:rPr>
                <w:rFonts w:ascii="Arial" w:cs="Arial" w:eastAsia="Arial" w:hAnsi="Arial"/>
                <w:sz w:val="12"/>
                <w:szCs w:val="12"/>
                <w:color w:val="455986"/>
              </w:rPr>
              <w:t>Target Achievement</w:t>
            </w:r>
          </w:p>
        </w:tc>
        <w:tc>
          <w:tcPr>
            <w:tcW w:w="780" w:type="dxa"/>
            <w:vAlign w:val="bottom"/>
            <w:tcBorders>
              <w:bottom w:val="single" w:sz="8" w:color="4395D4"/>
            </w:tcBorders>
          </w:tcPr>
          <w:p>
            <w:pPr>
              <w:spacing w:after="0"/>
              <w:rPr>
                <w:sz w:val="15"/>
                <w:szCs w:val="15"/>
                <w:color w:val="auto"/>
              </w:rPr>
            </w:pPr>
          </w:p>
        </w:tc>
        <w:tc>
          <w:tcPr>
            <w:tcW w:w="0" w:type="dxa"/>
            <w:vAlign w:val="bottom"/>
          </w:tcPr>
          <w:p>
            <w:pPr>
              <w:spacing w:after="0"/>
              <w:rPr>
                <w:sz w:val="1"/>
                <w:szCs w:val="1"/>
                <w:color w:val="auto"/>
              </w:rPr>
            </w:pPr>
          </w:p>
        </w:tc>
      </w:tr>
      <w:tr>
        <w:trPr>
          <w:trHeight w:val="194"/>
        </w:trPr>
        <w:tc>
          <w:tcPr>
            <w:tcW w:w="920" w:type="dxa"/>
            <w:vAlign w:val="bottom"/>
            <w:tcBorders>
              <w:bottom w:val="single" w:sz="8" w:color="4395D4"/>
            </w:tcBorders>
          </w:tcPr>
          <w:p>
            <w:pPr>
              <w:spacing w:after="0"/>
              <w:rPr>
                <w:sz w:val="20"/>
                <w:szCs w:val="20"/>
                <w:color w:val="auto"/>
              </w:rPr>
            </w:pPr>
            <w:r>
              <w:rPr>
                <w:rFonts w:ascii="Arial" w:cs="Arial" w:eastAsia="Arial" w:hAnsi="Arial"/>
                <w:sz w:val="12"/>
                <w:szCs w:val="12"/>
                <w:color w:val="455986"/>
              </w:rPr>
              <w:t>Weight</w:t>
            </w:r>
          </w:p>
        </w:tc>
        <w:tc>
          <w:tcPr>
            <w:tcW w:w="2800" w:type="dxa"/>
            <w:vAlign w:val="bottom"/>
            <w:tcBorders>
              <w:bottom w:val="single" w:sz="8" w:color="4395D4"/>
            </w:tcBorders>
          </w:tcPr>
          <w:p>
            <w:pPr>
              <w:ind w:left="540"/>
              <w:spacing w:after="0"/>
              <w:rPr>
                <w:sz w:val="20"/>
                <w:szCs w:val="20"/>
                <w:color w:val="auto"/>
              </w:rPr>
            </w:pPr>
            <w:r>
              <w:rPr>
                <w:rFonts w:ascii="Arial" w:cs="Arial" w:eastAsia="Arial" w:hAnsi="Arial"/>
                <w:sz w:val="12"/>
                <w:szCs w:val="12"/>
                <w:color w:val="455986"/>
              </w:rPr>
              <w:t>Metric</w:t>
            </w:r>
          </w:p>
        </w:tc>
        <w:tc>
          <w:tcPr>
            <w:tcW w:w="3960" w:type="dxa"/>
            <w:vAlign w:val="bottom"/>
            <w:tcBorders>
              <w:bottom w:val="single" w:sz="8" w:color="4395D4"/>
            </w:tcBorders>
          </w:tcPr>
          <w:p>
            <w:pPr>
              <w:spacing w:after="0"/>
              <w:rPr>
                <w:sz w:val="20"/>
                <w:szCs w:val="20"/>
                <w:color w:val="auto"/>
              </w:rPr>
            </w:pPr>
            <w:r>
              <w:rPr>
                <w:rFonts w:ascii="Arial" w:cs="Arial" w:eastAsia="Arial" w:hAnsi="Arial"/>
                <w:sz w:val="12"/>
                <w:szCs w:val="12"/>
                <w:color w:val="455986"/>
              </w:rPr>
              <w:t>Metric Components &amp; Weights</w:t>
            </w:r>
          </w:p>
        </w:tc>
        <w:tc>
          <w:tcPr>
            <w:tcW w:w="860" w:type="dxa"/>
            <w:vAlign w:val="bottom"/>
            <w:tcBorders>
              <w:bottom w:val="single" w:sz="8" w:color="4395D4"/>
            </w:tcBorders>
          </w:tcPr>
          <w:p>
            <w:pPr>
              <w:spacing w:after="0"/>
              <w:rPr>
                <w:sz w:val="20"/>
                <w:szCs w:val="20"/>
                <w:color w:val="auto"/>
              </w:rPr>
            </w:pPr>
            <w:r>
              <w:rPr>
                <w:rFonts w:ascii="Arial" w:cs="Arial" w:eastAsia="Arial" w:hAnsi="Arial"/>
                <w:sz w:val="12"/>
                <w:szCs w:val="12"/>
                <w:color w:val="455986"/>
              </w:rPr>
              <w:t>50%</w:t>
            </w:r>
          </w:p>
        </w:tc>
        <w:tc>
          <w:tcPr>
            <w:tcW w:w="1920" w:type="dxa"/>
            <w:vAlign w:val="bottom"/>
            <w:tcBorders>
              <w:bottom w:val="single" w:sz="8" w:color="4395D4"/>
            </w:tcBorders>
            <w:gridSpan w:val="2"/>
          </w:tcPr>
          <w:p>
            <w:pPr>
              <w:jc w:val="right"/>
              <w:ind w:right="88"/>
              <w:spacing w:after="0"/>
              <w:rPr>
                <w:sz w:val="20"/>
                <w:szCs w:val="20"/>
                <w:color w:val="auto"/>
              </w:rPr>
            </w:pPr>
            <w:r>
              <w:rPr>
                <w:rFonts w:ascii="Arial" w:cs="Arial" w:eastAsia="Arial" w:hAnsi="Arial"/>
                <w:sz w:val="12"/>
                <w:szCs w:val="12"/>
                <w:b w:val="1"/>
                <w:bCs w:val="1"/>
                <w:color w:val="4395D4"/>
              </w:rPr>
              <w:t>100%</w:t>
            </w:r>
          </w:p>
        </w:tc>
        <w:tc>
          <w:tcPr>
            <w:tcW w:w="780" w:type="dxa"/>
            <w:vAlign w:val="bottom"/>
            <w:tcBorders>
              <w:bottom w:val="single" w:sz="8" w:color="4395D4"/>
            </w:tcBorders>
          </w:tcPr>
          <w:p>
            <w:pPr>
              <w:jc w:val="right"/>
              <w:ind w:right="8"/>
              <w:spacing w:after="0"/>
              <w:rPr>
                <w:sz w:val="20"/>
                <w:szCs w:val="20"/>
                <w:color w:val="auto"/>
              </w:rPr>
            </w:pPr>
            <w:r>
              <w:rPr>
                <w:rFonts w:ascii="Arial" w:cs="Arial" w:eastAsia="Arial" w:hAnsi="Arial"/>
                <w:sz w:val="14"/>
                <w:szCs w:val="14"/>
                <w:color w:val="231F20"/>
              </w:rPr>
              <w:t>150%</w:t>
            </w:r>
          </w:p>
        </w:tc>
        <w:tc>
          <w:tcPr>
            <w:tcW w:w="0" w:type="dxa"/>
            <w:vAlign w:val="bottom"/>
          </w:tcPr>
          <w:p>
            <w:pPr>
              <w:spacing w:after="0"/>
              <w:rPr>
                <w:sz w:val="1"/>
                <w:szCs w:val="1"/>
                <w:color w:val="auto"/>
              </w:rPr>
            </w:pPr>
          </w:p>
        </w:tc>
      </w:tr>
      <w:tr>
        <w:trPr>
          <w:trHeight w:val="34"/>
        </w:trPr>
        <w:tc>
          <w:tcPr>
            <w:tcW w:w="920" w:type="dxa"/>
            <w:vAlign w:val="bottom"/>
            <w:vMerge w:val="restart"/>
          </w:tcPr>
          <w:p>
            <w:pPr>
              <w:spacing w:after="0"/>
              <w:rPr>
                <w:sz w:val="20"/>
                <w:szCs w:val="20"/>
                <w:color w:val="auto"/>
              </w:rPr>
            </w:pPr>
            <w:r>
              <w:rPr>
                <w:rFonts w:ascii="Arial" w:cs="Arial" w:eastAsia="Arial" w:hAnsi="Arial"/>
                <w:sz w:val="14"/>
                <w:szCs w:val="14"/>
                <w:b w:val="1"/>
                <w:bCs w:val="1"/>
                <w:color w:val="4395D4"/>
              </w:rPr>
              <w:t>50%</w:t>
            </w:r>
          </w:p>
        </w:tc>
        <w:tc>
          <w:tcPr>
            <w:tcW w:w="2800" w:type="dxa"/>
            <w:vAlign w:val="bottom"/>
            <w:vMerge w:val="restart"/>
          </w:tcPr>
          <w:p>
            <w:pPr>
              <w:ind w:left="540"/>
              <w:spacing w:after="0"/>
              <w:rPr>
                <w:sz w:val="20"/>
                <w:szCs w:val="20"/>
                <w:color w:val="auto"/>
              </w:rPr>
            </w:pPr>
            <w:r>
              <w:rPr>
                <w:rFonts w:ascii="Arial" w:cs="Arial" w:eastAsia="Arial" w:hAnsi="Arial"/>
                <w:sz w:val="14"/>
                <w:szCs w:val="14"/>
                <w:b w:val="1"/>
                <w:bCs w:val="1"/>
                <w:color w:val="455986"/>
              </w:rPr>
              <w:t>Financial</w:t>
            </w:r>
          </w:p>
        </w:tc>
        <w:tc>
          <w:tcPr>
            <w:tcW w:w="3960" w:type="dxa"/>
            <w:vAlign w:val="bottom"/>
            <w:vMerge w:val="restart"/>
          </w:tcPr>
          <w:p>
            <w:pPr>
              <w:spacing w:after="0"/>
              <w:rPr>
                <w:sz w:val="20"/>
                <w:szCs w:val="20"/>
                <w:color w:val="auto"/>
              </w:rPr>
            </w:pPr>
            <w:r>
              <w:rPr>
                <w:rFonts w:ascii="Arial" w:cs="Arial" w:eastAsia="Arial" w:hAnsi="Arial"/>
                <w:sz w:val="14"/>
                <w:szCs w:val="14"/>
                <w:color w:val="231F20"/>
              </w:rPr>
              <w:t>Essential Earnings Per Share* [35%]</w:t>
            </w:r>
          </w:p>
        </w:tc>
        <w:tc>
          <w:tcPr>
            <w:tcW w:w="860" w:type="dxa"/>
            <w:vAlign w:val="bottom"/>
          </w:tcPr>
          <w:p>
            <w:pPr>
              <w:spacing w:after="0"/>
              <w:rPr>
                <w:sz w:val="2"/>
                <w:szCs w:val="2"/>
                <w:color w:val="auto"/>
              </w:rPr>
            </w:pPr>
          </w:p>
        </w:tc>
        <w:tc>
          <w:tcPr>
            <w:tcW w:w="1920" w:type="dxa"/>
            <w:vAlign w:val="bottom"/>
            <w:gridSpan w:val="2"/>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9"/>
        </w:trPr>
        <w:tc>
          <w:tcPr>
            <w:tcW w:w="920" w:type="dxa"/>
            <w:vAlign w:val="bottom"/>
            <w:vMerge w:val="continue"/>
          </w:tcPr>
          <w:p>
            <w:pPr>
              <w:spacing w:after="0"/>
              <w:rPr>
                <w:sz w:val="15"/>
                <w:szCs w:val="15"/>
                <w:color w:val="auto"/>
              </w:rPr>
            </w:pPr>
          </w:p>
        </w:tc>
        <w:tc>
          <w:tcPr>
            <w:tcW w:w="2800" w:type="dxa"/>
            <w:vAlign w:val="bottom"/>
            <w:vMerge w:val="continue"/>
          </w:tcPr>
          <w:p>
            <w:pPr>
              <w:spacing w:after="0"/>
              <w:rPr>
                <w:sz w:val="15"/>
                <w:szCs w:val="15"/>
                <w:color w:val="auto"/>
              </w:rPr>
            </w:pPr>
          </w:p>
        </w:tc>
        <w:tc>
          <w:tcPr>
            <w:tcW w:w="3960" w:type="dxa"/>
            <w:vAlign w:val="bottom"/>
            <w:vMerge w:val="continue"/>
          </w:tcPr>
          <w:p>
            <w:pPr>
              <w:spacing w:after="0"/>
              <w:rPr>
                <w:sz w:val="15"/>
                <w:szCs w:val="15"/>
                <w:color w:val="auto"/>
              </w:rPr>
            </w:pPr>
          </w:p>
        </w:tc>
        <w:tc>
          <w:tcPr>
            <w:tcW w:w="860" w:type="dxa"/>
            <w:vAlign w:val="bottom"/>
            <w:shd w:val="clear" w:color="auto" w:fill="EAEBEC"/>
          </w:tcPr>
          <w:p>
            <w:pPr>
              <w:spacing w:after="0"/>
              <w:rPr>
                <w:sz w:val="20"/>
                <w:szCs w:val="20"/>
                <w:color w:val="auto"/>
              </w:rPr>
            </w:pPr>
            <w:r>
              <w:rPr>
                <w:rFonts w:ascii="Arial" w:cs="Arial" w:eastAsia="Arial" w:hAnsi="Arial"/>
                <w:sz w:val="14"/>
                <w:szCs w:val="14"/>
                <w:color w:val="231F20"/>
              </w:rPr>
              <w:t>$1.50</w:t>
            </w:r>
          </w:p>
        </w:tc>
        <w:tc>
          <w:tcPr>
            <w:tcW w:w="480" w:type="dxa"/>
            <w:vAlign w:val="bottom"/>
            <w:shd w:val="clear" w:color="auto" w:fill="EAEBEC"/>
          </w:tcPr>
          <w:p>
            <w:pPr>
              <w:spacing w:after="0"/>
              <w:rPr>
                <w:sz w:val="15"/>
                <w:szCs w:val="15"/>
                <w:color w:val="auto"/>
              </w:rPr>
            </w:pPr>
          </w:p>
        </w:tc>
        <w:tc>
          <w:tcPr>
            <w:tcW w:w="1440" w:type="dxa"/>
            <w:vAlign w:val="bottom"/>
            <w:shd w:val="clear" w:color="auto" w:fill="D1D2D3"/>
          </w:tcPr>
          <w:p>
            <w:pPr>
              <w:jc w:val="right"/>
              <w:ind w:right="88"/>
              <w:spacing w:after="0"/>
              <w:rPr>
                <w:sz w:val="20"/>
                <w:szCs w:val="20"/>
                <w:color w:val="auto"/>
              </w:rPr>
            </w:pPr>
            <w:r>
              <w:rPr>
                <w:rFonts w:ascii="Arial" w:cs="Arial" w:eastAsia="Arial" w:hAnsi="Arial"/>
                <w:sz w:val="14"/>
                <w:szCs w:val="14"/>
                <w:b w:val="1"/>
                <w:bCs w:val="1"/>
                <w:color w:val="4395D4"/>
              </w:rPr>
              <w:t>$1.55</w:t>
            </w:r>
          </w:p>
        </w:tc>
        <w:tc>
          <w:tcPr>
            <w:tcW w:w="780" w:type="dxa"/>
            <w:vAlign w:val="bottom"/>
            <w:shd w:val="clear" w:color="auto" w:fill="ADAFB2"/>
          </w:tcPr>
          <w:p>
            <w:pPr>
              <w:jc w:val="right"/>
              <w:ind w:right="8"/>
              <w:spacing w:after="0"/>
              <w:rPr>
                <w:sz w:val="20"/>
                <w:szCs w:val="20"/>
                <w:color w:val="auto"/>
              </w:rPr>
            </w:pPr>
            <w:r>
              <w:rPr>
                <w:rFonts w:ascii="Arial" w:cs="Arial" w:eastAsia="Arial" w:hAnsi="Arial"/>
                <w:sz w:val="14"/>
                <w:szCs w:val="14"/>
                <w:color w:val="FFFFFF"/>
              </w:rPr>
              <w:t>$1.60</w:t>
            </w:r>
          </w:p>
        </w:tc>
        <w:tc>
          <w:tcPr>
            <w:tcW w:w="0" w:type="dxa"/>
            <w:vAlign w:val="bottom"/>
          </w:tcPr>
          <w:p>
            <w:pPr>
              <w:spacing w:after="0"/>
              <w:rPr>
                <w:sz w:val="1"/>
                <w:szCs w:val="1"/>
                <w:color w:val="auto"/>
              </w:rPr>
            </w:pPr>
          </w:p>
        </w:tc>
      </w:tr>
      <w:tr>
        <w:trPr>
          <w:trHeight w:val="26"/>
        </w:trPr>
        <w:tc>
          <w:tcPr>
            <w:tcW w:w="920" w:type="dxa"/>
            <w:vAlign w:val="bottom"/>
          </w:tcPr>
          <w:p>
            <w:pPr>
              <w:spacing w:after="0"/>
              <w:rPr>
                <w:sz w:val="2"/>
                <w:szCs w:val="2"/>
                <w:color w:val="auto"/>
              </w:rPr>
            </w:pPr>
          </w:p>
        </w:tc>
        <w:tc>
          <w:tcPr>
            <w:tcW w:w="2800" w:type="dxa"/>
            <w:vAlign w:val="bottom"/>
          </w:tcPr>
          <w:p>
            <w:pPr>
              <w:spacing w:after="0"/>
              <w:rPr>
                <w:sz w:val="2"/>
                <w:szCs w:val="2"/>
                <w:color w:val="auto"/>
              </w:rPr>
            </w:pPr>
          </w:p>
        </w:tc>
        <w:tc>
          <w:tcPr>
            <w:tcW w:w="3960" w:type="dxa"/>
            <w:vAlign w:val="bottom"/>
            <w:tcBorders>
              <w:bottom w:val="single" w:sz="8" w:color="231F20"/>
            </w:tcBorders>
          </w:tcPr>
          <w:p>
            <w:pPr>
              <w:spacing w:after="0"/>
              <w:rPr>
                <w:sz w:val="2"/>
                <w:szCs w:val="2"/>
                <w:color w:val="auto"/>
              </w:rPr>
            </w:pPr>
          </w:p>
        </w:tc>
        <w:tc>
          <w:tcPr>
            <w:tcW w:w="860" w:type="dxa"/>
            <w:vAlign w:val="bottom"/>
            <w:tcBorders>
              <w:bottom w:val="single" w:sz="8" w:color="231F20"/>
            </w:tcBorders>
          </w:tcPr>
          <w:p>
            <w:pPr>
              <w:spacing w:after="0"/>
              <w:rPr>
                <w:sz w:val="2"/>
                <w:szCs w:val="2"/>
                <w:color w:val="auto"/>
              </w:rPr>
            </w:pPr>
          </w:p>
        </w:tc>
        <w:tc>
          <w:tcPr>
            <w:tcW w:w="1920" w:type="dxa"/>
            <w:vAlign w:val="bottom"/>
            <w:tcBorders>
              <w:bottom w:val="single" w:sz="8" w:color="231F20"/>
            </w:tcBorders>
            <w:gridSpan w:val="2"/>
          </w:tcPr>
          <w:p>
            <w:pPr>
              <w:spacing w:after="0"/>
              <w:rPr>
                <w:sz w:val="2"/>
                <w:szCs w:val="2"/>
                <w:color w:val="auto"/>
              </w:rPr>
            </w:pPr>
          </w:p>
        </w:tc>
        <w:tc>
          <w:tcPr>
            <w:tcW w:w="780" w:type="dxa"/>
            <w:vAlign w:val="bottom"/>
            <w:tcBorders>
              <w:bottom w:val="single" w:sz="8" w:color="231F20"/>
            </w:tcBorders>
          </w:tcPr>
          <w:p>
            <w:pPr>
              <w:spacing w:after="0"/>
              <w:rPr>
                <w:sz w:val="2"/>
                <w:szCs w:val="2"/>
                <w:color w:val="auto"/>
              </w:rPr>
            </w:pPr>
          </w:p>
        </w:tc>
        <w:tc>
          <w:tcPr>
            <w:tcW w:w="0" w:type="dxa"/>
            <w:vAlign w:val="bottom"/>
          </w:tcPr>
          <w:p>
            <w:pPr>
              <w:spacing w:after="0"/>
              <w:rPr>
                <w:sz w:val="1"/>
                <w:szCs w:val="1"/>
                <w:color w:val="auto"/>
              </w:rPr>
            </w:pPr>
          </w:p>
        </w:tc>
      </w:tr>
      <w:tr>
        <w:trPr>
          <w:trHeight w:val="57"/>
        </w:trPr>
        <w:tc>
          <w:tcPr>
            <w:tcW w:w="920" w:type="dxa"/>
            <w:vAlign w:val="bottom"/>
          </w:tcPr>
          <w:p>
            <w:pPr>
              <w:spacing w:after="0"/>
              <w:rPr>
                <w:sz w:val="4"/>
                <w:szCs w:val="4"/>
                <w:color w:val="auto"/>
              </w:rPr>
            </w:pPr>
          </w:p>
        </w:tc>
        <w:tc>
          <w:tcPr>
            <w:tcW w:w="2800" w:type="dxa"/>
            <w:vAlign w:val="bottom"/>
          </w:tcPr>
          <w:p>
            <w:pPr>
              <w:spacing w:after="0"/>
              <w:rPr>
                <w:sz w:val="4"/>
                <w:szCs w:val="4"/>
                <w:color w:val="auto"/>
              </w:rPr>
            </w:pPr>
          </w:p>
        </w:tc>
        <w:tc>
          <w:tcPr>
            <w:tcW w:w="3960" w:type="dxa"/>
            <w:vAlign w:val="bottom"/>
            <w:vMerge w:val="restart"/>
          </w:tcPr>
          <w:p>
            <w:pPr>
              <w:spacing w:after="0"/>
              <w:rPr>
                <w:sz w:val="20"/>
                <w:szCs w:val="20"/>
                <w:color w:val="auto"/>
              </w:rPr>
            </w:pPr>
            <w:r>
              <w:rPr>
                <w:rFonts w:ascii="Arial" w:cs="Arial" w:eastAsia="Arial" w:hAnsi="Arial"/>
                <w:sz w:val="14"/>
                <w:szCs w:val="14"/>
                <w:color w:val="231F20"/>
              </w:rPr>
              <w:t>Essential Return on Equity [15%]</w:t>
            </w:r>
          </w:p>
        </w:tc>
        <w:tc>
          <w:tcPr>
            <w:tcW w:w="860" w:type="dxa"/>
            <w:vAlign w:val="bottom"/>
          </w:tcPr>
          <w:p>
            <w:pPr>
              <w:spacing w:after="0"/>
              <w:rPr>
                <w:sz w:val="4"/>
                <w:szCs w:val="4"/>
                <w:color w:val="auto"/>
              </w:rPr>
            </w:pPr>
          </w:p>
        </w:tc>
        <w:tc>
          <w:tcPr>
            <w:tcW w:w="1920" w:type="dxa"/>
            <w:vAlign w:val="bottom"/>
            <w:gridSpan w:val="2"/>
          </w:tcPr>
          <w:p>
            <w:pPr>
              <w:spacing w:after="0"/>
              <w:rPr>
                <w:sz w:val="4"/>
                <w:szCs w:val="4"/>
                <w:color w:val="auto"/>
              </w:rPr>
            </w:pPr>
          </w:p>
        </w:tc>
        <w:tc>
          <w:tcPr>
            <w:tcW w:w="7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9"/>
        </w:trPr>
        <w:tc>
          <w:tcPr>
            <w:tcW w:w="920" w:type="dxa"/>
            <w:vAlign w:val="bottom"/>
          </w:tcPr>
          <w:p>
            <w:pPr>
              <w:spacing w:after="0"/>
              <w:rPr>
                <w:sz w:val="15"/>
                <w:szCs w:val="15"/>
                <w:color w:val="auto"/>
              </w:rPr>
            </w:pPr>
          </w:p>
        </w:tc>
        <w:tc>
          <w:tcPr>
            <w:tcW w:w="2800" w:type="dxa"/>
            <w:vAlign w:val="bottom"/>
          </w:tcPr>
          <w:p>
            <w:pPr>
              <w:spacing w:after="0"/>
              <w:rPr>
                <w:sz w:val="15"/>
                <w:szCs w:val="15"/>
                <w:color w:val="auto"/>
              </w:rPr>
            </w:pPr>
          </w:p>
        </w:tc>
        <w:tc>
          <w:tcPr>
            <w:tcW w:w="3960" w:type="dxa"/>
            <w:vAlign w:val="bottom"/>
            <w:vMerge w:val="continue"/>
          </w:tcPr>
          <w:p>
            <w:pPr>
              <w:spacing w:after="0"/>
              <w:rPr>
                <w:sz w:val="15"/>
                <w:szCs w:val="15"/>
                <w:color w:val="auto"/>
              </w:rPr>
            </w:pPr>
          </w:p>
        </w:tc>
        <w:tc>
          <w:tcPr>
            <w:tcW w:w="860" w:type="dxa"/>
            <w:vAlign w:val="bottom"/>
            <w:shd w:val="clear" w:color="auto" w:fill="EAEBEC"/>
          </w:tcPr>
          <w:p>
            <w:pPr>
              <w:spacing w:after="0"/>
              <w:rPr>
                <w:sz w:val="20"/>
                <w:szCs w:val="20"/>
                <w:color w:val="auto"/>
              </w:rPr>
            </w:pPr>
            <w:r>
              <w:rPr>
                <w:rFonts w:ascii="Arial" w:cs="Arial" w:eastAsia="Arial" w:hAnsi="Arial"/>
                <w:sz w:val="14"/>
                <w:szCs w:val="14"/>
                <w:color w:val="231F20"/>
              </w:rPr>
              <w:t>5.77%</w:t>
            </w:r>
          </w:p>
        </w:tc>
        <w:tc>
          <w:tcPr>
            <w:tcW w:w="480" w:type="dxa"/>
            <w:vAlign w:val="bottom"/>
            <w:shd w:val="clear" w:color="auto" w:fill="EAEBEC"/>
          </w:tcPr>
          <w:p>
            <w:pPr>
              <w:spacing w:after="0"/>
              <w:rPr>
                <w:sz w:val="15"/>
                <w:szCs w:val="15"/>
                <w:color w:val="auto"/>
              </w:rPr>
            </w:pPr>
          </w:p>
        </w:tc>
        <w:tc>
          <w:tcPr>
            <w:tcW w:w="1440" w:type="dxa"/>
            <w:vAlign w:val="bottom"/>
            <w:shd w:val="clear" w:color="auto" w:fill="D1D2D3"/>
          </w:tcPr>
          <w:p>
            <w:pPr>
              <w:jc w:val="right"/>
              <w:ind w:right="88"/>
              <w:spacing w:after="0"/>
              <w:rPr>
                <w:sz w:val="20"/>
                <w:szCs w:val="20"/>
                <w:color w:val="auto"/>
              </w:rPr>
            </w:pPr>
            <w:r>
              <w:rPr>
                <w:rFonts w:ascii="Arial" w:cs="Arial" w:eastAsia="Arial" w:hAnsi="Arial"/>
                <w:sz w:val="14"/>
                <w:szCs w:val="14"/>
                <w:b w:val="1"/>
                <w:bCs w:val="1"/>
                <w:color w:val="4395D4"/>
              </w:rPr>
              <w:t>9.52%</w:t>
            </w:r>
          </w:p>
        </w:tc>
        <w:tc>
          <w:tcPr>
            <w:tcW w:w="780" w:type="dxa"/>
            <w:vAlign w:val="bottom"/>
            <w:shd w:val="clear" w:color="auto" w:fill="ADAFB2"/>
          </w:tcPr>
          <w:p>
            <w:pPr>
              <w:jc w:val="right"/>
              <w:ind w:right="8"/>
              <w:spacing w:after="0"/>
              <w:rPr>
                <w:sz w:val="20"/>
                <w:szCs w:val="20"/>
                <w:color w:val="auto"/>
              </w:rPr>
            </w:pPr>
            <w:r>
              <w:rPr>
                <w:rFonts w:ascii="Arial" w:cs="Arial" w:eastAsia="Arial" w:hAnsi="Arial"/>
                <w:sz w:val="14"/>
                <w:szCs w:val="14"/>
                <w:color w:val="FFFFFF"/>
              </w:rPr>
              <w:t>13.27%</w:t>
            </w:r>
          </w:p>
        </w:tc>
        <w:tc>
          <w:tcPr>
            <w:tcW w:w="0" w:type="dxa"/>
            <w:vAlign w:val="bottom"/>
          </w:tcPr>
          <w:p>
            <w:pPr>
              <w:spacing w:after="0"/>
              <w:rPr>
                <w:sz w:val="1"/>
                <w:szCs w:val="1"/>
                <w:color w:val="auto"/>
              </w:rPr>
            </w:pPr>
          </w:p>
        </w:tc>
      </w:tr>
      <w:tr>
        <w:trPr>
          <w:trHeight w:val="26"/>
        </w:trPr>
        <w:tc>
          <w:tcPr>
            <w:tcW w:w="920" w:type="dxa"/>
            <w:vAlign w:val="bottom"/>
            <w:tcBorders>
              <w:bottom w:val="single" w:sz="8" w:color="231F20"/>
            </w:tcBorders>
          </w:tcPr>
          <w:p>
            <w:pPr>
              <w:spacing w:after="0"/>
              <w:rPr>
                <w:sz w:val="2"/>
                <w:szCs w:val="2"/>
                <w:color w:val="auto"/>
              </w:rPr>
            </w:pPr>
          </w:p>
        </w:tc>
        <w:tc>
          <w:tcPr>
            <w:tcW w:w="2800" w:type="dxa"/>
            <w:vAlign w:val="bottom"/>
            <w:tcBorders>
              <w:bottom w:val="single" w:sz="8" w:color="231F20"/>
            </w:tcBorders>
          </w:tcPr>
          <w:p>
            <w:pPr>
              <w:spacing w:after="0"/>
              <w:rPr>
                <w:sz w:val="2"/>
                <w:szCs w:val="2"/>
                <w:color w:val="auto"/>
              </w:rPr>
            </w:pPr>
          </w:p>
        </w:tc>
        <w:tc>
          <w:tcPr>
            <w:tcW w:w="3960" w:type="dxa"/>
            <w:vAlign w:val="bottom"/>
            <w:tcBorders>
              <w:bottom w:val="single" w:sz="8" w:color="231F20"/>
            </w:tcBorders>
          </w:tcPr>
          <w:p>
            <w:pPr>
              <w:spacing w:after="0"/>
              <w:rPr>
                <w:sz w:val="2"/>
                <w:szCs w:val="2"/>
                <w:color w:val="auto"/>
              </w:rPr>
            </w:pPr>
          </w:p>
        </w:tc>
        <w:tc>
          <w:tcPr>
            <w:tcW w:w="860" w:type="dxa"/>
            <w:vAlign w:val="bottom"/>
            <w:tcBorders>
              <w:bottom w:val="single" w:sz="8" w:color="231F20"/>
            </w:tcBorders>
          </w:tcPr>
          <w:p>
            <w:pPr>
              <w:spacing w:after="0"/>
              <w:rPr>
                <w:sz w:val="2"/>
                <w:szCs w:val="2"/>
                <w:color w:val="auto"/>
              </w:rPr>
            </w:pPr>
          </w:p>
        </w:tc>
        <w:tc>
          <w:tcPr>
            <w:tcW w:w="1920" w:type="dxa"/>
            <w:vAlign w:val="bottom"/>
            <w:tcBorders>
              <w:bottom w:val="single" w:sz="8" w:color="231F20"/>
            </w:tcBorders>
            <w:gridSpan w:val="2"/>
          </w:tcPr>
          <w:p>
            <w:pPr>
              <w:spacing w:after="0"/>
              <w:rPr>
                <w:sz w:val="2"/>
                <w:szCs w:val="2"/>
                <w:color w:val="auto"/>
              </w:rPr>
            </w:pPr>
          </w:p>
        </w:tc>
        <w:tc>
          <w:tcPr>
            <w:tcW w:w="780" w:type="dxa"/>
            <w:vAlign w:val="bottom"/>
            <w:tcBorders>
              <w:bottom w:val="single" w:sz="8" w:color="231F20"/>
            </w:tcBorders>
          </w:tcPr>
          <w:p>
            <w:pPr>
              <w:spacing w:after="0"/>
              <w:rPr>
                <w:sz w:val="2"/>
                <w:szCs w:val="2"/>
                <w:color w:val="auto"/>
              </w:rPr>
            </w:pPr>
          </w:p>
        </w:tc>
        <w:tc>
          <w:tcPr>
            <w:tcW w:w="0" w:type="dxa"/>
            <w:vAlign w:val="bottom"/>
          </w:tcPr>
          <w:p>
            <w:pPr>
              <w:spacing w:after="0"/>
              <w:rPr>
                <w:sz w:val="1"/>
                <w:szCs w:val="1"/>
                <w:color w:val="auto"/>
              </w:rPr>
            </w:pPr>
          </w:p>
        </w:tc>
      </w:tr>
      <w:tr>
        <w:trPr>
          <w:trHeight w:val="31"/>
        </w:trPr>
        <w:tc>
          <w:tcPr>
            <w:tcW w:w="920" w:type="dxa"/>
            <w:vAlign w:val="bottom"/>
            <w:vMerge w:val="restart"/>
          </w:tcPr>
          <w:p>
            <w:pPr>
              <w:spacing w:after="0"/>
              <w:rPr>
                <w:sz w:val="20"/>
                <w:szCs w:val="20"/>
                <w:color w:val="auto"/>
              </w:rPr>
            </w:pPr>
            <w:r>
              <w:rPr>
                <w:rFonts w:ascii="Arial" w:cs="Arial" w:eastAsia="Arial" w:hAnsi="Arial"/>
                <w:sz w:val="14"/>
                <w:szCs w:val="14"/>
                <w:b w:val="1"/>
                <w:bCs w:val="1"/>
                <w:color w:val="4395D4"/>
              </w:rPr>
              <w:t>20%</w:t>
            </w:r>
          </w:p>
        </w:tc>
        <w:tc>
          <w:tcPr>
            <w:tcW w:w="2800" w:type="dxa"/>
            <w:vAlign w:val="bottom"/>
            <w:vMerge w:val="restart"/>
          </w:tcPr>
          <w:p>
            <w:pPr>
              <w:ind w:left="540"/>
              <w:spacing w:after="0"/>
              <w:rPr>
                <w:sz w:val="20"/>
                <w:szCs w:val="20"/>
                <w:color w:val="auto"/>
              </w:rPr>
            </w:pPr>
            <w:r>
              <w:rPr>
                <w:rFonts w:ascii="Arial" w:cs="Arial" w:eastAsia="Arial" w:hAnsi="Arial"/>
                <w:sz w:val="14"/>
                <w:szCs w:val="14"/>
                <w:b w:val="1"/>
                <w:bCs w:val="1"/>
                <w:color w:val="455986"/>
              </w:rPr>
              <w:t>Safety</w:t>
            </w:r>
          </w:p>
        </w:tc>
        <w:tc>
          <w:tcPr>
            <w:tcW w:w="3960" w:type="dxa"/>
            <w:vAlign w:val="bottom"/>
            <w:vMerge w:val="restart"/>
          </w:tcPr>
          <w:p>
            <w:pPr>
              <w:spacing w:after="0"/>
              <w:rPr>
                <w:sz w:val="20"/>
                <w:szCs w:val="20"/>
                <w:color w:val="auto"/>
              </w:rPr>
            </w:pPr>
            <w:r>
              <w:rPr>
                <w:rFonts w:ascii="Arial" w:cs="Arial" w:eastAsia="Arial" w:hAnsi="Arial"/>
                <w:sz w:val="14"/>
                <w:szCs w:val="14"/>
                <w:color w:val="231F20"/>
              </w:rPr>
              <w:t>Essential Lost Time/Restricted Time [5%]</w:t>
            </w:r>
          </w:p>
        </w:tc>
        <w:tc>
          <w:tcPr>
            <w:tcW w:w="860" w:type="dxa"/>
            <w:vAlign w:val="bottom"/>
          </w:tcPr>
          <w:p>
            <w:pPr>
              <w:spacing w:after="0"/>
              <w:rPr>
                <w:sz w:val="2"/>
                <w:szCs w:val="2"/>
                <w:color w:val="auto"/>
              </w:rPr>
            </w:pPr>
          </w:p>
        </w:tc>
        <w:tc>
          <w:tcPr>
            <w:tcW w:w="1920" w:type="dxa"/>
            <w:vAlign w:val="bottom"/>
            <w:gridSpan w:val="2"/>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9"/>
        </w:trPr>
        <w:tc>
          <w:tcPr>
            <w:tcW w:w="920" w:type="dxa"/>
            <w:vAlign w:val="bottom"/>
            <w:vMerge w:val="continue"/>
          </w:tcPr>
          <w:p>
            <w:pPr>
              <w:spacing w:after="0"/>
              <w:rPr>
                <w:sz w:val="15"/>
                <w:szCs w:val="15"/>
                <w:color w:val="auto"/>
              </w:rPr>
            </w:pPr>
          </w:p>
        </w:tc>
        <w:tc>
          <w:tcPr>
            <w:tcW w:w="2800" w:type="dxa"/>
            <w:vAlign w:val="bottom"/>
            <w:vMerge w:val="continue"/>
          </w:tcPr>
          <w:p>
            <w:pPr>
              <w:spacing w:after="0"/>
              <w:rPr>
                <w:sz w:val="15"/>
                <w:szCs w:val="15"/>
                <w:color w:val="auto"/>
              </w:rPr>
            </w:pPr>
          </w:p>
        </w:tc>
        <w:tc>
          <w:tcPr>
            <w:tcW w:w="3960" w:type="dxa"/>
            <w:vAlign w:val="bottom"/>
            <w:vMerge w:val="continue"/>
          </w:tcPr>
          <w:p>
            <w:pPr>
              <w:spacing w:after="0"/>
              <w:rPr>
                <w:sz w:val="15"/>
                <w:szCs w:val="15"/>
                <w:color w:val="auto"/>
              </w:rPr>
            </w:pPr>
          </w:p>
        </w:tc>
        <w:tc>
          <w:tcPr>
            <w:tcW w:w="860" w:type="dxa"/>
            <w:vAlign w:val="bottom"/>
            <w:shd w:val="clear" w:color="auto" w:fill="EAEBEC"/>
          </w:tcPr>
          <w:p>
            <w:pPr>
              <w:spacing w:after="0"/>
              <w:rPr>
                <w:sz w:val="20"/>
                <w:szCs w:val="20"/>
                <w:color w:val="auto"/>
              </w:rPr>
            </w:pPr>
            <w:r>
              <w:rPr>
                <w:rFonts w:ascii="Arial" w:cs="Arial" w:eastAsia="Arial" w:hAnsi="Arial"/>
                <w:sz w:val="14"/>
                <w:szCs w:val="14"/>
                <w:color w:val="231F20"/>
              </w:rPr>
              <w:t>2.5</w:t>
            </w:r>
          </w:p>
        </w:tc>
        <w:tc>
          <w:tcPr>
            <w:tcW w:w="480" w:type="dxa"/>
            <w:vAlign w:val="bottom"/>
            <w:shd w:val="clear" w:color="auto" w:fill="EAEBEC"/>
          </w:tcPr>
          <w:p>
            <w:pPr>
              <w:spacing w:after="0"/>
              <w:rPr>
                <w:sz w:val="15"/>
                <w:szCs w:val="15"/>
                <w:color w:val="auto"/>
              </w:rPr>
            </w:pPr>
          </w:p>
        </w:tc>
        <w:tc>
          <w:tcPr>
            <w:tcW w:w="1440" w:type="dxa"/>
            <w:vAlign w:val="bottom"/>
            <w:shd w:val="clear" w:color="auto" w:fill="D1D2D3"/>
          </w:tcPr>
          <w:p>
            <w:pPr>
              <w:jc w:val="right"/>
              <w:ind w:right="88"/>
              <w:spacing w:after="0"/>
              <w:rPr>
                <w:sz w:val="20"/>
                <w:szCs w:val="20"/>
                <w:color w:val="auto"/>
              </w:rPr>
            </w:pPr>
            <w:r>
              <w:rPr>
                <w:rFonts w:ascii="Arial" w:cs="Arial" w:eastAsia="Arial" w:hAnsi="Arial"/>
                <w:sz w:val="14"/>
                <w:szCs w:val="14"/>
                <w:b w:val="1"/>
                <w:bCs w:val="1"/>
                <w:color w:val="4395D4"/>
              </w:rPr>
              <w:t>2.0</w:t>
            </w:r>
          </w:p>
        </w:tc>
        <w:tc>
          <w:tcPr>
            <w:tcW w:w="780" w:type="dxa"/>
            <w:vAlign w:val="bottom"/>
            <w:shd w:val="clear" w:color="auto" w:fill="ADAFB2"/>
          </w:tcPr>
          <w:p>
            <w:pPr>
              <w:jc w:val="right"/>
              <w:ind w:right="8"/>
              <w:spacing w:after="0"/>
              <w:rPr>
                <w:sz w:val="20"/>
                <w:szCs w:val="20"/>
                <w:color w:val="auto"/>
              </w:rPr>
            </w:pPr>
            <w:r>
              <w:rPr>
                <w:rFonts w:ascii="Arial" w:cs="Arial" w:eastAsia="Arial" w:hAnsi="Arial"/>
                <w:sz w:val="14"/>
                <w:szCs w:val="14"/>
                <w:color w:val="FFFFFF"/>
              </w:rPr>
              <w:t>1.6</w:t>
            </w:r>
          </w:p>
        </w:tc>
        <w:tc>
          <w:tcPr>
            <w:tcW w:w="0" w:type="dxa"/>
            <w:vAlign w:val="bottom"/>
          </w:tcPr>
          <w:p>
            <w:pPr>
              <w:spacing w:after="0"/>
              <w:rPr>
                <w:sz w:val="1"/>
                <w:szCs w:val="1"/>
                <w:color w:val="auto"/>
              </w:rPr>
            </w:pPr>
          </w:p>
        </w:tc>
      </w:tr>
      <w:tr>
        <w:trPr>
          <w:trHeight w:val="26"/>
        </w:trPr>
        <w:tc>
          <w:tcPr>
            <w:tcW w:w="920" w:type="dxa"/>
            <w:vAlign w:val="bottom"/>
          </w:tcPr>
          <w:p>
            <w:pPr>
              <w:spacing w:after="0"/>
              <w:rPr>
                <w:sz w:val="2"/>
                <w:szCs w:val="2"/>
                <w:color w:val="auto"/>
              </w:rPr>
            </w:pPr>
          </w:p>
        </w:tc>
        <w:tc>
          <w:tcPr>
            <w:tcW w:w="2800" w:type="dxa"/>
            <w:vAlign w:val="bottom"/>
          </w:tcPr>
          <w:p>
            <w:pPr>
              <w:spacing w:after="0"/>
              <w:rPr>
                <w:sz w:val="2"/>
                <w:szCs w:val="2"/>
                <w:color w:val="auto"/>
              </w:rPr>
            </w:pPr>
          </w:p>
        </w:tc>
        <w:tc>
          <w:tcPr>
            <w:tcW w:w="3960" w:type="dxa"/>
            <w:vAlign w:val="bottom"/>
            <w:tcBorders>
              <w:bottom w:val="single" w:sz="8" w:color="231F20"/>
            </w:tcBorders>
          </w:tcPr>
          <w:p>
            <w:pPr>
              <w:spacing w:after="0"/>
              <w:rPr>
                <w:sz w:val="2"/>
                <w:szCs w:val="2"/>
                <w:color w:val="auto"/>
              </w:rPr>
            </w:pPr>
          </w:p>
        </w:tc>
        <w:tc>
          <w:tcPr>
            <w:tcW w:w="860" w:type="dxa"/>
            <w:vAlign w:val="bottom"/>
            <w:tcBorders>
              <w:bottom w:val="single" w:sz="8" w:color="231F20"/>
            </w:tcBorders>
          </w:tcPr>
          <w:p>
            <w:pPr>
              <w:spacing w:after="0"/>
              <w:rPr>
                <w:sz w:val="2"/>
                <w:szCs w:val="2"/>
                <w:color w:val="auto"/>
              </w:rPr>
            </w:pPr>
          </w:p>
        </w:tc>
        <w:tc>
          <w:tcPr>
            <w:tcW w:w="1920" w:type="dxa"/>
            <w:vAlign w:val="bottom"/>
            <w:tcBorders>
              <w:bottom w:val="single" w:sz="8" w:color="231F20"/>
            </w:tcBorders>
            <w:gridSpan w:val="2"/>
          </w:tcPr>
          <w:p>
            <w:pPr>
              <w:spacing w:after="0"/>
              <w:rPr>
                <w:sz w:val="2"/>
                <w:szCs w:val="2"/>
                <w:color w:val="auto"/>
              </w:rPr>
            </w:pPr>
          </w:p>
        </w:tc>
        <w:tc>
          <w:tcPr>
            <w:tcW w:w="780" w:type="dxa"/>
            <w:vAlign w:val="bottom"/>
            <w:tcBorders>
              <w:bottom w:val="single" w:sz="8" w:color="231F20"/>
            </w:tcBorders>
          </w:tcPr>
          <w:p>
            <w:pPr>
              <w:spacing w:after="0"/>
              <w:rPr>
                <w:sz w:val="2"/>
                <w:szCs w:val="2"/>
                <w:color w:val="auto"/>
              </w:rPr>
            </w:pPr>
          </w:p>
        </w:tc>
        <w:tc>
          <w:tcPr>
            <w:tcW w:w="0" w:type="dxa"/>
            <w:vAlign w:val="bottom"/>
          </w:tcPr>
          <w:p>
            <w:pPr>
              <w:spacing w:after="0"/>
              <w:rPr>
                <w:sz w:val="1"/>
                <w:szCs w:val="1"/>
                <w:color w:val="auto"/>
              </w:rPr>
            </w:pPr>
          </w:p>
        </w:tc>
      </w:tr>
      <w:tr>
        <w:trPr>
          <w:trHeight w:val="31"/>
        </w:trPr>
        <w:tc>
          <w:tcPr>
            <w:tcW w:w="920" w:type="dxa"/>
            <w:vAlign w:val="bottom"/>
          </w:tcPr>
          <w:p>
            <w:pPr>
              <w:spacing w:after="0"/>
              <w:rPr>
                <w:sz w:val="2"/>
                <w:szCs w:val="2"/>
                <w:color w:val="auto"/>
              </w:rPr>
            </w:pPr>
          </w:p>
        </w:tc>
        <w:tc>
          <w:tcPr>
            <w:tcW w:w="2800" w:type="dxa"/>
            <w:vAlign w:val="bottom"/>
          </w:tcPr>
          <w:p>
            <w:pPr>
              <w:spacing w:after="0"/>
              <w:rPr>
                <w:sz w:val="2"/>
                <w:szCs w:val="2"/>
                <w:color w:val="auto"/>
              </w:rPr>
            </w:pPr>
          </w:p>
        </w:tc>
        <w:tc>
          <w:tcPr>
            <w:tcW w:w="3960" w:type="dxa"/>
            <w:vAlign w:val="bottom"/>
            <w:vMerge w:val="restart"/>
          </w:tcPr>
          <w:p>
            <w:pPr>
              <w:spacing w:after="0"/>
              <w:rPr>
                <w:sz w:val="20"/>
                <w:szCs w:val="20"/>
                <w:color w:val="auto"/>
              </w:rPr>
            </w:pPr>
            <w:r>
              <w:rPr>
                <w:rFonts w:ascii="Arial" w:cs="Arial" w:eastAsia="Arial" w:hAnsi="Arial"/>
                <w:sz w:val="14"/>
                <w:szCs w:val="14"/>
                <w:color w:val="231F20"/>
              </w:rPr>
              <w:t>Essential Responsible Vehicle Accident Rate [5%]</w:t>
            </w:r>
          </w:p>
        </w:tc>
        <w:tc>
          <w:tcPr>
            <w:tcW w:w="860" w:type="dxa"/>
            <w:vAlign w:val="bottom"/>
          </w:tcPr>
          <w:p>
            <w:pPr>
              <w:spacing w:after="0"/>
              <w:rPr>
                <w:sz w:val="2"/>
                <w:szCs w:val="2"/>
                <w:color w:val="auto"/>
              </w:rPr>
            </w:pPr>
          </w:p>
        </w:tc>
        <w:tc>
          <w:tcPr>
            <w:tcW w:w="1920" w:type="dxa"/>
            <w:vAlign w:val="bottom"/>
            <w:gridSpan w:val="2"/>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9"/>
        </w:trPr>
        <w:tc>
          <w:tcPr>
            <w:tcW w:w="920" w:type="dxa"/>
            <w:vAlign w:val="bottom"/>
          </w:tcPr>
          <w:p>
            <w:pPr>
              <w:spacing w:after="0"/>
              <w:rPr>
                <w:sz w:val="15"/>
                <w:szCs w:val="15"/>
                <w:color w:val="auto"/>
              </w:rPr>
            </w:pPr>
          </w:p>
        </w:tc>
        <w:tc>
          <w:tcPr>
            <w:tcW w:w="2800" w:type="dxa"/>
            <w:vAlign w:val="bottom"/>
          </w:tcPr>
          <w:p>
            <w:pPr>
              <w:spacing w:after="0"/>
              <w:rPr>
                <w:sz w:val="15"/>
                <w:szCs w:val="15"/>
                <w:color w:val="auto"/>
              </w:rPr>
            </w:pPr>
          </w:p>
        </w:tc>
        <w:tc>
          <w:tcPr>
            <w:tcW w:w="3960" w:type="dxa"/>
            <w:vAlign w:val="bottom"/>
            <w:vMerge w:val="continue"/>
          </w:tcPr>
          <w:p>
            <w:pPr>
              <w:spacing w:after="0"/>
              <w:rPr>
                <w:sz w:val="15"/>
                <w:szCs w:val="15"/>
                <w:color w:val="auto"/>
              </w:rPr>
            </w:pPr>
          </w:p>
        </w:tc>
        <w:tc>
          <w:tcPr>
            <w:tcW w:w="860" w:type="dxa"/>
            <w:vAlign w:val="bottom"/>
            <w:shd w:val="clear" w:color="auto" w:fill="EAEBEC"/>
          </w:tcPr>
          <w:p>
            <w:pPr>
              <w:spacing w:after="0"/>
              <w:rPr>
                <w:sz w:val="20"/>
                <w:szCs w:val="20"/>
                <w:color w:val="auto"/>
              </w:rPr>
            </w:pPr>
            <w:r>
              <w:rPr>
                <w:rFonts w:ascii="Arial" w:cs="Arial" w:eastAsia="Arial" w:hAnsi="Arial"/>
                <w:sz w:val="14"/>
                <w:szCs w:val="14"/>
                <w:color w:val="231F20"/>
              </w:rPr>
              <w:t>3.9</w:t>
            </w:r>
          </w:p>
        </w:tc>
        <w:tc>
          <w:tcPr>
            <w:tcW w:w="480" w:type="dxa"/>
            <w:vAlign w:val="bottom"/>
            <w:shd w:val="clear" w:color="auto" w:fill="EAEBEC"/>
          </w:tcPr>
          <w:p>
            <w:pPr>
              <w:spacing w:after="0"/>
              <w:rPr>
                <w:sz w:val="15"/>
                <w:szCs w:val="15"/>
                <w:color w:val="auto"/>
              </w:rPr>
            </w:pPr>
          </w:p>
        </w:tc>
        <w:tc>
          <w:tcPr>
            <w:tcW w:w="1440" w:type="dxa"/>
            <w:vAlign w:val="bottom"/>
            <w:shd w:val="clear" w:color="auto" w:fill="D1D2D3"/>
          </w:tcPr>
          <w:p>
            <w:pPr>
              <w:jc w:val="right"/>
              <w:ind w:right="88"/>
              <w:spacing w:after="0"/>
              <w:rPr>
                <w:sz w:val="20"/>
                <w:szCs w:val="20"/>
                <w:color w:val="auto"/>
              </w:rPr>
            </w:pPr>
            <w:r>
              <w:rPr>
                <w:rFonts w:ascii="Arial" w:cs="Arial" w:eastAsia="Arial" w:hAnsi="Arial"/>
                <w:sz w:val="14"/>
                <w:szCs w:val="14"/>
                <w:b w:val="1"/>
                <w:bCs w:val="1"/>
                <w:color w:val="4395D4"/>
              </w:rPr>
              <w:t>3.3</w:t>
            </w:r>
          </w:p>
        </w:tc>
        <w:tc>
          <w:tcPr>
            <w:tcW w:w="780" w:type="dxa"/>
            <w:vAlign w:val="bottom"/>
            <w:shd w:val="clear" w:color="auto" w:fill="ADAFB2"/>
          </w:tcPr>
          <w:p>
            <w:pPr>
              <w:jc w:val="right"/>
              <w:ind w:right="8"/>
              <w:spacing w:after="0"/>
              <w:rPr>
                <w:sz w:val="20"/>
                <w:szCs w:val="20"/>
                <w:color w:val="auto"/>
              </w:rPr>
            </w:pPr>
            <w:r>
              <w:rPr>
                <w:rFonts w:ascii="Arial" w:cs="Arial" w:eastAsia="Arial" w:hAnsi="Arial"/>
                <w:sz w:val="14"/>
                <w:szCs w:val="14"/>
                <w:color w:val="FFFFFF"/>
              </w:rPr>
              <w:t>2.7</w:t>
            </w:r>
          </w:p>
        </w:tc>
        <w:tc>
          <w:tcPr>
            <w:tcW w:w="0" w:type="dxa"/>
            <w:vAlign w:val="bottom"/>
          </w:tcPr>
          <w:p>
            <w:pPr>
              <w:spacing w:after="0"/>
              <w:rPr>
                <w:sz w:val="1"/>
                <w:szCs w:val="1"/>
                <w:color w:val="auto"/>
              </w:rPr>
            </w:pPr>
          </w:p>
        </w:tc>
      </w:tr>
      <w:tr>
        <w:trPr>
          <w:trHeight w:val="26"/>
        </w:trPr>
        <w:tc>
          <w:tcPr>
            <w:tcW w:w="920" w:type="dxa"/>
            <w:vAlign w:val="bottom"/>
          </w:tcPr>
          <w:p>
            <w:pPr>
              <w:spacing w:after="0"/>
              <w:rPr>
                <w:sz w:val="2"/>
                <w:szCs w:val="2"/>
                <w:color w:val="auto"/>
              </w:rPr>
            </w:pPr>
          </w:p>
        </w:tc>
        <w:tc>
          <w:tcPr>
            <w:tcW w:w="2800" w:type="dxa"/>
            <w:vAlign w:val="bottom"/>
          </w:tcPr>
          <w:p>
            <w:pPr>
              <w:spacing w:after="0"/>
              <w:rPr>
                <w:sz w:val="2"/>
                <w:szCs w:val="2"/>
                <w:color w:val="auto"/>
              </w:rPr>
            </w:pPr>
          </w:p>
        </w:tc>
        <w:tc>
          <w:tcPr>
            <w:tcW w:w="3960" w:type="dxa"/>
            <w:vAlign w:val="bottom"/>
            <w:tcBorders>
              <w:bottom w:val="single" w:sz="8" w:color="231F20"/>
            </w:tcBorders>
          </w:tcPr>
          <w:p>
            <w:pPr>
              <w:spacing w:after="0"/>
              <w:rPr>
                <w:sz w:val="2"/>
                <w:szCs w:val="2"/>
                <w:color w:val="auto"/>
              </w:rPr>
            </w:pPr>
          </w:p>
        </w:tc>
        <w:tc>
          <w:tcPr>
            <w:tcW w:w="860" w:type="dxa"/>
            <w:vAlign w:val="bottom"/>
            <w:tcBorders>
              <w:bottom w:val="single" w:sz="8" w:color="231F20"/>
            </w:tcBorders>
          </w:tcPr>
          <w:p>
            <w:pPr>
              <w:spacing w:after="0"/>
              <w:rPr>
                <w:sz w:val="2"/>
                <w:szCs w:val="2"/>
                <w:color w:val="auto"/>
              </w:rPr>
            </w:pPr>
          </w:p>
        </w:tc>
        <w:tc>
          <w:tcPr>
            <w:tcW w:w="1920" w:type="dxa"/>
            <w:vAlign w:val="bottom"/>
            <w:tcBorders>
              <w:bottom w:val="single" w:sz="8" w:color="231F20"/>
            </w:tcBorders>
            <w:gridSpan w:val="2"/>
          </w:tcPr>
          <w:p>
            <w:pPr>
              <w:spacing w:after="0"/>
              <w:rPr>
                <w:sz w:val="2"/>
                <w:szCs w:val="2"/>
                <w:color w:val="auto"/>
              </w:rPr>
            </w:pPr>
          </w:p>
        </w:tc>
        <w:tc>
          <w:tcPr>
            <w:tcW w:w="780" w:type="dxa"/>
            <w:vAlign w:val="bottom"/>
            <w:tcBorders>
              <w:bottom w:val="single" w:sz="8" w:color="231F20"/>
            </w:tcBorders>
          </w:tcPr>
          <w:p>
            <w:pPr>
              <w:spacing w:after="0"/>
              <w:rPr>
                <w:sz w:val="2"/>
                <w:szCs w:val="2"/>
                <w:color w:val="auto"/>
              </w:rPr>
            </w:pPr>
          </w:p>
        </w:tc>
        <w:tc>
          <w:tcPr>
            <w:tcW w:w="0" w:type="dxa"/>
            <w:vAlign w:val="bottom"/>
          </w:tcPr>
          <w:p>
            <w:pPr>
              <w:spacing w:after="0"/>
              <w:rPr>
                <w:sz w:val="1"/>
                <w:szCs w:val="1"/>
                <w:color w:val="auto"/>
              </w:rPr>
            </w:pPr>
          </w:p>
        </w:tc>
      </w:tr>
      <w:tr>
        <w:trPr>
          <w:trHeight w:val="31"/>
        </w:trPr>
        <w:tc>
          <w:tcPr>
            <w:tcW w:w="920" w:type="dxa"/>
            <w:vAlign w:val="bottom"/>
          </w:tcPr>
          <w:p>
            <w:pPr>
              <w:spacing w:after="0"/>
              <w:rPr>
                <w:sz w:val="2"/>
                <w:szCs w:val="2"/>
                <w:color w:val="auto"/>
              </w:rPr>
            </w:pPr>
          </w:p>
        </w:tc>
        <w:tc>
          <w:tcPr>
            <w:tcW w:w="2800" w:type="dxa"/>
            <w:vAlign w:val="bottom"/>
          </w:tcPr>
          <w:p>
            <w:pPr>
              <w:spacing w:after="0"/>
              <w:rPr>
                <w:sz w:val="2"/>
                <w:szCs w:val="2"/>
                <w:color w:val="auto"/>
              </w:rPr>
            </w:pPr>
          </w:p>
        </w:tc>
        <w:tc>
          <w:tcPr>
            <w:tcW w:w="3960" w:type="dxa"/>
            <w:vAlign w:val="bottom"/>
            <w:vMerge w:val="restart"/>
          </w:tcPr>
          <w:p>
            <w:pPr>
              <w:spacing w:after="0"/>
              <w:rPr>
                <w:sz w:val="20"/>
                <w:szCs w:val="20"/>
                <w:color w:val="auto"/>
              </w:rPr>
            </w:pPr>
            <w:r>
              <w:rPr>
                <w:rFonts w:ascii="Arial" w:cs="Arial" w:eastAsia="Arial" w:hAnsi="Arial"/>
                <w:sz w:val="14"/>
                <w:szCs w:val="14"/>
                <w:color w:val="231F20"/>
              </w:rPr>
              <w:t>Peoples Gas Safety Rate [10%]</w:t>
            </w:r>
          </w:p>
        </w:tc>
        <w:tc>
          <w:tcPr>
            <w:tcW w:w="860" w:type="dxa"/>
            <w:vAlign w:val="bottom"/>
          </w:tcPr>
          <w:p>
            <w:pPr>
              <w:spacing w:after="0"/>
              <w:rPr>
                <w:sz w:val="2"/>
                <w:szCs w:val="2"/>
                <w:color w:val="auto"/>
              </w:rPr>
            </w:pPr>
          </w:p>
        </w:tc>
        <w:tc>
          <w:tcPr>
            <w:tcW w:w="1920" w:type="dxa"/>
            <w:vAlign w:val="bottom"/>
            <w:gridSpan w:val="2"/>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9"/>
        </w:trPr>
        <w:tc>
          <w:tcPr>
            <w:tcW w:w="920" w:type="dxa"/>
            <w:vAlign w:val="bottom"/>
          </w:tcPr>
          <w:p>
            <w:pPr>
              <w:spacing w:after="0"/>
              <w:rPr>
                <w:sz w:val="15"/>
                <w:szCs w:val="15"/>
                <w:color w:val="auto"/>
              </w:rPr>
            </w:pPr>
          </w:p>
        </w:tc>
        <w:tc>
          <w:tcPr>
            <w:tcW w:w="2800" w:type="dxa"/>
            <w:vAlign w:val="bottom"/>
          </w:tcPr>
          <w:p>
            <w:pPr>
              <w:spacing w:after="0"/>
              <w:rPr>
                <w:sz w:val="15"/>
                <w:szCs w:val="15"/>
                <w:color w:val="auto"/>
              </w:rPr>
            </w:pPr>
          </w:p>
        </w:tc>
        <w:tc>
          <w:tcPr>
            <w:tcW w:w="3960" w:type="dxa"/>
            <w:vAlign w:val="bottom"/>
            <w:vMerge w:val="continue"/>
          </w:tcPr>
          <w:p>
            <w:pPr>
              <w:spacing w:after="0"/>
              <w:rPr>
                <w:sz w:val="15"/>
                <w:szCs w:val="15"/>
                <w:color w:val="auto"/>
              </w:rPr>
            </w:pPr>
          </w:p>
        </w:tc>
        <w:tc>
          <w:tcPr>
            <w:tcW w:w="860" w:type="dxa"/>
            <w:vAlign w:val="bottom"/>
            <w:shd w:val="clear" w:color="auto" w:fill="EAEBEC"/>
          </w:tcPr>
          <w:p>
            <w:pPr>
              <w:spacing w:after="0"/>
              <w:rPr>
                <w:sz w:val="20"/>
                <w:szCs w:val="20"/>
                <w:color w:val="auto"/>
              </w:rPr>
            </w:pPr>
            <w:r>
              <w:rPr>
                <w:rFonts w:ascii="Arial" w:cs="Arial" w:eastAsia="Arial" w:hAnsi="Arial"/>
                <w:sz w:val="14"/>
                <w:szCs w:val="14"/>
                <w:color w:val="231F20"/>
              </w:rPr>
              <w:t>99.98%</w:t>
            </w:r>
          </w:p>
        </w:tc>
        <w:tc>
          <w:tcPr>
            <w:tcW w:w="480" w:type="dxa"/>
            <w:vAlign w:val="bottom"/>
            <w:shd w:val="clear" w:color="auto" w:fill="EAEBEC"/>
          </w:tcPr>
          <w:p>
            <w:pPr>
              <w:spacing w:after="0"/>
              <w:rPr>
                <w:sz w:val="15"/>
                <w:szCs w:val="15"/>
                <w:color w:val="auto"/>
              </w:rPr>
            </w:pPr>
          </w:p>
        </w:tc>
        <w:tc>
          <w:tcPr>
            <w:tcW w:w="1440" w:type="dxa"/>
            <w:vAlign w:val="bottom"/>
            <w:shd w:val="clear" w:color="auto" w:fill="D1D2D3"/>
          </w:tcPr>
          <w:p>
            <w:pPr>
              <w:jc w:val="right"/>
              <w:ind w:right="88"/>
              <w:spacing w:after="0"/>
              <w:rPr>
                <w:sz w:val="20"/>
                <w:szCs w:val="20"/>
                <w:color w:val="auto"/>
              </w:rPr>
            </w:pPr>
            <w:r>
              <w:rPr>
                <w:rFonts w:ascii="Arial" w:cs="Arial" w:eastAsia="Arial" w:hAnsi="Arial"/>
                <w:sz w:val="14"/>
                <w:szCs w:val="14"/>
                <w:b w:val="1"/>
                <w:bCs w:val="1"/>
                <w:color w:val="4395D4"/>
              </w:rPr>
              <w:t>99.99%</w:t>
            </w:r>
          </w:p>
        </w:tc>
        <w:tc>
          <w:tcPr>
            <w:tcW w:w="780" w:type="dxa"/>
            <w:vAlign w:val="bottom"/>
            <w:shd w:val="clear" w:color="auto" w:fill="ADAFB2"/>
          </w:tcPr>
          <w:p>
            <w:pPr>
              <w:jc w:val="right"/>
              <w:ind w:right="8"/>
              <w:spacing w:after="0"/>
              <w:rPr>
                <w:sz w:val="20"/>
                <w:szCs w:val="20"/>
                <w:color w:val="auto"/>
              </w:rPr>
            </w:pPr>
            <w:r>
              <w:rPr>
                <w:rFonts w:ascii="Arial" w:cs="Arial" w:eastAsia="Arial" w:hAnsi="Arial"/>
                <w:sz w:val="14"/>
                <w:szCs w:val="14"/>
                <w:color w:val="FFFFFF"/>
              </w:rPr>
              <w:t>100.00%</w:t>
            </w:r>
          </w:p>
        </w:tc>
        <w:tc>
          <w:tcPr>
            <w:tcW w:w="0" w:type="dxa"/>
            <w:vAlign w:val="bottom"/>
          </w:tcPr>
          <w:p>
            <w:pPr>
              <w:spacing w:after="0"/>
              <w:rPr>
                <w:sz w:val="1"/>
                <w:szCs w:val="1"/>
                <w:color w:val="auto"/>
              </w:rPr>
            </w:pPr>
          </w:p>
        </w:tc>
      </w:tr>
      <w:tr>
        <w:trPr>
          <w:trHeight w:val="26"/>
        </w:trPr>
        <w:tc>
          <w:tcPr>
            <w:tcW w:w="920" w:type="dxa"/>
            <w:vAlign w:val="bottom"/>
            <w:tcBorders>
              <w:bottom w:val="single" w:sz="8" w:color="231F20"/>
            </w:tcBorders>
          </w:tcPr>
          <w:p>
            <w:pPr>
              <w:spacing w:after="0"/>
              <w:rPr>
                <w:sz w:val="2"/>
                <w:szCs w:val="2"/>
                <w:color w:val="auto"/>
              </w:rPr>
            </w:pPr>
          </w:p>
        </w:tc>
        <w:tc>
          <w:tcPr>
            <w:tcW w:w="2800" w:type="dxa"/>
            <w:vAlign w:val="bottom"/>
            <w:tcBorders>
              <w:bottom w:val="single" w:sz="8" w:color="231F20"/>
            </w:tcBorders>
          </w:tcPr>
          <w:p>
            <w:pPr>
              <w:spacing w:after="0"/>
              <w:rPr>
                <w:sz w:val="2"/>
                <w:szCs w:val="2"/>
                <w:color w:val="auto"/>
              </w:rPr>
            </w:pPr>
          </w:p>
        </w:tc>
        <w:tc>
          <w:tcPr>
            <w:tcW w:w="3960" w:type="dxa"/>
            <w:vAlign w:val="bottom"/>
            <w:tcBorders>
              <w:bottom w:val="single" w:sz="8" w:color="231F20"/>
            </w:tcBorders>
          </w:tcPr>
          <w:p>
            <w:pPr>
              <w:spacing w:after="0"/>
              <w:rPr>
                <w:sz w:val="2"/>
                <w:szCs w:val="2"/>
                <w:color w:val="auto"/>
              </w:rPr>
            </w:pPr>
          </w:p>
        </w:tc>
        <w:tc>
          <w:tcPr>
            <w:tcW w:w="860" w:type="dxa"/>
            <w:vAlign w:val="bottom"/>
            <w:tcBorders>
              <w:bottom w:val="single" w:sz="8" w:color="231F20"/>
            </w:tcBorders>
          </w:tcPr>
          <w:p>
            <w:pPr>
              <w:spacing w:after="0"/>
              <w:rPr>
                <w:sz w:val="2"/>
                <w:szCs w:val="2"/>
                <w:color w:val="auto"/>
              </w:rPr>
            </w:pPr>
          </w:p>
        </w:tc>
        <w:tc>
          <w:tcPr>
            <w:tcW w:w="1920" w:type="dxa"/>
            <w:vAlign w:val="bottom"/>
            <w:tcBorders>
              <w:bottom w:val="single" w:sz="8" w:color="231F20"/>
            </w:tcBorders>
            <w:gridSpan w:val="2"/>
          </w:tcPr>
          <w:p>
            <w:pPr>
              <w:spacing w:after="0"/>
              <w:rPr>
                <w:sz w:val="2"/>
                <w:szCs w:val="2"/>
                <w:color w:val="auto"/>
              </w:rPr>
            </w:pPr>
          </w:p>
        </w:tc>
        <w:tc>
          <w:tcPr>
            <w:tcW w:w="780" w:type="dxa"/>
            <w:vAlign w:val="bottom"/>
            <w:tcBorders>
              <w:bottom w:val="single" w:sz="8" w:color="231F20"/>
            </w:tcBorders>
          </w:tcPr>
          <w:p>
            <w:pPr>
              <w:spacing w:after="0"/>
              <w:rPr>
                <w:sz w:val="2"/>
                <w:szCs w:val="2"/>
                <w:color w:val="auto"/>
              </w:rPr>
            </w:pPr>
          </w:p>
        </w:tc>
        <w:tc>
          <w:tcPr>
            <w:tcW w:w="0" w:type="dxa"/>
            <w:vAlign w:val="bottom"/>
          </w:tcPr>
          <w:p>
            <w:pPr>
              <w:spacing w:after="0"/>
              <w:rPr>
                <w:sz w:val="1"/>
                <w:szCs w:val="1"/>
                <w:color w:val="auto"/>
              </w:rPr>
            </w:pPr>
          </w:p>
        </w:tc>
      </w:tr>
      <w:tr>
        <w:trPr>
          <w:trHeight w:val="31"/>
        </w:trPr>
        <w:tc>
          <w:tcPr>
            <w:tcW w:w="920" w:type="dxa"/>
            <w:vAlign w:val="bottom"/>
            <w:vMerge w:val="restart"/>
          </w:tcPr>
          <w:p>
            <w:pPr>
              <w:spacing w:after="0"/>
              <w:rPr>
                <w:sz w:val="20"/>
                <w:szCs w:val="20"/>
                <w:color w:val="auto"/>
              </w:rPr>
            </w:pPr>
            <w:r>
              <w:rPr>
                <w:rFonts w:ascii="Arial" w:cs="Arial" w:eastAsia="Arial" w:hAnsi="Arial"/>
                <w:sz w:val="14"/>
                <w:szCs w:val="14"/>
                <w:b w:val="1"/>
                <w:bCs w:val="1"/>
                <w:color w:val="4395D4"/>
              </w:rPr>
              <w:t>10%</w:t>
            </w:r>
          </w:p>
        </w:tc>
        <w:tc>
          <w:tcPr>
            <w:tcW w:w="2800" w:type="dxa"/>
            <w:vAlign w:val="bottom"/>
            <w:vMerge w:val="restart"/>
          </w:tcPr>
          <w:p>
            <w:pPr>
              <w:ind w:left="540"/>
              <w:spacing w:after="0"/>
              <w:rPr>
                <w:sz w:val="20"/>
                <w:szCs w:val="20"/>
                <w:color w:val="auto"/>
              </w:rPr>
            </w:pPr>
            <w:r>
              <w:rPr>
                <w:rFonts w:ascii="Arial" w:cs="Arial" w:eastAsia="Arial" w:hAnsi="Arial"/>
                <w:sz w:val="14"/>
                <w:szCs w:val="14"/>
                <w:b w:val="1"/>
                <w:bCs w:val="1"/>
                <w:color w:val="455986"/>
              </w:rPr>
              <w:t>Environmental</w:t>
            </w:r>
          </w:p>
        </w:tc>
        <w:tc>
          <w:tcPr>
            <w:tcW w:w="3960" w:type="dxa"/>
            <w:vAlign w:val="bottom"/>
            <w:vMerge w:val="restart"/>
          </w:tcPr>
          <w:p>
            <w:pPr>
              <w:spacing w:after="0"/>
              <w:rPr>
                <w:sz w:val="20"/>
                <w:szCs w:val="20"/>
                <w:color w:val="auto"/>
              </w:rPr>
            </w:pPr>
            <w:r>
              <w:rPr>
                <w:rFonts w:ascii="Arial" w:cs="Arial" w:eastAsia="Arial" w:hAnsi="Arial"/>
                <w:sz w:val="14"/>
                <w:szCs w:val="14"/>
                <w:color w:val="231F20"/>
              </w:rPr>
              <w:t>Aqua Water Compliance [2.5%]</w:t>
            </w:r>
          </w:p>
        </w:tc>
        <w:tc>
          <w:tcPr>
            <w:tcW w:w="860" w:type="dxa"/>
            <w:vAlign w:val="bottom"/>
          </w:tcPr>
          <w:p>
            <w:pPr>
              <w:spacing w:after="0"/>
              <w:rPr>
                <w:sz w:val="2"/>
                <w:szCs w:val="2"/>
                <w:color w:val="auto"/>
              </w:rPr>
            </w:pPr>
          </w:p>
        </w:tc>
        <w:tc>
          <w:tcPr>
            <w:tcW w:w="1920" w:type="dxa"/>
            <w:vAlign w:val="bottom"/>
            <w:gridSpan w:val="2"/>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4"/>
        </w:trPr>
        <w:tc>
          <w:tcPr>
            <w:tcW w:w="920" w:type="dxa"/>
            <w:vAlign w:val="bottom"/>
            <w:vMerge w:val="continue"/>
          </w:tcPr>
          <w:p>
            <w:pPr>
              <w:spacing w:after="0"/>
              <w:rPr>
                <w:sz w:val="17"/>
                <w:szCs w:val="17"/>
                <w:color w:val="auto"/>
              </w:rPr>
            </w:pPr>
          </w:p>
        </w:tc>
        <w:tc>
          <w:tcPr>
            <w:tcW w:w="2800" w:type="dxa"/>
            <w:vAlign w:val="bottom"/>
            <w:vMerge w:val="continue"/>
          </w:tcPr>
          <w:p>
            <w:pPr>
              <w:spacing w:after="0"/>
              <w:rPr>
                <w:sz w:val="17"/>
                <w:szCs w:val="17"/>
                <w:color w:val="auto"/>
              </w:rPr>
            </w:pPr>
          </w:p>
        </w:tc>
        <w:tc>
          <w:tcPr>
            <w:tcW w:w="3960" w:type="dxa"/>
            <w:vAlign w:val="bottom"/>
            <w:vMerge w:val="continue"/>
          </w:tcPr>
          <w:p>
            <w:pPr>
              <w:spacing w:after="0"/>
              <w:rPr>
                <w:sz w:val="17"/>
                <w:szCs w:val="17"/>
                <w:color w:val="auto"/>
              </w:rPr>
            </w:pPr>
          </w:p>
        </w:tc>
        <w:tc>
          <w:tcPr>
            <w:tcW w:w="860" w:type="dxa"/>
            <w:vAlign w:val="bottom"/>
            <w:shd w:val="clear" w:color="auto" w:fill="EAEBEC"/>
          </w:tcPr>
          <w:p>
            <w:pPr>
              <w:spacing w:after="0"/>
              <w:rPr>
                <w:sz w:val="20"/>
                <w:szCs w:val="20"/>
                <w:color w:val="auto"/>
              </w:rPr>
            </w:pPr>
            <w:r>
              <w:rPr>
                <w:rFonts w:ascii="Arial" w:cs="Arial" w:eastAsia="Arial" w:hAnsi="Arial"/>
                <w:sz w:val="14"/>
                <w:szCs w:val="14"/>
                <w:color w:val="231F20"/>
              </w:rPr>
              <w:t>99.20%</w:t>
            </w:r>
          </w:p>
        </w:tc>
        <w:tc>
          <w:tcPr>
            <w:tcW w:w="480" w:type="dxa"/>
            <w:vAlign w:val="bottom"/>
            <w:shd w:val="clear" w:color="auto" w:fill="EAEBEC"/>
          </w:tcPr>
          <w:p>
            <w:pPr>
              <w:spacing w:after="0"/>
              <w:rPr>
                <w:sz w:val="17"/>
                <w:szCs w:val="17"/>
                <w:color w:val="auto"/>
              </w:rPr>
            </w:pPr>
          </w:p>
        </w:tc>
        <w:tc>
          <w:tcPr>
            <w:tcW w:w="1440" w:type="dxa"/>
            <w:vAlign w:val="bottom"/>
            <w:shd w:val="clear" w:color="auto" w:fill="D1D2D3"/>
          </w:tcPr>
          <w:p>
            <w:pPr>
              <w:jc w:val="right"/>
              <w:ind w:right="88"/>
              <w:spacing w:after="0"/>
              <w:rPr>
                <w:sz w:val="20"/>
                <w:szCs w:val="20"/>
                <w:color w:val="auto"/>
              </w:rPr>
            </w:pPr>
            <w:r>
              <w:rPr>
                <w:rFonts w:ascii="Arial" w:cs="Arial" w:eastAsia="Arial" w:hAnsi="Arial"/>
                <w:sz w:val="14"/>
                <w:szCs w:val="14"/>
                <w:b w:val="1"/>
                <w:bCs w:val="1"/>
                <w:color w:val="4395D4"/>
              </w:rPr>
              <w:t>99.55%</w:t>
            </w:r>
          </w:p>
        </w:tc>
        <w:tc>
          <w:tcPr>
            <w:tcW w:w="780" w:type="dxa"/>
            <w:vAlign w:val="bottom"/>
            <w:shd w:val="clear" w:color="auto" w:fill="ADAFB2"/>
          </w:tcPr>
          <w:p>
            <w:pPr>
              <w:jc w:val="right"/>
              <w:ind w:right="8"/>
              <w:spacing w:after="0"/>
              <w:rPr>
                <w:sz w:val="20"/>
                <w:szCs w:val="20"/>
                <w:color w:val="auto"/>
              </w:rPr>
            </w:pPr>
            <w:r>
              <w:rPr>
                <w:rFonts w:ascii="Arial" w:cs="Arial" w:eastAsia="Arial" w:hAnsi="Arial"/>
                <w:sz w:val="14"/>
                <w:szCs w:val="14"/>
                <w:color w:val="FFFFFF"/>
              </w:rPr>
              <w:t>99.90%</w:t>
            </w:r>
          </w:p>
        </w:tc>
        <w:tc>
          <w:tcPr>
            <w:tcW w:w="0" w:type="dxa"/>
            <w:vAlign w:val="bottom"/>
          </w:tcPr>
          <w:p>
            <w:pPr>
              <w:spacing w:after="0"/>
              <w:rPr>
                <w:sz w:val="1"/>
                <w:szCs w:val="1"/>
                <w:color w:val="auto"/>
              </w:rPr>
            </w:pPr>
          </w:p>
        </w:tc>
      </w:tr>
      <w:tr>
        <w:trPr>
          <w:trHeight w:val="26"/>
        </w:trPr>
        <w:tc>
          <w:tcPr>
            <w:tcW w:w="920" w:type="dxa"/>
            <w:vAlign w:val="bottom"/>
          </w:tcPr>
          <w:p>
            <w:pPr>
              <w:spacing w:after="0"/>
              <w:rPr>
                <w:sz w:val="2"/>
                <w:szCs w:val="2"/>
                <w:color w:val="auto"/>
              </w:rPr>
            </w:pPr>
          </w:p>
        </w:tc>
        <w:tc>
          <w:tcPr>
            <w:tcW w:w="2800" w:type="dxa"/>
            <w:vAlign w:val="bottom"/>
            <w:vMerge w:val="restart"/>
          </w:tcPr>
          <w:p>
            <w:pPr>
              <w:ind w:left="540"/>
              <w:spacing w:after="0"/>
              <w:rPr>
                <w:sz w:val="20"/>
                <w:szCs w:val="20"/>
                <w:color w:val="auto"/>
              </w:rPr>
            </w:pPr>
            <w:r>
              <w:rPr>
                <w:rFonts w:ascii="Arial" w:cs="Arial" w:eastAsia="Arial" w:hAnsi="Arial"/>
                <w:sz w:val="14"/>
                <w:szCs w:val="14"/>
                <w:b w:val="1"/>
                <w:bCs w:val="1"/>
                <w:color w:val="455986"/>
              </w:rPr>
              <w:t>Stewardship</w:t>
            </w:r>
          </w:p>
        </w:tc>
        <w:tc>
          <w:tcPr>
            <w:tcW w:w="3960" w:type="dxa"/>
            <w:vAlign w:val="bottom"/>
            <w:tcBorders>
              <w:bottom w:val="single" w:sz="8" w:color="231F20"/>
            </w:tcBorders>
          </w:tcPr>
          <w:p>
            <w:pPr>
              <w:spacing w:after="0"/>
              <w:rPr>
                <w:sz w:val="2"/>
                <w:szCs w:val="2"/>
                <w:color w:val="auto"/>
              </w:rPr>
            </w:pPr>
          </w:p>
        </w:tc>
        <w:tc>
          <w:tcPr>
            <w:tcW w:w="860" w:type="dxa"/>
            <w:vAlign w:val="bottom"/>
            <w:tcBorders>
              <w:bottom w:val="single" w:sz="8" w:color="231F20"/>
            </w:tcBorders>
          </w:tcPr>
          <w:p>
            <w:pPr>
              <w:spacing w:after="0"/>
              <w:rPr>
                <w:sz w:val="2"/>
                <w:szCs w:val="2"/>
                <w:color w:val="auto"/>
              </w:rPr>
            </w:pPr>
          </w:p>
        </w:tc>
        <w:tc>
          <w:tcPr>
            <w:tcW w:w="1920" w:type="dxa"/>
            <w:vAlign w:val="bottom"/>
            <w:tcBorders>
              <w:bottom w:val="single" w:sz="8" w:color="231F20"/>
            </w:tcBorders>
            <w:gridSpan w:val="2"/>
          </w:tcPr>
          <w:p>
            <w:pPr>
              <w:spacing w:after="0"/>
              <w:rPr>
                <w:sz w:val="2"/>
                <w:szCs w:val="2"/>
                <w:color w:val="auto"/>
              </w:rPr>
            </w:pPr>
          </w:p>
        </w:tc>
        <w:tc>
          <w:tcPr>
            <w:tcW w:w="780" w:type="dxa"/>
            <w:vAlign w:val="bottom"/>
            <w:tcBorders>
              <w:bottom w:val="single" w:sz="8" w:color="231F20"/>
            </w:tcBorders>
          </w:tcPr>
          <w:p>
            <w:pPr>
              <w:spacing w:after="0"/>
              <w:rPr>
                <w:sz w:val="2"/>
                <w:szCs w:val="2"/>
                <w:color w:val="auto"/>
              </w:rPr>
            </w:pPr>
          </w:p>
        </w:tc>
        <w:tc>
          <w:tcPr>
            <w:tcW w:w="0" w:type="dxa"/>
            <w:vAlign w:val="bottom"/>
          </w:tcPr>
          <w:p>
            <w:pPr>
              <w:spacing w:after="0"/>
              <w:rPr>
                <w:sz w:val="1"/>
                <w:szCs w:val="1"/>
                <w:color w:val="auto"/>
              </w:rPr>
            </w:pPr>
          </w:p>
        </w:tc>
      </w:tr>
      <w:tr>
        <w:trPr>
          <w:trHeight w:val="31"/>
        </w:trPr>
        <w:tc>
          <w:tcPr>
            <w:tcW w:w="920" w:type="dxa"/>
            <w:vAlign w:val="bottom"/>
          </w:tcPr>
          <w:p>
            <w:pPr>
              <w:spacing w:after="0"/>
              <w:rPr>
                <w:sz w:val="2"/>
                <w:szCs w:val="2"/>
                <w:color w:val="auto"/>
              </w:rPr>
            </w:pPr>
          </w:p>
        </w:tc>
        <w:tc>
          <w:tcPr>
            <w:tcW w:w="2800" w:type="dxa"/>
            <w:vAlign w:val="bottom"/>
            <w:vMerge w:val="continue"/>
          </w:tcPr>
          <w:p>
            <w:pPr>
              <w:spacing w:after="0"/>
              <w:rPr>
                <w:sz w:val="2"/>
                <w:szCs w:val="2"/>
                <w:color w:val="auto"/>
              </w:rPr>
            </w:pPr>
          </w:p>
        </w:tc>
        <w:tc>
          <w:tcPr>
            <w:tcW w:w="3960" w:type="dxa"/>
            <w:vAlign w:val="bottom"/>
            <w:vMerge w:val="restart"/>
          </w:tcPr>
          <w:p>
            <w:pPr>
              <w:spacing w:after="0"/>
              <w:rPr>
                <w:sz w:val="20"/>
                <w:szCs w:val="20"/>
                <w:color w:val="auto"/>
              </w:rPr>
            </w:pPr>
            <w:r>
              <w:rPr>
                <w:rFonts w:ascii="Arial" w:cs="Arial" w:eastAsia="Arial" w:hAnsi="Arial"/>
                <w:sz w:val="14"/>
                <w:szCs w:val="14"/>
                <w:color w:val="231F20"/>
              </w:rPr>
              <w:t>Aqua Wastewater Compliance [2.5%]</w:t>
            </w:r>
          </w:p>
        </w:tc>
        <w:tc>
          <w:tcPr>
            <w:tcW w:w="860" w:type="dxa"/>
            <w:vAlign w:val="bottom"/>
          </w:tcPr>
          <w:p>
            <w:pPr>
              <w:spacing w:after="0"/>
              <w:rPr>
                <w:sz w:val="2"/>
                <w:szCs w:val="2"/>
                <w:color w:val="auto"/>
              </w:rPr>
            </w:pPr>
          </w:p>
        </w:tc>
        <w:tc>
          <w:tcPr>
            <w:tcW w:w="1920" w:type="dxa"/>
            <w:vAlign w:val="bottom"/>
            <w:gridSpan w:val="2"/>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9"/>
        </w:trPr>
        <w:tc>
          <w:tcPr>
            <w:tcW w:w="920" w:type="dxa"/>
            <w:vAlign w:val="bottom"/>
          </w:tcPr>
          <w:p>
            <w:pPr>
              <w:spacing w:after="0"/>
              <w:rPr>
                <w:sz w:val="15"/>
                <w:szCs w:val="15"/>
                <w:color w:val="auto"/>
              </w:rPr>
            </w:pPr>
          </w:p>
        </w:tc>
        <w:tc>
          <w:tcPr>
            <w:tcW w:w="2800" w:type="dxa"/>
            <w:vAlign w:val="bottom"/>
            <w:vMerge w:val="continue"/>
          </w:tcPr>
          <w:p>
            <w:pPr>
              <w:spacing w:after="0"/>
              <w:rPr>
                <w:sz w:val="15"/>
                <w:szCs w:val="15"/>
                <w:color w:val="auto"/>
              </w:rPr>
            </w:pPr>
          </w:p>
        </w:tc>
        <w:tc>
          <w:tcPr>
            <w:tcW w:w="3960" w:type="dxa"/>
            <w:vAlign w:val="bottom"/>
            <w:vMerge w:val="continue"/>
          </w:tcPr>
          <w:p>
            <w:pPr>
              <w:spacing w:after="0"/>
              <w:rPr>
                <w:sz w:val="15"/>
                <w:szCs w:val="15"/>
                <w:color w:val="auto"/>
              </w:rPr>
            </w:pPr>
          </w:p>
        </w:tc>
        <w:tc>
          <w:tcPr>
            <w:tcW w:w="860" w:type="dxa"/>
            <w:vAlign w:val="bottom"/>
            <w:shd w:val="clear" w:color="auto" w:fill="EAEBEC"/>
          </w:tcPr>
          <w:p>
            <w:pPr>
              <w:spacing w:after="0"/>
              <w:rPr>
                <w:sz w:val="20"/>
                <w:szCs w:val="20"/>
                <w:color w:val="auto"/>
              </w:rPr>
            </w:pPr>
            <w:r>
              <w:rPr>
                <w:rFonts w:ascii="Arial" w:cs="Arial" w:eastAsia="Arial" w:hAnsi="Arial"/>
                <w:sz w:val="14"/>
                <w:szCs w:val="14"/>
                <w:color w:val="231F20"/>
              </w:rPr>
              <w:t>92.50%</w:t>
            </w:r>
          </w:p>
        </w:tc>
        <w:tc>
          <w:tcPr>
            <w:tcW w:w="480" w:type="dxa"/>
            <w:vAlign w:val="bottom"/>
            <w:shd w:val="clear" w:color="auto" w:fill="EAEBEC"/>
          </w:tcPr>
          <w:p>
            <w:pPr>
              <w:spacing w:after="0"/>
              <w:rPr>
                <w:sz w:val="15"/>
                <w:szCs w:val="15"/>
                <w:color w:val="auto"/>
              </w:rPr>
            </w:pPr>
          </w:p>
        </w:tc>
        <w:tc>
          <w:tcPr>
            <w:tcW w:w="1440" w:type="dxa"/>
            <w:vAlign w:val="bottom"/>
            <w:shd w:val="clear" w:color="auto" w:fill="D1D2D3"/>
          </w:tcPr>
          <w:p>
            <w:pPr>
              <w:jc w:val="right"/>
              <w:ind w:right="88"/>
              <w:spacing w:after="0"/>
              <w:rPr>
                <w:sz w:val="20"/>
                <w:szCs w:val="20"/>
                <w:color w:val="auto"/>
              </w:rPr>
            </w:pPr>
            <w:r>
              <w:rPr>
                <w:rFonts w:ascii="Arial" w:cs="Arial" w:eastAsia="Arial" w:hAnsi="Arial"/>
                <w:sz w:val="14"/>
                <w:szCs w:val="14"/>
                <w:b w:val="1"/>
                <w:bCs w:val="1"/>
                <w:color w:val="4395D4"/>
              </w:rPr>
              <w:t>94.50%</w:t>
            </w:r>
          </w:p>
        </w:tc>
        <w:tc>
          <w:tcPr>
            <w:tcW w:w="780" w:type="dxa"/>
            <w:vAlign w:val="bottom"/>
            <w:shd w:val="clear" w:color="auto" w:fill="ADAFB2"/>
          </w:tcPr>
          <w:p>
            <w:pPr>
              <w:jc w:val="right"/>
              <w:ind w:right="8"/>
              <w:spacing w:after="0"/>
              <w:rPr>
                <w:sz w:val="20"/>
                <w:szCs w:val="20"/>
                <w:color w:val="auto"/>
              </w:rPr>
            </w:pPr>
            <w:r>
              <w:rPr>
                <w:rFonts w:ascii="Arial" w:cs="Arial" w:eastAsia="Arial" w:hAnsi="Arial"/>
                <w:sz w:val="14"/>
                <w:szCs w:val="14"/>
                <w:color w:val="FFFFFF"/>
              </w:rPr>
              <w:t>96.50%</w:t>
            </w:r>
          </w:p>
        </w:tc>
        <w:tc>
          <w:tcPr>
            <w:tcW w:w="0" w:type="dxa"/>
            <w:vAlign w:val="bottom"/>
          </w:tcPr>
          <w:p>
            <w:pPr>
              <w:spacing w:after="0"/>
              <w:rPr>
                <w:sz w:val="1"/>
                <w:szCs w:val="1"/>
                <w:color w:val="auto"/>
              </w:rPr>
            </w:pPr>
          </w:p>
        </w:tc>
      </w:tr>
      <w:tr>
        <w:trPr>
          <w:trHeight w:val="26"/>
        </w:trPr>
        <w:tc>
          <w:tcPr>
            <w:tcW w:w="920" w:type="dxa"/>
            <w:vAlign w:val="bottom"/>
          </w:tcPr>
          <w:p>
            <w:pPr>
              <w:spacing w:after="0"/>
              <w:rPr>
                <w:sz w:val="2"/>
                <w:szCs w:val="2"/>
                <w:color w:val="auto"/>
              </w:rPr>
            </w:pPr>
          </w:p>
        </w:tc>
        <w:tc>
          <w:tcPr>
            <w:tcW w:w="2800" w:type="dxa"/>
            <w:vAlign w:val="bottom"/>
          </w:tcPr>
          <w:p>
            <w:pPr>
              <w:spacing w:after="0"/>
              <w:rPr>
                <w:sz w:val="2"/>
                <w:szCs w:val="2"/>
                <w:color w:val="auto"/>
              </w:rPr>
            </w:pPr>
          </w:p>
        </w:tc>
        <w:tc>
          <w:tcPr>
            <w:tcW w:w="3960" w:type="dxa"/>
            <w:vAlign w:val="bottom"/>
            <w:tcBorders>
              <w:bottom w:val="single" w:sz="8" w:color="231F20"/>
            </w:tcBorders>
          </w:tcPr>
          <w:p>
            <w:pPr>
              <w:spacing w:after="0"/>
              <w:rPr>
                <w:sz w:val="2"/>
                <w:szCs w:val="2"/>
                <w:color w:val="auto"/>
              </w:rPr>
            </w:pPr>
          </w:p>
        </w:tc>
        <w:tc>
          <w:tcPr>
            <w:tcW w:w="860" w:type="dxa"/>
            <w:vAlign w:val="bottom"/>
            <w:tcBorders>
              <w:bottom w:val="single" w:sz="8" w:color="231F20"/>
            </w:tcBorders>
          </w:tcPr>
          <w:p>
            <w:pPr>
              <w:spacing w:after="0"/>
              <w:rPr>
                <w:sz w:val="2"/>
                <w:szCs w:val="2"/>
                <w:color w:val="auto"/>
              </w:rPr>
            </w:pPr>
          </w:p>
        </w:tc>
        <w:tc>
          <w:tcPr>
            <w:tcW w:w="1920" w:type="dxa"/>
            <w:vAlign w:val="bottom"/>
            <w:tcBorders>
              <w:bottom w:val="single" w:sz="8" w:color="231F20"/>
            </w:tcBorders>
            <w:gridSpan w:val="2"/>
          </w:tcPr>
          <w:p>
            <w:pPr>
              <w:spacing w:after="0"/>
              <w:rPr>
                <w:sz w:val="2"/>
                <w:szCs w:val="2"/>
                <w:color w:val="auto"/>
              </w:rPr>
            </w:pPr>
          </w:p>
        </w:tc>
        <w:tc>
          <w:tcPr>
            <w:tcW w:w="780" w:type="dxa"/>
            <w:vAlign w:val="bottom"/>
            <w:tcBorders>
              <w:bottom w:val="single" w:sz="8" w:color="231F20"/>
            </w:tcBorders>
          </w:tcPr>
          <w:p>
            <w:pPr>
              <w:spacing w:after="0"/>
              <w:rPr>
                <w:sz w:val="2"/>
                <w:szCs w:val="2"/>
                <w:color w:val="auto"/>
              </w:rPr>
            </w:pPr>
          </w:p>
        </w:tc>
        <w:tc>
          <w:tcPr>
            <w:tcW w:w="0" w:type="dxa"/>
            <w:vAlign w:val="bottom"/>
          </w:tcPr>
          <w:p>
            <w:pPr>
              <w:spacing w:after="0"/>
              <w:rPr>
                <w:sz w:val="1"/>
                <w:szCs w:val="1"/>
                <w:color w:val="auto"/>
              </w:rPr>
            </w:pPr>
          </w:p>
        </w:tc>
      </w:tr>
      <w:tr>
        <w:trPr>
          <w:trHeight w:val="31"/>
        </w:trPr>
        <w:tc>
          <w:tcPr>
            <w:tcW w:w="920" w:type="dxa"/>
            <w:vAlign w:val="bottom"/>
          </w:tcPr>
          <w:p>
            <w:pPr>
              <w:spacing w:after="0"/>
              <w:rPr>
                <w:sz w:val="2"/>
                <w:szCs w:val="2"/>
                <w:color w:val="auto"/>
              </w:rPr>
            </w:pPr>
          </w:p>
        </w:tc>
        <w:tc>
          <w:tcPr>
            <w:tcW w:w="2800" w:type="dxa"/>
            <w:vAlign w:val="bottom"/>
          </w:tcPr>
          <w:p>
            <w:pPr>
              <w:spacing w:after="0"/>
              <w:rPr>
                <w:sz w:val="2"/>
                <w:szCs w:val="2"/>
                <w:color w:val="auto"/>
              </w:rPr>
            </w:pPr>
          </w:p>
        </w:tc>
        <w:tc>
          <w:tcPr>
            <w:tcW w:w="3960" w:type="dxa"/>
            <w:vAlign w:val="bottom"/>
            <w:vMerge w:val="restart"/>
          </w:tcPr>
          <w:p>
            <w:pPr>
              <w:spacing w:after="0"/>
              <w:rPr>
                <w:sz w:val="20"/>
                <w:szCs w:val="20"/>
                <w:color w:val="auto"/>
              </w:rPr>
            </w:pPr>
            <w:r>
              <w:rPr>
                <w:rFonts w:ascii="Arial" w:cs="Arial" w:eastAsia="Arial" w:hAnsi="Arial"/>
                <w:sz w:val="14"/>
                <w:szCs w:val="14"/>
                <w:color w:val="231F20"/>
              </w:rPr>
              <w:t>Peoples Gas Leaks [2.5%]</w:t>
            </w:r>
          </w:p>
        </w:tc>
        <w:tc>
          <w:tcPr>
            <w:tcW w:w="860" w:type="dxa"/>
            <w:vAlign w:val="bottom"/>
          </w:tcPr>
          <w:p>
            <w:pPr>
              <w:spacing w:after="0"/>
              <w:rPr>
                <w:sz w:val="2"/>
                <w:szCs w:val="2"/>
                <w:color w:val="auto"/>
              </w:rPr>
            </w:pPr>
          </w:p>
        </w:tc>
        <w:tc>
          <w:tcPr>
            <w:tcW w:w="1920" w:type="dxa"/>
            <w:vAlign w:val="bottom"/>
            <w:gridSpan w:val="2"/>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9"/>
        </w:trPr>
        <w:tc>
          <w:tcPr>
            <w:tcW w:w="920" w:type="dxa"/>
            <w:vAlign w:val="bottom"/>
          </w:tcPr>
          <w:p>
            <w:pPr>
              <w:spacing w:after="0"/>
              <w:rPr>
                <w:sz w:val="15"/>
                <w:szCs w:val="15"/>
                <w:color w:val="auto"/>
              </w:rPr>
            </w:pPr>
          </w:p>
        </w:tc>
        <w:tc>
          <w:tcPr>
            <w:tcW w:w="2800" w:type="dxa"/>
            <w:vAlign w:val="bottom"/>
          </w:tcPr>
          <w:p>
            <w:pPr>
              <w:spacing w:after="0"/>
              <w:rPr>
                <w:sz w:val="15"/>
                <w:szCs w:val="15"/>
                <w:color w:val="auto"/>
              </w:rPr>
            </w:pPr>
          </w:p>
        </w:tc>
        <w:tc>
          <w:tcPr>
            <w:tcW w:w="3960" w:type="dxa"/>
            <w:vAlign w:val="bottom"/>
            <w:vMerge w:val="continue"/>
          </w:tcPr>
          <w:p>
            <w:pPr>
              <w:spacing w:after="0"/>
              <w:rPr>
                <w:sz w:val="15"/>
                <w:szCs w:val="15"/>
                <w:color w:val="auto"/>
              </w:rPr>
            </w:pPr>
          </w:p>
        </w:tc>
        <w:tc>
          <w:tcPr>
            <w:tcW w:w="860" w:type="dxa"/>
            <w:vAlign w:val="bottom"/>
            <w:shd w:val="clear" w:color="auto" w:fill="EAEBEC"/>
          </w:tcPr>
          <w:p>
            <w:pPr>
              <w:spacing w:after="0"/>
              <w:rPr>
                <w:sz w:val="20"/>
                <w:szCs w:val="20"/>
                <w:color w:val="auto"/>
              </w:rPr>
            </w:pPr>
            <w:r>
              <w:rPr>
                <w:rFonts w:ascii="Arial" w:cs="Arial" w:eastAsia="Arial" w:hAnsi="Arial"/>
                <w:sz w:val="14"/>
                <w:szCs w:val="14"/>
                <w:color w:val="231F20"/>
              </w:rPr>
              <w:t>905</w:t>
            </w:r>
          </w:p>
        </w:tc>
        <w:tc>
          <w:tcPr>
            <w:tcW w:w="480" w:type="dxa"/>
            <w:vAlign w:val="bottom"/>
            <w:shd w:val="clear" w:color="auto" w:fill="EAEBEC"/>
          </w:tcPr>
          <w:p>
            <w:pPr>
              <w:spacing w:after="0"/>
              <w:rPr>
                <w:sz w:val="15"/>
                <w:szCs w:val="15"/>
                <w:color w:val="auto"/>
              </w:rPr>
            </w:pPr>
          </w:p>
        </w:tc>
        <w:tc>
          <w:tcPr>
            <w:tcW w:w="1440" w:type="dxa"/>
            <w:vAlign w:val="bottom"/>
            <w:shd w:val="clear" w:color="auto" w:fill="D1D2D3"/>
          </w:tcPr>
          <w:p>
            <w:pPr>
              <w:jc w:val="right"/>
              <w:ind w:right="88"/>
              <w:spacing w:after="0"/>
              <w:rPr>
                <w:sz w:val="20"/>
                <w:szCs w:val="20"/>
                <w:color w:val="auto"/>
              </w:rPr>
            </w:pPr>
            <w:r>
              <w:rPr>
                <w:rFonts w:ascii="Arial" w:cs="Arial" w:eastAsia="Arial" w:hAnsi="Arial"/>
                <w:sz w:val="14"/>
                <w:szCs w:val="14"/>
                <w:b w:val="1"/>
                <w:bCs w:val="1"/>
                <w:color w:val="4395D4"/>
              </w:rPr>
              <w:t>860</w:t>
            </w:r>
          </w:p>
        </w:tc>
        <w:tc>
          <w:tcPr>
            <w:tcW w:w="780" w:type="dxa"/>
            <w:vAlign w:val="bottom"/>
            <w:shd w:val="clear" w:color="auto" w:fill="ADAFB2"/>
          </w:tcPr>
          <w:p>
            <w:pPr>
              <w:jc w:val="right"/>
              <w:ind w:right="8"/>
              <w:spacing w:after="0"/>
              <w:rPr>
                <w:sz w:val="20"/>
                <w:szCs w:val="20"/>
                <w:color w:val="auto"/>
              </w:rPr>
            </w:pPr>
            <w:r>
              <w:rPr>
                <w:rFonts w:ascii="Arial" w:cs="Arial" w:eastAsia="Arial" w:hAnsi="Arial"/>
                <w:sz w:val="14"/>
                <w:szCs w:val="14"/>
                <w:color w:val="FFFFFF"/>
              </w:rPr>
              <w:t>814</w:t>
            </w:r>
          </w:p>
        </w:tc>
        <w:tc>
          <w:tcPr>
            <w:tcW w:w="0" w:type="dxa"/>
            <w:vAlign w:val="bottom"/>
          </w:tcPr>
          <w:p>
            <w:pPr>
              <w:spacing w:after="0"/>
              <w:rPr>
                <w:sz w:val="1"/>
                <w:szCs w:val="1"/>
                <w:color w:val="auto"/>
              </w:rPr>
            </w:pPr>
          </w:p>
        </w:tc>
      </w:tr>
      <w:tr>
        <w:trPr>
          <w:trHeight w:val="26"/>
        </w:trPr>
        <w:tc>
          <w:tcPr>
            <w:tcW w:w="920" w:type="dxa"/>
            <w:vAlign w:val="bottom"/>
          </w:tcPr>
          <w:p>
            <w:pPr>
              <w:spacing w:after="0"/>
              <w:rPr>
                <w:sz w:val="2"/>
                <w:szCs w:val="2"/>
                <w:color w:val="auto"/>
              </w:rPr>
            </w:pPr>
          </w:p>
        </w:tc>
        <w:tc>
          <w:tcPr>
            <w:tcW w:w="2800" w:type="dxa"/>
            <w:vAlign w:val="bottom"/>
          </w:tcPr>
          <w:p>
            <w:pPr>
              <w:spacing w:after="0"/>
              <w:rPr>
                <w:sz w:val="2"/>
                <w:szCs w:val="2"/>
                <w:color w:val="auto"/>
              </w:rPr>
            </w:pPr>
          </w:p>
        </w:tc>
        <w:tc>
          <w:tcPr>
            <w:tcW w:w="3960" w:type="dxa"/>
            <w:vAlign w:val="bottom"/>
            <w:tcBorders>
              <w:bottom w:val="single" w:sz="8" w:color="231F20"/>
            </w:tcBorders>
          </w:tcPr>
          <w:p>
            <w:pPr>
              <w:spacing w:after="0"/>
              <w:rPr>
                <w:sz w:val="2"/>
                <w:szCs w:val="2"/>
                <w:color w:val="auto"/>
              </w:rPr>
            </w:pPr>
          </w:p>
        </w:tc>
        <w:tc>
          <w:tcPr>
            <w:tcW w:w="860" w:type="dxa"/>
            <w:vAlign w:val="bottom"/>
            <w:tcBorders>
              <w:bottom w:val="single" w:sz="8" w:color="231F20"/>
            </w:tcBorders>
          </w:tcPr>
          <w:p>
            <w:pPr>
              <w:spacing w:after="0"/>
              <w:rPr>
                <w:sz w:val="2"/>
                <w:szCs w:val="2"/>
                <w:color w:val="auto"/>
              </w:rPr>
            </w:pPr>
          </w:p>
        </w:tc>
        <w:tc>
          <w:tcPr>
            <w:tcW w:w="1920" w:type="dxa"/>
            <w:vAlign w:val="bottom"/>
            <w:tcBorders>
              <w:bottom w:val="single" w:sz="8" w:color="231F20"/>
            </w:tcBorders>
            <w:gridSpan w:val="2"/>
          </w:tcPr>
          <w:p>
            <w:pPr>
              <w:spacing w:after="0"/>
              <w:rPr>
                <w:sz w:val="2"/>
                <w:szCs w:val="2"/>
                <w:color w:val="auto"/>
              </w:rPr>
            </w:pPr>
          </w:p>
        </w:tc>
        <w:tc>
          <w:tcPr>
            <w:tcW w:w="780" w:type="dxa"/>
            <w:vAlign w:val="bottom"/>
            <w:tcBorders>
              <w:bottom w:val="single" w:sz="8" w:color="231F20"/>
            </w:tcBorders>
          </w:tcPr>
          <w:p>
            <w:pPr>
              <w:spacing w:after="0"/>
              <w:rPr>
                <w:sz w:val="2"/>
                <w:szCs w:val="2"/>
                <w:color w:val="auto"/>
              </w:rPr>
            </w:pPr>
          </w:p>
        </w:tc>
        <w:tc>
          <w:tcPr>
            <w:tcW w:w="0" w:type="dxa"/>
            <w:vAlign w:val="bottom"/>
          </w:tcPr>
          <w:p>
            <w:pPr>
              <w:spacing w:after="0"/>
              <w:rPr>
                <w:sz w:val="1"/>
                <w:szCs w:val="1"/>
                <w:color w:val="auto"/>
              </w:rPr>
            </w:pPr>
          </w:p>
        </w:tc>
      </w:tr>
      <w:tr>
        <w:trPr>
          <w:trHeight w:val="31"/>
        </w:trPr>
        <w:tc>
          <w:tcPr>
            <w:tcW w:w="920" w:type="dxa"/>
            <w:vAlign w:val="bottom"/>
          </w:tcPr>
          <w:p>
            <w:pPr>
              <w:spacing w:after="0"/>
              <w:rPr>
                <w:sz w:val="2"/>
                <w:szCs w:val="2"/>
                <w:color w:val="auto"/>
              </w:rPr>
            </w:pPr>
          </w:p>
        </w:tc>
        <w:tc>
          <w:tcPr>
            <w:tcW w:w="2800" w:type="dxa"/>
            <w:vAlign w:val="bottom"/>
          </w:tcPr>
          <w:p>
            <w:pPr>
              <w:spacing w:after="0"/>
              <w:rPr>
                <w:sz w:val="2"/>
                <w:szCs w:val="2"/>
                <w:color w:val="auto"/>
              </w:rPr>
            </w:pPr>
          </w:p>
        </w:tc>
        <w:tc>
          <w:tcPr>
            <w:tcW w:w="3960" w:type="dxa"/>
            <w:vAlign w:val="bottom"/>
            <w:vMerge w:val="restart"/>
          </w:tcPr>
          <w:p>
            <w:pPr>
              <w:spacing w:after="0"/>
              <w:rPr>
                <w:sz w:val="20"/>
                <w:szCs w:val="20"/>
                <w:color w:val="auto"/>
              </w:rPr>
            </w:pPr>
            <w:r>
              <w:rPr>
                <w:rFonts w:ascii="Arial" w:cs="Arial" w:eastAsia="Arial" w:hAnsi="Arial"/>
                <w:sz w:val="14"/>
                <w:szCs w:val="14"/>
                <w:color w:val="231F20"/>
              </w:rPr>
              <w:t>Peoples Gas LTIIP [2.5%]</w:t>
            </w:r>
          </w:p>
        </w:tc>
        <w:tc>
          <w:tcPr>
            <w:tcW w:w="860" w:type="dxa"/>
            <w:vAlign w:val="bottom"/>
          </w:tcPr>
          <w:p>
            <w:pPr>
              <w:spacing w:after="0"/>
              <w:rPr>
                <w:sz w:val="2"/>
                <w:szCs w:val="2"/>
                <w:color w:val="auto"/>
              </w:rPr>
            </w:pPr>
          </w:p>
        </w:tc>
        <w:tc>
          <w:tcPr>
            <w:tcW w:w="1920" w:type="dxa"/>
            <w:vAlign w:val="bottom"/>
            <w:gridSpan w:val="2"/>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9"/>
        </w:trPr>
        <w:tc>
          <w:tcPr>
            <w:tcW w:w="920" w:type="dxa"/>
            <w:vAlign w:val="bottom"/>
          </w:tcPr>
          <w:p>
            <w:pPr>
              <w:spacing w:after="0"/>
              <w:rPr>
                <w:sz w:val="15"/>
                <w:szCs w:val="15"/>
                <w:color w:val="auto"/>
              </w:rPr>
            </w:pPr>
          </w:p>
        </w:tc>
        <w:tc>
          <w:tcPr>
            <w:tcW w:w="2800" w:type="dxa"/>
            <w:vAlign w:val="bottom"/>
          </w:tcPr>
          <w:p>
            <w:pPr>
              <w:spacing w:after="0"/>
              <w:rPr>
                <w:sz w:val="15"/>
                <w:szCs w:val="15"/>
                <w:color w:val="auto"/>
              </w:rPr>
            </w:pPr>
          </w:p>
        </w:tc>
        <w:tc>
          <w:tcPr>
            <w:tcW w:w="3960" w:type="dxa"/>
            <w:vAlign w:val="bottom"/>
            <w:vMerge w:val="continue"/>
          </w:tcPr>
          <w:p>
            <w:pPr>
              <w:spacing w:after="0"/>
              <w:rPr>
                <w:sz w:val="15"/>
                <w:szCs w:val="15"/>
                <w:color w:val="auto"/>
              </w:rPr>
            </w:pPr>
          </w:p>
        </w:tc>
        <w:tc>
          <w:tcPr>
            <w:tcW w:w="860" w:type="dxa"/>
            <w:vAlign w:val="bottom"/>
            <w:shd w:val="clear" w:color="auto" w:fill="EAEBEC"/>
          </w:tcPr>
          <w:p>
            <w:pPr>
              <w:spacing w:after="0"/>
              <w:rPr>
                <w:sz w:val="20"/>
                <w:szCs w:val="20"/>
                <w:color w:val="auto"/>
              </w:rPr>
            </w:pPr>
            <w:r>
              <w:rPr>
                <w:rFonts w:ascii="Arial" w:cs="Arial" w:eastAsia="Arial" w:hAnsi="Arial"/>
                <w:sz w:val="14"/>
                <w:szCs w:val="14"/>
                <w:color w:val="231F20"/>
              </w:rPr>
              <w:t>90.00%</w:t>
            </w:r>
          </w:p>
        </w:tc>
        <w:tc>
          <w:tcPr>
            <w:tcW w:w="480" w:type="dxa"/>
            <w:vAlign w:val="bottom"/>
            <w:shd w:val="clear" w:color="auto" w:fill="EAEBEC"/>
          </w:tcPr>
          <w:p>
            <w:pPr>
              <w:spacing w:after="0"/>
              <w:rPr>
                <w:sz w:val="15"/>
                <w:szCs w:val="15"/>
                <w:color w:val="auto"/>
              </w:rPr>
            </w:pPr>
          </w:p>
        </w:tc>
        <w:tc>
          <w:tcPr>
            <w:tcW w:w="1440" w:type="dxa"/>
            <w:vAlign w:val="bottom"/>
            <w:shd w:val="clear" w:color="auto" w:fill="D1D2D3"/>
          </w:tcPr>
          <w:p>
            <w:pPr>
              <w:jc w:val="right"/>
              <w:ind w:right="88"/>
              <w:spacing w:after="0"/>
              <w:rPr>
                <w:sz w:val="20"/>
                <w:szCs w:val="20"/>
                <w:color w:val="auto"/>
              </w:rPr>
            </w:pPr>
            <w:r>
              <w:rPr>
                <w:rFonts w:ascii="Arial" w:cs="Arial" w:eastAsia="Arial" w:hAnsi="Arial"/>
                <w:sz w:val="14"/>
                <w:szCs w:val="14"/>
                <w:b w:val="1"/>
                <w:bCs w:val="1"/>
                <w:color w:val="4395D4"/>
              </w:rPr>
              <w:t>100.00%</w:t>
            </w:r>
          </w:p>
        </w:tc>
        <w:tc>
          <w:tcPr>
            <w:tcW w:w="780" w:type="dxa"/>
            <w:vAlign w:val="bottom"/>
            <w:shd w:val="clear" w:color="auto" w:fill="ADAFB2"/>
          </w:tcPr>
          <w:p>
            <w:pPr>
              <w:jc w:val="right"/>
              <w:ind w:right="8"/>
              <w:spacing w:after="0"/>
              <w:rPr>
                <w:sz w:val="20"/>
                <w:szCs w:val="20"/>
                <w:color w:val="auto"/>
              </w:rPr>
            </w:pPr>
            <w:r>
              <w:rPr>
                <w:rFonts w:ascii="Arial" w:cs="Arial" w:eastAsia="Arial" w:hAnsi="Arial"/>
                <w:sz w:val="14"/>
                <w:szCs w:val="14"/>
                <w:color w:val="FFFFFF"/>
              </w:rPr>
              <w:t>110.00%</w:t>
            </w:r>
          </w:p>
        </w:tc>
        <w:tc>
          <w:tcPr>
            <w:tcW w:w="0" w:type="dxa"/>
            <w:vAlign w:val="bottom"/>
          </w:tcPr>
          <w:p>
            <w:pPr>
              <w:spacing w:after="0"/>
              <w:rPr>
                <w:sz w:val="1"/>
                <w:szCs w:val="1"/>
                <w:color w:val="auto"/>
              </w:rPr>
            </w:pPr>
          </w:p>
        </w:tc>
      </w:tr>
      <w:tr>
        <w:trPr>
          <w:trHeight w:val="26"/>
        </w:trPr>
        <w:tc>
          <w:tcPr>
            <w:tcW w:w="920" w:type="dxa"/>
            <w:vAlign w:val="bottom"/>
            <w:tcBorders>
              <w:bottom w:val="single" w:sz="8" w:color="231F20"/>
            </w:tcBorders>
          </w:tcPr>
          <w:p>
            <w:pPr>
              <w:spacing w:after="0"/>
              <w:rPr>
                <w:sz w:val="2"/>
                <w:szCs w:val="2"/>
                <w:color w:val="auto"/>
              </w:rPr>
            </w:pPr>
          </w:p>
        </w:tc>
        <w:tc>
          <w:tcPr>
            <w:tcW w:w="2800" w:type="dxa"/>
            <w:vAlign w:val="bottom"/>
            <w:tcBorders>
              <w:bottom w:val="single" w:sz="8" w:color="231F20"/>
            </w:tcBorders>
          </w:tcPr>
          <w:p>
            <w:pPr>
              <w:spacing w:after="0"/>
              <w:rPr>
                <w:sz w:val="2"/>
                <w:szCs w:val="2"/>
                <w:color w:val="auto"/>
              </w:rPr>
            </w:pPr>
          </w:p>
        </w:tc>
        <w:tc>
          <w:tcPr>
            <w:tcW w:w="3960" w:type="dxa"/>
            <w:vAlign w:val="bottom"/>
            <w:tcBorders>
              <w:bottom w:val="single" w:sz="8" w:color="231F20"/>
            </w:tcBorders>
          </w:tcPr>
          <w:p>
            <w:pPr>
              <w:spacing w:after="0"/>
              <w:rPr>
                <w:sz w:val="2"/>
                <w:szCs w:val="2"/>
                <w:color w:val="auto"/>
              </w:rPr>
            </w:pPr>
          </w:p>
        </w:tc>
        <w:tc>
          <w:tcPr>
            <w:tcW w:w="860" w:type="dxa"/>
            <w:vAlign w:val="bottom"/>
            <w:tcBorders>
              <w:bottom w:val="single" w:sz="8" w:color="231F20"/>
            </w:tcBorders>
          </w:tcPr>
          <w:p>
            <w:pPr>
              <w:spacing w:after="0"/>
              <w:rPr>
                <w:sz w:val="2"/>
                <w:szCs w:val="2"/>
                <w:color w:val="auto"/>
              </w:rPr>
            </w:pPr>
          </w:p>
        </w:tc>
        <w:tc>
          <w:tcPr>
            <w:tcW w:w="1920" w:type="dxa"/>
            <w:vAlign w:val="bottom"/>
            <w:tcBorders>
              <w:bottom w:val="single" w:sz="8" w:color="231F20"/>
            </w:tcBorders>
            <w:gridSpan w:val="2"/>
          </w:tcPr>
          <w:p>
            <w:pPr>
              <w:spacing w:after="0"/>
              <w:rPr>
                <w:sz w:val="2"/>
                <w:szCs w:val="2"/>
                <w:color w:val="auto"/>
              </w:rPr>
            </w:pPr>
          </w:p>
        </w:tc>
        <w:tc>
          <w:tcPr>
            <w:tcW w:w="780" w:type="dxa"/>
            <w:vAlign w:val="bottom"/>
            <w:tcBorders>
              <w:bottom w:val="single" w:sz="8" w:color="231F20"/>
            </w:tcBorders>
          </w:tcPr>
          <w:p>
            <w:pPr>
              <w:spacing w:after="0"/>
              <w:rPr>
                <w:sz w:val="2"/>
                <w:szCs w:val="2"/>
                <w:color w:val="auto"/>
              </w:rPr>
            </w:pPr>
          </w:p>
        </w:tc>
        <w:tc>
          <w:tcPr>
            <w:tcW w:w="0" w:type="dxa"/>
            <w:vAlign w:val="bottom"/>
          </w:tcPr>
          <w:p>
            <w:pPr>
              <w:spacing w:after="0"/>
              <w:rPr>
                <w:sz w:val="1"/>
                <w:szCs w:val="1"/>
                <w:color w:val="auto"/>
              </w:rPr>
            </w:pPr>
          </w:p>
        </w:tc>
      </w:tr>
      <w:tr>
        <w:trPr>
          <w:trHeight w:val="31"/>
        </w:trPr>
        <w:tc>
          <w:tcPr>
            <w:tcW w:w="920" w:type="dxa"/>
            <w:vAlign w:val="bottom"/>
            <w:vMerge w:val="restart"/>
          </w:tcPr>
          <w:p>
            <w:pPr>
              <w:spacing w:after="0"/>
              <w:rPr>
                <w:sz w:val="20"/>
                <w:szCs w:val="20"/>
                <w:color w:val="auto"/>
              </w:rPr>
            </w:pPr>
            <w:r>
              <w:rPr>
                <w:rFonts w:ascii="Arial" w:cs="Arial" w:eastAsia="Arial" w:hAnsi="Arial"/>
                <w:sz w:val="14"/>
                <w:szCs w:val="14"/>
                <w:b w:val="1"/>
                <w:bCs w:val="1"/>
                <w:color w:val="4395D4"/>
              </w:rPr>
              <w:t>10%</w:t>
            </w:r>
          </w:p>
        </w:tc>
        <w:tc>
          <w:tcPr>
            <w:tcW w:w="2800" w:type="dxa"/>
            <w:vAlign w:val="bottom"/>
            <w:vMerge w:val="restart"/>
          </w:tcPr>
          <w:p>
            <w:pPr>
              <w:ind w:left="540"/>
              <w:spacing w:after="0"/>
              <w:rPr>
                <w:sz w:val="20"/>
                <w:szCs w:val="20"/>
                <w:color w:val="auto"/>
              </w:rPr>
            </w:pPr>
            <w:r>
              <w:rPr>
                <w:rFonts w:ascii="Arial" w:cs="Arial" w:eastAsia="Arial" w:hAnsi="Arial"/>
                <w:sz w:val="14"/>
                <w:szCs w:val="14"/>
                <w:b w:val="1"/>
                <w:bCs w:val="1"/>
                <w:color w:val="455986"/>
              </w:rPr>
              <w:t>Customer Satisfaction</w:t>
            </w:r>
          </w:p>
        </w:tc>
        <w:tc>
          <w:tcPr>
            <w:tcW w:w="3960" w:type="dxa"/>
            <w:vAlign w:val="bottom"/>
            <w:vMerge w:val="restart"/>
          </w:tcPr>
          <w:p>
            <w:pPr>
              <w:spacing w:after="0"/>
              <w:rPr>
                <w:sz w:val="20"/>
                <w:szCs w:val="20"/>
                <w:color w:val="auto"/>
              </w:rPr>
            </w:pPr>
            <w:r>
              <w:rPr>
                <w:rFonts w:ascii="Arial" w:cs="Arial" w:eastAsia="Arial" w:hAnsi="Arial"/>
                <w:sz w:val="14"/>
                <w:szCs w:val="14"/>
                <w:color w:val="231F20"/>
              </w:rPr>
              <w:t>Essential Service Level</w:t>
            </w:r>
          </w:p>
        </w:tc>
        <w:tc>
          <w:tcPr>
            <w:tcW w:w="860" w:type="dxa"/>
            <w:vAlign w:val="bottom"/>
          </w:tcPr>
          <w:p>
            <w:pPr>
              <w:spacing w:after="0"/>
              <w:rPr>
                <w:sz w:val="2"/>
                <w:szCs w:val="2"/>
                <w:color w:val="auto"/>
              </w:rPr>
            </w:pPr>
          </w:p>
        </w:tc>
        <w:tc>
          <w:tcPr>
            <w:tcW w:w="1920" w:type="dxa"/>
            <w:vAlign w:val="bottom"/>
            <w:gridSpan w:val="2"/>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9"/>
        </w:trPr>
        <w:tc>
          <w:tcPr>
            <w:tcW w:w="920" w:type="dxa"/>
            <w:vAlign w:val="bottom"/>
            <w:vMerge w:val="continue"/>
          </w:tcPr>
          <w:p>
            <w:pPr>
              <w:spacing w:after="0"/>
              <w:rPr>
                <w:sz w:val="15"/>
                <w:szCs w:val="15"/>
                <w:color w:val="auto"/>
              </w:rPr>
            </w:pPr>
          </w:p>
        </w:tc>
        <w:tc>
          <w:tcPr>
            <w:tcW w:w="2800" w:type="dxa"/>
            <w:vAlign w:val="bottom"/>
            <w:vMerge w:val="continue"/>
          </w:tcPr>
          <w:p>
            <w:pPr>
              <w:spacing w:after="0"/>
              <w:rPr>
                <w:sz w:val="15"/>
                <w:szCs w:val="15"/>
                <w:color w:val="auto"/>
              </w:rPr>
            </w:pPr>
          </w:p>
        </w:tc>
        <w:tc>
          <w:tcPr>
            <w:tcW w:w="3960" w:type="dxa"/>
            <w:vAlign w:val="bottom"/>
            <w:vMerge w:val="continue"/>
          </w:tcPr>
          <w:p>
            <w:pPr>
              <w:spacing w:after="0"/>
              <w:rPr>
                <w:sz w:val="15"/>
                <w:szCs w:val="15"/>
                <w:color w:val="auto"/>
              </w:rPr>
            </w:pPr>
          </w:p>
        </w:tc>
        <w:tc>
          <w:tcPr>
            <w:tcW w:w="860" w:type="dxa"/>
            <w:vAlign w:val="bottom"/>
            <w:shd w:val="clear" w:color="auto" w:fill="EAEBEC"/>
          </w:tcPr>
          <w:p>
            <w:pPr>
              <w:spacing w:after="0"/>
              <w:rPr>
                <w:sz w:val="20"/>
                <w:szCs w:val="20"/>
                <w:color w:val="auto"/>
              </w:rPr>
            </w:pPr>
            <w:r>
              <w:rPr>
                <w:rFonts w:ascii="Arial" w:cs="Arial" w:eastAsia="Arial" w:hAnsi="Arial"/>
                <w:sz w:val="14"/>
                <w:szCs w:val="14"/>
                <w:color w:val="231F20"/>
              </w:rPr>
              <w:t>80.00%</w:t>
            </w:r>
          </w:p>
        </w:tc>
        <w:tc>
          <w:tcPr>
            <w:tcW w:w="480" w:type="dxa"/>
            <w:vAlign w:val="bottom"/>
            <w:shd w:val="clear" w:color="auto" w:fill="EAEBEC"/>
          </w:tcPr>
          <w:p>
            <w:pPr>
              <w:spacing w:after="0"/>
              <w:rPr>
                <w:sz w:val="15"/>
                <w:szCs w:val="15"/>
                <w:color w:val="auto"/>
              </w:rPr>
            </w:pPr>
          </w:p>
        </w:tc>
        <w:tc>
          <w:tcPr>
            <w:tcW w:w="1440" w:type="dxa"/>
            <w:vAlign w:val="bottom"/>
            <w:shd w:val="clear" w:color="auto" w:fill="D1D2D3"/>
          </w:tcPr>
          <w:p>
            <w:pPr>
              <w:jc w:val="right"/>
              <w:ind w:right="88"/>
              <w:spacing w:after="0"/>
              <w:rPr>
                <w:sz w:val="20"/>
                <w:szCs w:val="20"/>
                <w:color w:val="auto"/>
              </w:rPr>
            </w:pPr>
            <w:r>
              <w:rPr>
                <w:rFonts w:ascii="Arial" w:cs="Arial" w:eastAsia="Arial" w:hAnsi="Arial"/>
                <w:sz w:val="14"/>
                <w:szCs w:val="14"/>
                <w:b w:val="1"/>
                <w:bCs w:val="1"/>
                <w:color w:val="4395D4"/>
              </w:rPr>
              <w:t>82.00%</w:t>
            </w:r>
          </w:p>
        </w:tc>
        <w:tc>
          <w:tcPr>
            <w:tcW w:w="780" w:type="dxa"/>
            <w:vAlign w:val="bottom"/>
            <w:shd w:val="clear" w:color="auto" w:fill="ADAFB2"/>
          </w:tcPr>
          <w:p>
            <w:pPr>
              <w:jc w:val="right"/>
              <w:ind w:right="8"/>
              <w:spacing w:after="0"/>
              <w:rPr>
                <w:sz w:val="20"/>
                <w:szCs w:val="20"/>
                <w:color w:val="auto"/>
              </w:rPr>
            </w:pPr>
            <w:r>
              <w:rPr>
                <w:rFonts w:ascii="Arial" w:cs="Arial" w:eastAsia="Arial" w:hAnsi="Arial"/>
                <w:sz w:val="14"/>
                <w:szCs w:val="14"/>
                <w:color w:val="FFFFFF"/>
              </w:rPr>
              <w:t>84.00%</w:t>
            </w:r>
          </w:p>
        </w:tc>
        <w:tc>
          <w:tcPr>
            <w:tcW w:w="0" w:type="dxa"/>
            <w:vAlign w:val="bottom"/>
          </w:tcPr>
          <w:p>
            <w:pPr>
              <w:spacing w:after="0"/>
              <w:rPr>
                <w:sz w:val="1"/>
                <w:szCs w:val="1"/>
                <w:color w:val="auto"/>
              </w:rPr>
            </w:pPr>
          </w:p>
        </w:tc>
      </w:tr>
      <w:tr>
        <w:trPr>
          <w:trHeight w:val="26"/>
        </w:trPr>
        <w:tc>
          <w:tcPr>
            <w:tcW w:w="920" w:type="dxa"/>
            <w:vAlign w:val="bottom"/>
            <w:tcBorders>
              <w:bottom w:val="single" w:sz="8" w:color="231F20"/>
            </w:tcBorders>
          </w:tcPr>
          <w:p>
            <w:pPr>
              <w:spacing w:after="0"/>
              <w:rPr>
                <w:sz w:val="2"/>
                <w:szCs w:val="2"/>
                <w:color w:val="auto"/>
              </w:rPr>
            </w:pPr>
          </w:p>
        </w:tc>
        <w:tc>
          <w:tcPr>
            <w:tcW w:w="2800" w:type="dxa"/>
            <w:vAlign w:val="bottom"/>
            <w:tcBorders>
              <w:bottom w:val="single" w:sz="8" w:color="231F20"/>
            </w:tcBorders>
          </w:tcPr>
          <w:p>
            <w:pPr>
              <w:spacing w:after="0"/>
              <w:rPr>
                <w:sz w:val="2"/>
                <w:szCs w:val="2"/>
                <w:color w:val="auto"/>
              </w:rPr>
            </w:pPr>
          </w:p>
        </w:tc>
        <w:tc>
          <w:tcPr>
            <w:tcW w:w="3960" w:type="dxa"/>
            <w:vAlign w:val="bottom"/>
            <w:tcBorders>
              <w:bottom w:val="single" w:sz="8" w:color="231F20"/>
            </w:tcBorders>
          </w:tcPr>
          <w:p>
            <w:pPr>
              <w:spacing w:after="0"/>
              <w:rPr>
                <w:sz w:val="2"/>
                <w:szCs w:val="2"/>
                <w:color w:val="auto"/>
              </w:rPr>
            </w:pPr>
          </w:p>
        </w:tc>
        <w:tc>
          <w:tcPr>
            <w:tcW w:w="860" w:type="dxa"/>
            <w:vAlign w:val="bottom"/>
            <w:tcBorders>
              <w:bottom w:val="single" w:sz="8" w:color="231F20"/>
            </w:tcBorders>
          </w:tcPr>
          <w:p>
            <w:pPr>
              <w:spacing w:after="0"/>
              <w:rPr>
                <w:sz w:val="2"/>
                <w:szCs w:val="2"/>
                <w:color w:val="auto"/>
              </w:rPr>
            </w:pPr>
          </w:p>
        </w:tc>
        <w:tc>
          <w:tcPr>
            <w:tcW w:w="480" w:type="dxa"/>
            <w:vAlign w:val="bottom"/>
            <w:tcBorders>
              <w:bottom w:val="single" w:sz="8" w:color="231F20"/>
            </w:tcBorders>
          </w:tcPr>
          <w:p>
            <w:pPr>
              <w:spacing w:after="0"/>
              <w:rPr>
                <w:sz w:val="2"/>
                <w:szCs w:val="2"/>
                <w:color w:val="auto"/>
              </w:rPr>
            </w:pPr>
          </w:p>
        </w:tc>
        <w:tc>
          <w:tcPr>
            <w:tcW w:w="1440" w:type="dxa"/>
            <w:vAlign w:val="bottom"/>
            <w:tcBorders>
              <w:bottom w:val="single" w:sz="8" w:color="231F20"/>
            </w:tcBorders>
          </w:tcPr>
          <w:p>
            <w:pPr>
              <w:spacing w:after="0"/>
              <w:rPr>
                <w:sz w:val="2"/>
                <w:szCs w:val="2"/>
                <w:color w:val="auto"/>
              </w:rPr>
            </w:pPr>
          </w:p>
        </w:tc>
        <w:tc>
          <w:tcPr>
            <w:tcW w:w="780" w:type="dxa"/>
            <w:vAlign w:val="bottom"/>
            <w:tcBorders>
              <w:bottom w:val="single" w:sz="8" w:color="231F20"/>
            </w:tcBorders>
          </w:tcPr>
          <w:p>
            <w:pPr>
              <w:spacing w:after="0"/>
              <w:rPr>
                <w:sz w:val="2"/>
                <w:szCs w:val="2"/>
                <w:color w:val="auto"/>
              </w:rPr>
            </w:pPr>
          </w:p>
        </w:tc>
        <w:tc>
          <w:tcPr>
            <w:tcW w:w="0" w:type="dxa"/>
            <w:vAlign w:val="bottom"/>
          </w:tcPr>
          <w:p>
            <w:pPr>
              <w:spacing w:after="0"/>
              <w:rPr>
                <w:sz w:val="1"/>
                <w:szCs w:val="1"/>
                <w:color w:val="auto"/>
              </w:rPr>
            </w:pPr>
          </w:p>
        </w:tc>
      </w:tr>
      <w:tr>
        <w:trPr>
          <w:trHeight w:val="31"/>
        </w:trPr>
        <w:tc>
          <w:tcPr>
            <w:tcW w:w="920" w:type="dxa"/>
            <w:vAlign w:val="bottom"/>
            <w:vMerge w:val="restart"/>
          </w:tcPr>
          <w:p>
            <w:pPr>
              <w:spacing w:after="0"/>
              <w:rPr>
                <w:sz w:val="20"/>
                <w:szCs w:val="20"/>
                <w:color w:val="auto"/>
              </w:rPr>
            </w:pPr>
            <w:r>
              <w:rPr>
                <w:rFonts w:ascii="Arial" w:cs="Arial" w:eastAsia="Arial" w:hAnsi="Arial"/>
                <w:sz w:val="14"/>
                <w:szCs w:val="14"/>
                <w:b w:val="1"/>
                <w:bCs w:val="1"/>
                <w:color w:val="4395D4"/>
              </w:rPr>
              <w:t>10%</w:t>
            </w:r>
          </w:p>
        </w:tc>
        <w:tc>
          <w:tcPr>
            <w:tcW w:w="2800" w:type="dxa"/>
            <w:vAlign w:val="bottom"/>
            <w:vMerge w:val="restart"/>
          </w:tcPr>
          <w:p>
            <w:pPr>
              <w:ind w:left="540"/>
              <w:spacing w:after="0"/>
              <w:rPr>
                <w:sz w:val="20"/>
                <w:szCs w:val="20"/>
                <w:color w:val="auto"/>
              </w:rPr>
            </w:pPr>
            <w:r>
              <w:rPr>
                <w:rFonts w:ascii="Arial" w:cs="Arial" w:eastAsia="Arial" w:hAnsi="Arial"/>
                <w:sz w:val="14"/>
                <w:szCs w:val="14"/>
                <w:b w:val="1"/>
                <w:bCs w:val="1"/>
                <w:color w:val="455986"/>
              </w:rPr>
              <w:t>Individual Goals</w:t>
            </w:r>
          </w:p>
        </w:tc>
        <w:tc>
          <w:tcPr>
            <w:tcW w:w="3960" w:type="dxa"/>
            <w:vAlign w:val="bottom"/>
          </w:tcPr>
          <w:p>
            <w:pPr>
              <w:spacing w:after="0"/>
              <w:rPr>
                <w:sz w:val="2"/>
                <w:szCs w:val="2"/>
                <w:color w:val="auto"/>
              </w:rPr>
            </w:pPr>
          </w:p>
        </w:tc>
        <w:tc>
          <w:tcPr>
            <w:tcW w:w="8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9"/>
        </w:trPr>
        <w:tc>
          <w:tcPr>
            <w:tcW w:w="920" w:type="dxa"/>
            <w:vAlign w:val="bottom"/>
            <w:vMerge w:val="continue"/>
          </w:tcPr>
          <w:p>
            <w:pPr>
              <w:spacing w:after="0"/>
              <w:rPr>
                <w:sz w:val="15"/>
                <w:szCs w:val="15"/>
                <w:color w:val="auto"/>
              </w:rPr>
            </w:pPr>
          </w:p>
        </w:tc>
        <w:tc>
          <w:tcPr>
            <w:tcW w:w="2800" w:type="dxa"/>
            <w:vAlign w:val="bottom"/>
            <w:vMerge w:val="continue"/>
          </w:tcPr>
          <w:p>
            <w:pPr>
              <w:spacing w:after="0"/>
              <w:rPr>
                <w:sz w:val="15"/>
                <w:szCs w:val="15"/>
                <w:color w:val="auto"/>
              </w:rPr>
            </w:pPr>
          </w:p>
        </w:tc>
        <w:tc>
          <w:tcPr>
            <w:tcW w:w="3960" w:type="dxa"/>
            <w:vAlign w:val="bottom"/>
          </w:tcPr>
          <w:p>
            <w:pPr>
              <w:spacing w:after="0"/>
              <w:rPr>
                <w:sz w:val="15"/>
                <w:szCs w:val="15"/>
                <w:color w:val="auto"/>
              </w:rPr>
            </w:pPr>
          </w:p>
        </w:tc>
        <w:tc>
          <w:tcPr>
            <w:tcW w:w="860" w:type="dxa"/>
            <w:vAlign w:val="bottom"/>
            <w:shd w:val="clear" w:color="auto" w:fill="EAEBEC"/>
          </w:tcPr>
          <w:p>
            <w:pPr>
              <w:spacing w:after="0"/>
              <w:rPr>
                <w:sz w:val="15"/>
                <w:szCs w:val="15"/>
                <w:color w:val="auto"/>
              </w:rPr>
            </w:pPr>
          </w:p>
        </w:tc>
        <w:tc>
          <w:tcPr>
            <w:tcW w:w="480" w:type="dxa"/>
            <w:vAlign w:val="bottom"/>
            <w:shd w:val="clear" w:color="auto" w:fill="EAEBEC"/>
          </w:tcPr>
          <w:p>
            <w:pPr>
              <w:spacing w:after="0"/>
              <w:rPr>
                <w:sz w:val="15"/>
                <w:szCs w:val="15"/>
                <w:color w:val="auto"/>
              </w:rPr>
            </w:pPr>
          </w:p>
        </w:tc>
        <w:tc>
          <w:tcPr>
            <w:tcW w:w="1440" w:type="dxa"/>
            <w:vAlign w:val="bottom"/>
            <w:shd w:val="clear" w:color="auto" w:fill="D1D2D3"/>
          </w:tcPr>
          <w:p>
            <w:pPr>
              <w:spacing w:after="0"/>
              <w:rPr>
                <w:sz w:val="15"/>
                <w:szCs w:val="15"/>
                <w:color w:val="auto"/>
              </w:rPr>
            </w:pPr>
          </w:p>
        </w:tc>
        <w:tc>
          <w:tcPr>
            <w:tcW w:w="780" w:type="dxa"/>
            <w:vAlign w:val="bottom"/>
            <w:shd w:val="clear" w:color="auto" w:fill="ADAFB2"/>
          </w:tcPr>
          <w:p>
            <w:pPr>
              <w:spacing w:after="0"/>
              <w:rPr>
                <w:sz w:val="15"/>
                <w:szCs w:val="15"/>
                <w:color w:val="auto"/>
              </w:rPr>
            </w:pPr>
          </w:p>
        </w:tc>
        <w:tc>
          <w:tcPr>
            <w:tcW w:w="0" w:type="dxa"/>
            <w:vAlign w:val="bottom"/>
          </w:tcPr>
          <w:p>
            <w:pPr>
              <w:spacing w:after="0"/>
              <w:rPr>
                <w:sz w:val="1"/>
                <w:szCs w:val="1"/>
                <w:color w:val="auto"/>
              </w:rPr>
            </w:pPr>
          </w:p>
        </w:tc>
      </w:tr>
      <w:tr>
        <w:trPr>
          <w:trHeight w:val="38"/>
        </w:trPr>
        <w:tc>
          <w:tcPr>
            <w:tcW w:w="920" w:type="dxa"/>
            <w:vAlign w:val="bottom"/>
            <w:tcBorders>
              <w:bottom w:val="single" w:sz="8" w:color="455986"/>
            </w:tcBorders>
          </w:tcPr>
          <w:p>
            <w:pPr>
              <w:spacing w:after="0"/>
              <w:rPr>
                <w:sz w:val="3"/>
                <w:szCs w:val="3"/>
                <w:color w:val="auto"/>
              </w:rPr>
            </w:pPr>
          </w:p>
        </w:tc>
        <w:tc>
          <w:tcPr>
            <w:tcW w:w="2800" w:type="dxa"/>
            <w:vAlign w:val="bottom"/>
            <w:tcBorders>
              <w:bottom w:val="single" w:sz="8" w:color="455986"/>
            </w:tcBorders>
          </w:tcPr>
          <w:p>
            <w:pPr>
              <w:spacing w:after="0"/>
              <w:rPr>
                <w:sz w:val="3"/>
                <w:szCs w:val="3"/>
                <w:color w:val="auto"/>
              </w:rPr>
            </w:pPr>
          </w:p>
        </w:tc>
        <w:tc>
          <w:tcPr>
            <w:tcW w:w="3960" w:type="dxa"/>
            <w:vAlign w:val="bottom"/>
            <w:tcBorders>
              <w:bottom w:val="single" w:sz="8" w:color="455986"/>
            </w:tcBorders>
          </w:tcPr>
          <w:p>
            <w:pPr>
              <w:spacing w:after="0"/>
              <w:rPr>
                <w:sz w:val="3"/>
                <w:szCs w:val="3"/>
                <w:color w:val="auto"/>
              </w:rPr>
            </w:pPr>
          </w:p>
        </w:tc>
        <w:tc>
          <w:tcPr>
            <w:tcW w:w="860" w:type="dxa"/>
            <w:vAlign w:val="bottom"/>
            <w:tcBorders>
              <w:bottom w:val="single" w:sz="8" w:color="455986"/>
            </w:tcBorders>
          </w:tcPr>
          <w:p>
            <w:pPr>
              <w:spacing w:after="0"/>
              <w:rPr>
                <w:sz w:val="3"/>
                <w:szCs w:val="3"/>
                <w:color w:val="auto"/>
              </w:rPr>
            </w:pPr>
          </w:p>
        </w:tc>
        <w:tc>
          <w:tcPr>
            <w:tcW w:w="480" w:type="dxa"/>
            <w:vAlign w:val="bottom"/>
            <w:tcBorders>
              <w:bottom w:val="single" w:sz="8" w:color="455986"/>
            </w:tcBorders>
          </w:tcPr>
          <w:p>
            <w:pPr>
              <w:spacing w:after="0"/>
              <w:rPr>
                <w:sz w:val="3"/>
                <w:szCs w:val="3"/>
                <w:color w:val="auto"/>
              </w:rPr>
            </w:pPr>
          </w:p>
        </w:tc>
        <w:tc>
          <w:tcPr>
            <w:tcW w:w="1440" w:type="dxa"/>
            <w:vAlign w:val="bottom"/>
            <w:tcBorders>
              <w:bottom w:val="single" w:sz="8" w:color="455986"/>
            </w:tcBorders>
          </w:tcPr>
          <w:p>
            <w:pPr>
              <w:spacing w:after="0"/>
              <w:rPr>
                <w:sz w:val="3"/>
                <w:szCs w:val="3"/>
                <w:color w:val="auto"/>
              </w:rPr>
            </w:pPr>
          </w:p>
        </w:tc>
        <w:tc>
          <w:tcPr>
            <w:tcW w:w="780" w:type="dxa"/>
            <w:vAlign w:val="bottom"/>
            <w:tcBorders>
              <w:bottom w:val="single" w:sz="8" w:color="455986"/>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137" w:lineRule="exact"/>
        <w:rPr>
          <w:sz w:val="20"/>
          <w:szCs w:val="20"/>
          <w:color w:val="auto"/>
        </w:rPr>
      </w:pPr>
    </w:p>
    <w:p>
      <w:pPr>
        <w:spacing w:after="0"/>
        <w:rPr>
          <w:sz w:val="20"/>
          <w:szCs w:val="20"/>
          <w:color w:val="auto"/>
        </w:rPr>
      </w:pPr>
      <w:r>
        <w:rPr>
          <w:rFonts w:ascii="Arial" w:cs="Arial" w:eastAsia="Arial" w:hAnsi="Arial"/>
          <w:sz w:val="13"/>
          <w:szCs w:val="13"/>
          <w:color w:val="231F20"/>
        </w:rPr>
        <w:t>* See Appendix B for a reconciliation of non-GAAP financial measures to GAAP financial measures.</w:t>
      </w:r>
    </w:p>
    <w:p>
      <w:pPr>
        <w:spacing w:after="0" w:line="136" w:lineRule="exact"/>
        <w:rPr>
          <w:sz w:val="20"/>
          <w:szCs w:val="20"/>
          <w:color w:val="auto"/>
        </w:rPr>
      </w:pPr>
    </w:p>
    <w:p>
      <w:pPr>
        <w:spacing w:after="0"/>
        <w:rPr>
          <w:sz w:val="20"/>
          <w:szCs w:val="20"/>
          <w:color w:val="auto"/>
        </w:rPr>
      </w:pPr>
      <w:r>
        <w:rPr>
          <w:rFonts w:ascii="Arial" w:cs="Arial" w:eastAsia="Arial" w:hAnsi="Arial"/>
          <w:sz w:val="17"/>
          <w:szCs w:val="17"/>
          <w:b w:val="1"/>
          <w:bCs w:val="1"/>
          <w:color w:val="4395D4"/>
        </w:rPr>
        <w:t>2020 Performance</w:t>
      </w:r>
    </w:p>
    <w:p>
      <w:pPr>
        <w:spacing w:after="0" w:line="153" w:lineRule="exact"/>
        <w:rPr>
          <w:sz w:val="20"/>
          <w:szCs w:val="20"/>
          <w:color w:val="auto"/>
        </w:rPr>
      </w:pPr>
    </w:p>
    <w:p>
      <w:pPr>
        <w:ind w:right="40"/>
        <w:spacing w:after="0" w:line="245" w:lineRule="auto"/>
        <w:rPr>
          <w:sz w:val="20"/>
          <w:szCs w:val="20"/>
          <w:color w:val="auto"/>
        </w:rPr>
      </w:pPr>
      <w:r>
        <w:rPr>
          <w:rFonts w:ascii="Arial" w:cs="Arial" w:eastAsia="Arial" w:hAnsi="Arial"/>
          <w:sz w:val="14"/>
          <w:szCs w:val="14"/>
          <w:color w:val="231F20"/>
        </w:rPr>
        <w:t>Based on the factors described above, the following table shows the 2020 performance of the Company compared to the targets set in the Annual Plan. The Compensation Committee evaluated the actual attainment of each performance goal, with particular emphasis on the above-target achievement of all goals and determined that the aggregate achievement of the corporate goals was 137.10%. Based on this determination, the table below shows the target annual cash incentive awards and the actual annual cash incentive awards, based on both corporate and individual goals, approved by the Compensation Committee for 2020 for the named executive officers.</w:t>
      </w:r>
    </w:p>
    <w:p>
      <w:pPr>
        <w:spacing w:after="0" w:line="111" w:lineRule="exact"/>
        <w:rPr>
          <w:sz w:val="20"/>
          <w:szCs w:val="20"/>
          <w:color w:val="auto"/>
        </w:rPr>
      </w:pPr>
    </w:p>
    <w:p>
      <w:pPr>
        <w:spacing w:after="0"/>
        <w:rPr>
          <w:sz w:val="20"/>
          <w:szCs w:val="20"/>
          <w:color w:val="auto"/>
        </w:rPr>
      </w:pPr>
      <w:r>
        <w:rPr>
          <w:rFonts w:ascii="Arial" w:cs="Arial" w:eastAsia="Arial" w:hAnsi="Arial"/>
          <w:sz w:val="15"/>
          <w:szCs w:val="15"/>
          <w:b w:val="1"/>
          <w:bCs w:val="1"/>
          <w:color w:val="231F20"/>
        </w:rPr>
        <w:t>2020 Company Performance Metric Scorecard</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2140" w:type="dxa"/>
            <w:vAlign w:val="bottom"/>
            <w:vMerge w:val="restart"/>
          </w:tcPr>
          <w:p>
            <w:pPr>
              <w:spacing w:after="0"/>
              <w:rPr>
                <w:sz w:val="20"/>
                <w:szCs w:val="20"/>
                <w:color w:val="auto"/>
              </w:rPr>
            </w:pPr>
            <w:r>
              <w:rPr>
                <w:rFonts w:ascii="Arial" w:cs="Arial" w:eastAsia="Arial" w:hAnsi="Arial"/>
                <w:sz w:val="12"/>
                <w:szCs w:val="12"/>
                <w:color w:val="455986"/>
              </w:rPr>
              <w:t>Metric</w:t>
            </w:r>
          </w:p>
        </w:tc>
        <w:tc>
          <w:tcPr>
            <w:tcW w:w="3000" w:type="dxa"/>
            <w:vAlign w:val="bottom"/>
            <w:vMerge w:val="restart"/>
          </w:tcPr>
          <w:p>
            <w:pPr>
              <w:spacing w:after="0"/>
              <w:rPr>
                <w:sz w:val="20"/>
                <w:szCs w:val="20"/>
                <w:color w:val="auto"/>
              </w:rPr>
            </w:pPr>
            <w:r>
              <w:rPr>
                <w:rFonts w:ascii="Arial" w:cs="Arial" w:eastAsia="Arial" w:hAnsi="Arial"/>
                <w:sz w:val="12"/>
                <w:szCs w:val="12"/>
                <w:color w:val="455986"/>
              </w:rPr>
              <w:t>Metric Component</w:t>
            </w:r>
          </w:p>
        </w:tc>
        <w:tc>
          <w:tcPr>
            <w:tcW w:w="1020" w:type="dxa"/>
            <w:vAlign w:val="bottom"/>
          </w:tcPr>
          <w:p>
            <w:pPr>
              <w:jc w:val="right"/>
              <w:ind w:right="113"/>
              <w:spacing w:after="0"/>
              <w:rPr>
                <w:sz w:val="20"/>
                <w:szCs w:val="20"/>
                <w:color w:val="auto"/>
              </w:rPr>
            </w:pPr>
            <w:r>
              <w:rPr>
                <w:rFonts w:ascii="Arial" w:cs="Arial" w:eastAsia="Arial" w:hAnsi="Arial"/>
                <w:sz w:val="12"/>
                <w:szCs w:val="12"/>
                <w:color w:val="455986"/>
              </w:rPr>
              <w:t>50%</w:t>
            </w:r>
          </w:p>
        </w:tc>
        <w:tc>
          <w:tcPr>
            <w:tcW w:w="900" w:type="dxa"/>
            <w:vAlign w:val="bottom"/>
          </w:tcPr>
          <w:p>
            <w:pPr>
              <w:jc w:val="right"/>
              <w:ind w:right="113"/>
              <w:spacing w:after="0"/>
              <w:rPr>
                <w:sz w:val="20"/>
                <w:szCs w:val="20"/>
                <w:color w:val="auto"/>
              </w:rPr>
            </w:pPr>
            <w:r>
              <w:rPr>
                <w:rFonts w:ascii="Arial" w:cs="Arial" w:eastAsia="Arial" w:hAnsi="Arial"/>
                <w:sz w:val="12"/>
                <w:szCs w:val="12"/>
                <w:color w:val="455986"/>
              </w:rPr>
              <w:t>100%</w:t>
            </w:r>
          </w:p>
        </w:tc>
        <w:tc>
          <w:tcPr>
            <w:tcW w:w="900" w:type="dxa"/>
            <w:vAlign w:val="bottom"/>
          </w:tcPr>
          <w:p>
            <w:pPr>
              <w:jc w:val="right"/>
              <w:ind w:right="113"/>
              <w:spacing w:after="0"/>
              <w:rPr>
                <w:sz w:val="20"/>
                <w:szCs w:val="20"/>
                <w:color w:val="auto"/>
              </w:rPr>
            </w:pPr>
            <w:r>
              <w:rPr>
                <w:rFonts w:ascii="Arial" w:cs="Arial" w:eastAsia="Arial" w:hAnsi="Arial"/>
                <w:sz w:val="12"/>
                <w:szCs w:val="12"/>
                <w:color w:val="455986"/>
              </w:rPr>
              <w:t>150%</w:t>
            </w:r>
          </w:p>
        </w:tc>
        <w:tc>
          <w:tcPr>
            <w:tcW w:w="880" w:type="dxa"/>
            <w:vAlign w:val="bottom"/>
            <w:vMerge w:val="restart"/>
          </w:tcPr>
          <w:p>
            <w:pPr>
              <w:jc w:val="right"/>
              <w:ind w:right="93"/>
              <w:spacing w:after="0"/>
              <w:rPr>
                <w:sz w:val="20"/>
                <w:szCs w:val="20"/>
                <w:color w:val="auto"/>
              </w:rPr>
            </w:pPr>
            <w:r>
              <w:rPr>
                <w:rFonts w:ascii="Arial" w:cs="Arial" w:eastAsia="Arial" w:hAnsi="Arial"/>
                <w:sz w:val="12"/>
                <w:szCs w:val="12"/>
                <w:color w:val="455986"/>
              </w:rPr>
              <w:t>Actuals</w:t>
            </w:r>
          </w:p>
        </w:tc>
        <w:tc>
          <w:tcPr>
            <w:tcW w:w="940" w:type="dxa"/>
            <w:vAlign w:val="bottom"/>
          </w:tcPr>
          <w:p>
            <w:pPr>
              <w:jc w:val="right"/>
              <w:ind w:right="133"/>
              <w:spacing w:after="0"/>
              <w:rPr>
                <w:sz w:val="20"/>
                <w:szCs w:val="20"/>
                <w:color w:val="auto"/>
              </w:rPr>
            </w:pPr>
            <w:r>
              <w:rPr>
                <w:rFonts w:ascii="Arial" w:cs="Arial" w:eastAsia="Arial" w:hAnsi="Arial"/>
                <w:sz w:val="12"/>
                <w:szCs w:val="12"/>
                <w:color w:val="455986"/>
              </w:rPr>
              <w:t>Total</w:t>
            </w:r>
          </w:p>
        </w:tc>
        <w:tc>
          <w:tcPr>
            <w:tcW w:w="640" w:type="dxa"/>
            <w:vAlign w:val="bottom"/>
            <w:vMerge w:val="restart"/>
          </w:tcPr>
          <w:p>
            <w:pPr>
              <w:jc w:val="right"/>
              <w:spacing w:after="0"/>
              <w:rPr>
                <w:sz w:val="20"/>
                <w:szCs w:val="20"/>
                <w:color w:val="auto"/>
              </w:rPr>
            </w:pPr>
            <w:r>
              <w:rPr>
                <w:rFonts w:ascii="Arial" w:cs="Arial" w:eastAsia="Arial" w:hAnsi="Arial"/>
                <w:sz w:val="12"/>
                <w:szCs w:val="12"/>
                <w:color w:val="455986"/>
              </w:rPr>
              <w:t>Weight</w:t>
            </w:r>
          </w:p>
        </w:tc>
        <w:tc>
          <w:tcPr>
            <w:tcW w:w="820" w:type="dxa"/>
            <w:vAlign w:val="bottom"/>
            <w:vMerge w:val="restart"/>
          </w:tcPr>
          <w:p>
            <w:pPr>
              <w:jc w:val="right"/>
              <w:spacing w:after="0"/>
              <w:rPr>
                <w:sz w:val="20"/>
                <w:szCs w:val="20"/>
                <w:color w:val="auto"/>
              </w:rPr>
            </w:pPr>
            <w:r>
              <w:rPr>
                <w:rFonts w:ascii="Arial" w:cs="Arial" w:eastAsia="Arial" w:hAnsi="Arial"/>
                <w:sz w:val="12"/>
                <w:szCs w:val="12"/>
                <w:b w:val="1"/>
                <w:bCs w:val="1"/>
                <w:color w:val="4395D4"/>
              </w:rPr>
              <w:t>Achievement</w:t>
            </w:r>
          </w:p>
        </w:tc>
        <w:tc>
          <w:tcPr>
            <w:tcW w:w="0" w:type="dxa"/>
            <w:vAlign w:val="bottom"/>
          </w:tcPr>
          <w:p>
            <w:pPr>
              <w:spacing w:after="0"/>
              <w:rPr>
                <w:sz w:val="1"/>
                <w:szCs w:val="1"/>
                <w:color w:val="auto"/>
              </w:rPr>
            </w:pPr>
          </w:p>
        </w:tc>
      </w:tr>
      <w:tr>
        <w:trPr>
          <w:trHeight w:val="169"/>
        </w:trPr>
        <w:tc>
          <w:tcPr>
            <w:tcW w:w="2140" w:type="dxa"/>
            <w:vAlign w:val="bottom"/>
            <w:tcBorders>
              <w:bottom w:val="single" w:sz="8" w:color="4395D4"/>
            </w:tcBorders>
            <w:vMerge w:val="continue"/>
          </w:tcPr>
          <w:p>
            <w:pPr>
              <w:spacing w:after="0"/>
              <w:rPr>
                <w:sz w:val="14"/>
                <w:szCs w:val="14"/>
                <w:color w:val="auto"/>
              </w:rPr>
            </w:pPr>
          </w:p>
        </w:tc>
        <w:tc>
          <w:tcPr>
            <w:tcW w:w="3000" w:type="dxa"/>
            <w:vAlign w:val="bottom"/>
            <w:tcBorders>
              <w:bottom w:val="single" w:sz="8" w:color="4395D4"/>
            </w:tcBorders>
            <w:vMerge w:val="continue"/>
          </w:tcPr>
          <w:p>
            <w:pPr>
              <w:spacing w:after="0"/>
              <w:rPr>
                <w:sz w:val="14"/>
                <w:szCs w:val="14"/>
                <w:color w:val="auto"/>
              </w:rPr>
            </w:pPr>
          </w:p>
        </w:tc>
        <w:tc>
          <w:tcPr>
            <w:tcW w:w="1020" w:type="dxa"/>
            <w:vAlign w:val="bottom"/>
            <w:tcBorders>
              <w:bottom w:val="single" w:sz="8" w:color="4395D4"/>
            </w:tcBorders>
          </w:tcPr>
          <w:p>
            <w:pPr>
              <w:jc w:val="right"/>
              <w:ind w:right="113"/>
              <w:spacing w:after="0"/>
              <w:rPr>
                <w:sz w:val="20"/>
                <w:szCs w:val="20"/>
                <w:color w:val="auto"/>
              </w:rPr>
            </w:pPr>
            <w:r>
              <w:rPr>
                <w:rFonts w:ascii="Arial" w:cs="Arial" w:eastAsia="Arial" w:hAnsi="Arial"/>
                <w:sz w:val="12"/>
                <w:szCs w:val="12"/>
                <w:color w:val="455986"/>
              </w:rPr>
              <w:t>Threshold</w:t>
            </w:r>
          </w:p>
        </w:tc>
        <w:tc>
          <w:tcPr>
            <w:tcW w:w="900" w:type="dxa"/>
            <w:vAlign w:val="bottom"/>
            <w:tcBorders>
              <w:bottom w:val="single" w:sz="8" w:color="4395D4"/>
            </w:tcBorders>
          </w:tcPr>
          <w:p>
            <w:pPr>
              <w:jc w:val="right"/>
              <w:ind w:right="113"/>
              <w:spacing w:after="0"/>
              <w:rPr>
                <w:sz w:val="20"/>
                <w:szCs w:val="20"/>
                <w:color w:val="auto"/>
              </w:rPr>
            </w:pPr>
            <w:r>
              <w:rPr>
                <w:rFonts w:ascii="Arial" w:cs="Arial" w:eastAsia="Arial" w:hAnsi="Arial"/>
                <w:sz w:val="12"/>
                <w:szCs w:val="12"/>
                <w:color w:val="455986"/>
              </w:rPr>
              <w:t>Target</w:t>
            </w:r>
          </w:p>
        </w:tc>
        <w:tc>
          <w:tcPr>
            <w:tcW w:w="900" w:type="dxa"/>
            <w:vAlign w:val="bottom"/>
            <w:tcBorders>
              <w:bottom w:val="single" w:sz="8" w:color="4395D4"/>
            </w:tcBorders>
          </w:tcPr>
          <w:p>
            <w:pPr>
              <w:jc w:val="right"/>
              <w:ind w:right="113"/>
              <w:spacing w:after="0"/>
              <w:rPr>
                <w:sz w:val="20"/>
                <w:szCs w:val="20"/>
                <w:color w:val="auto"/>
              </w:rPr>
            </w:pPr>
            <w:r>
              <w:rPr>
                <w:rFonts w:ascii="Arial" w:cs="Arial" w:eastAsia="Arial" w:hAnsi="Arial"/>
                <w:sz w:val="12"/>
                <w:szCs w:val="12"/>
                <w:color w:val="455986"/>
              </w:rPr>
              <w:t>Maximum</w:t>
            </w:r>
          </w:p>
        </w:tc>
        <w:tc>
          <w:tcPr>
            <w:tcW w:w="880" w:type="dxa"/>
            <w:vAlign w:val="bottom"/>
            <w:tcBorders>
              <w:bottom w:val="single" w:sz="8" w:color="4395D4"/>
            </w:tcBorders>
            <w:vMerge w:val="continue"/>
          </w:tcPr>
          <w:p>
            <w:pPr>
              <w:spacing w:after="0"/>
              <w:rPr>
                <w:sz w:val="14"/>
                <w:szCs w:val="14"/>
                <w:color w:val="auto"/>
              </w:rPr>
            </w:pPr>
          </w:p>
        </w:tc>
        <w:tc>
          <w:tcPr>
            <w:tcW w:w="940" w:type="dxa"/>
            <w:vAlign w:val="bottom"/>
            <w:tcBorders>
              <w:bottom w:val="single" w:sz="8" w:color="4395D4"/>
            </w:tcBorders>
          </w:tcPr>
          <w:p>
            <w:pPr>
              <w:jc w:val="right"/>
              <w:ind w:right="133"/>
              <w:spacing w:after="0"/>
              <w:rPr>
                <w:sz w:val="20"/>
                <w:szCs w:val="20"/>
                <w:color w:val="auto"/>
              </w:rPr>
            </w:pPr>
            <w:r>
              <w:rPr>
                <w:rFonts w:ascii="Arial" w:cs="Arial" w:eastAsia="Arial" w:hAnsi="Arial"/>
                <w:sz w:val="12"/>
                <w:szCs w:val="12"/>
                <w:color w:val="455986"/>
              </w:rPr>
              <w:t>Attainment</w:t>
            </w:r>
          </w:p>
        </w:tc>
        <w:tc>
          <w:tcPr>
            <w:tcW w:w="640" w:type="dxa"/>
            <w:vAlign w:val="bottom"/>
            <w:tcBorders>
              <w:bottom w:val="single" w:sz="8" w:color="4395D4"/>
            </w:tcBorders>
            <w:vMerge w:val="continue"/>
          </w:tcPr>
          <w:p>
            <w:pPr>
              <w:spacing w:after="0"/>
              <w:rPr>
                <w:sz w:val="14"/>
                <w:szCs w:val="14"/>
                <w:color w:val="auto"/>
              </w:rPr>
            </w:pPr>
          </w:p>
        </w:tc>
        <w:tc>
          <w:tcPr>
            <w:tcW w:w="820" w:type="dxa"/>
            <w:vAlign w:val="bottom"/>
            <w:tcBorders>
              <w:bottom w:val="single" w:sz="8" w:color="4395D4"/>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0"/>
        </w:trPr>
        <w:tc>
          <w:tcPr>
            <w:tcW w:w="2140" w:type="dxa"/>
            <w:vAlign w:val="bottom"/>
          </w:tcPr>
          <w:p>
            <w:pPr>
              <w:spacing w:after="0"/>
              <w:rPr>
                <w:sz w:val="20"/>
                <w:szCs w:val="20"/>
                <w:color w:val="auto"/>
              </w:rPr>
            </w:pPr>
            <w:r>
              <w:rPr>
                <w:rFonts w:ascii="Arial" w:cs="Arial" w:eastAsia="Arial" w:hAnsi="Arial"/>
                <w:sz w:val="14"/>
                <w:szCs w:val="14"/>
                <w:b w:val="1"/>
                <w:bCs w:val="1"/>
                <w:color w:val="455986"/>
              </w:rPr>
              <w:t>Financial</w:t>
            </w:r>
          </w:p>
        </w:tc>
        <w:tc>
          <w:tcPr>
            <w:tcW w:w="3000" w:type="dxa"/>
            <w:vAlign w:val="bottom"/>
            <w:tcBorders>
              <w:bottom w:val="single" w:sz="8" w:color="231F20"/>
            </w:tcBorders>
          </w:tcPr>
          <w:p>
            <w:pPr>
              <w:spacing w:after="0"/>
              <w:rPr>
                <w:sz w:val="20"/>
                <w:szCs w:val="20"/>
                <w:color w:val="auto"/>
              </w:rPr>
            </w:pPr>
            <w:r>
              <w:rPr>
                <w:rFonts w:ascii="Arial" w:cs="Arial" w:eastAsia="Arial" w:hAnsi="Arial"/>
                <w:sz w:val="14"/>
                <w:szCs w:val="14"/>
                <w:color w:val="231F20"/>
              </w:rPr>
              <w:t>Essential Earnings Per Share</w:t>
            </w:r>
          </w:p>
        </w:tc>
        <w:tc>
          <w:tcPr>
            <w:tcW w:w="1020" w:type="dxa"/>
            <w:vAlign w:val="bottom"/>
            <w:tcBorders>
              <w:bottom w:val="single" w:sz="8" w:color="231F20"/>
            </w:tcBorders>
          </w:tcPr>
          <w:p>
            <w:pPr>
              <w:jc w:val="right"/>
              <w:ind w:right="113"/>
              <w:spacing w:after="0"/>
              <w:rPr>
                <w:sz w:val="20"/>
                <w:szCs w:val="20"/>
                <w:color w:val="auto"/>
              </w:rPr>
            </w:pPr>
            <w:r>
              <w:rPr>
                <w:rFonts w:ascii="Arial" w:cs="Arial" w:eastAsia="Arial" w:hAnsi="Arial"/>
                <w:sz w:val="14"/>
                <w:szCs w:val="14"/>
                <w:color w:val="231F20"/>
              </w:rPr>
              <w:t>$1.50</w:t>
            </w:r>
          </w:p>
        </w:tc>
        <w:tc>
          <w:tcPr>
            <w:tcW w:w="900" w:type="dxa"/>
            <w:vAlign w:val="bottom"/>
            <w:tcBorders>
              <w:bottom w:val="single" w:sz="8" w:color="231F20"/>
            </w:tcBorders>
          </w:tcPr>
          <w:p>
            <w:pPr>
              <w:jc w:val="right"/>
              <w:ind w:right="113"/>
              <w:spacing w:after="0"/>
              <w:rPr>
                <w:sz w:val="20"/>
                <w:szCs w:val="20"/>
                <w:color w:val="auto"/>
              </w:rPr>
            </w:pPr>
            <w:r>
              <w:rPr>
                <w:rFonts w:ascii="Arial" w:cs="Arial" w:eastAsia="Arial" w:hAnsi="Arial"/>
                <w:sz w:val="14"/>
                <w:szCs w:val="14"/>
                <w:color w:val="231F20"/>
              </w:rPr>
              <w:t>$1.55</w:t>
            </w:r>
          </w:p>
        </w:tc>
        <w:tc>
          <w:tcPr>
            <w:tcW w:w="900" w:type="dxa"/>
            <w:vAlign w:val="bottom"/>
            <w:tcBorders>
              <w:bottom w:val="single" w:sz="8" w:color="231F20"/>
            </w:tcBorders>
          </w:tcPr>
          <w:p>
            <w:pPr>
              <w:jc w:val="right"/>
              <w:ind w:right="113"/>
              <w:spacing w:after="0"/>
              <w:rPr>
                <w:sz w:val="20"/>
                <w:szCs w:val="20"/>
                <w:color w:val="auto"/>
              </w:rPr>
            </w:pPr>
            <w:r>
              <w:rPr>
                <w:rFonts w:ascii="Arial" w:cs="Arial" w:eastAsia="Arial" w:hAnsi="Arial"/>
                <w:sz w:val="14"/>
                <w:szCs w:val="14"/>
                <w:color w:val="231F20"/>
              </w:rPr>
              <w:t>$1.60</w:t>
            </w:r>
          </w:p>
        </w:tc>
        <w:tc>
          <w:tcPr>
            <w:tcW w:w="880" w:type="dxa"/>
            <w:vAlign w:val="bottom"/>
            <w:tcBorders>
              <w:bottom w:val="single" w:sz="8" w:color="231F20"/>
            </w:tcBorders>
          </w:tcPr>
          <w:p>
            <w:pPr>
              <w:jc w:val="right"/>
              <w:ind w:right="93"/>
              <w:spacing w:after="0"/>
              <w:rPr>
                <w:sz w:val="20"/>
                <w:szCs w:val="20"/>
                <w:color w:val="auto"/>
              </w:rPr>
            </w:pPr>
            <w:r>
              <w:rPr>
                <w:rFonts w:ascii="Arial" w:cs="Arial" w:eastAsia="Arial" w:hAnsi="Arial"/>
                <w:sz w:val="14"/>
                <w:szCs w:val="14"/>
                <w:color w:val="231F20"/>
              </w:rPr>
              <w:t>$1.67</w:t>
            </w:r>
          </w:p>
        </w:tc>
        <w:tc>
          <w:tcPr>
            <w:tcW w:w="940" w:type="dxa"/>
            <w:vAlign w:val="bottom"/>
            <w:tcBorders>
              <w:bottom w:val="single" w:sz="8" w:color="231F20"/>
            </w:tcBorders>
          </w:tcPr>
          <w:p>
            <w:pPr>
              <w:jc w:val="right"/>
              <w:ind w:right="133"/>
              <w:spacing w:after="0"/>
              <w:rPr>
                <w:sz w:val="20"/>
                <w:szCs w:val="20"/>
                <w:color w:val="auto"/>
              </w:rPr>
            </w:pPr>
            <w:r>
              <w:rPr>
                <w:rFonts w:ascii="Arial" w:cs="Arial" w:eastAsia="Arial" w:hAnsi="Arial"/>
                <w:sz w:val="14"/>
                <w:szCs w:val="14"/>
                <w:color w:val="231F20"/>
              </w:rPr>
              <w:t>150.00%</w:t>
            </w:r>
          </w:p>
        </w:tc>
        <w:tc>
          <w:tcPr>
            <w:tcW w:w="640" w:type="dxa"/>
            <w:vAlign w:val="bottom"/>
            <w:tcBorders>
              <w:bottom w:val="single" w:sz="8" w:color="231F20"/>
            </w:tcBorders>
          </w:tcPr>
          <w:p>
            <w:pPr>
              <w:jc w:val="right"/>
              <w:spacing w:after="0"/>
              <w:rPr>
                <w:sz w:val="20"/>
                <w:szCs w:val="20"/>
                <w:color w:val="auto"/>
              </w:rPr>
            </w:pPr>
            <w:r>
              <w:rPr>
                <w:rFonts w:ascii="Arial" w:cs="Arial" w:eastAsia="Arial" w:hAnsi="Arial"/>
                <w:sz w:val="14"/>
                <w:szCs w:val="14"/>
                <w:color w:val="231F20"/>
              </w:rPr>
              <w:t>35.0%</w:t>
            </w:r>
          </w:p>
        </w:tc>
        <w:tc>
          <w:tcPr>
            <w:tcW w:w="820" w:type="dxa"/>
            <w:vAlign w:val="bottom"/>
            <w:tcBorders>
              <w:bottom w:val="single" w:sz="8" w:color="231F20"/>
            </w:tcBorders>
          </w:tcPr>
          <w:p>
            <w:pPr>
              <w:jc w:val="right"/>
              <w:spacing w:after="0"/>
              <w:rPr>
                <w:sz w:val="20"/>
                <w:szCs w:val="20"/>
                <w:color w:val="auto"/>
              </w:rPr>
            </w:pPr>
            <w:r>
              <w:rPr>
                <w:rFonts w:ascii="Arial" w:cs="Arial" w:eastAsia="Arial" w:hAnsi="Arial"/>
                <w:sz w:val="14"/>
                <w:szCs w:val="14"/>
                <w:b w:val="1"/>
                <w:bCs w:val="1"/>
                <w:color w:val="4395D4"/>
              </w:rPr>
              <w:t>52.50%</w:t>
            </w:r>
          </w:p>
        </w:tc>
        <w:tc>
          <w:tcPr>
            <w:tcW w:w="0" w:type="dxa"/>
            <w:vAlign w:val="bottom"/>
          </w:tcPr>
          <w:p>
            <w:pPr>
              <w:spacing w:after="0"/>
              <w:rPr>
                <w:sz w:val="1"/>
                <w:szCs w:val="1"/>
                <w:color w:val="auto"/>
              </w:rPr>
            </w:pPr>
          </w:p>
        </w:tc>
      </w:tr>
      <w:tr>
        <w:trPr>
          <w:trHeight w:val="197"/>
        </w:trPr>
        <w:tc>
          <w:tcPr>
            <w:tcW w:w="2140" w:type="dxa"/>
            <w:vAlign w:val="bottom"/>
            <w:tcBorders>
              <w:bottom w:val="single" w:sz="8" w:color="231F20"/>
            </w:tcBorders>
          </w:tcPr>
          <w:p>
            <w:pPr>
              <w:spacing w:after="0"/>
              <w:rPr>
                <w:sz w:val="17"/>
                <w:szCs w:val="17"/>
                <w:color w:val="auto"/>
              </w:rPr>
            </w:pPr>
          </w:p>
        </w:tc>
        <w:tc>
          <w:tcPr>
            <w:tcW w:w="3000" w:type="dxa"/>
            <w:vAlign w:val="bottom"/>
            <w:tcBorders>
              <w:bottom w:val="single" w:sz="8" w:color="231F20"/>
            </w:tcBorders>
          </w:tcPr>
          <w:p>
            <w:pPr>
              <w:spacing w:after="0"/>
              <w:rPr>
                <w:sz w:val="20"/>
                <w:szCs w:val="20"/>
                <w:color w:val="auto"/>
              </w:rPr>
            </w:pPr>
            <w:r>
              <w:rPr>
                <w:rFonts w:ascii="Arial" w:cs="Arial" w:eastAsia="Arial" w:hAnsi="Arial"/>
                <w:sz w:val="14"/>
                <w:szCs w:val="14"/>
                <w:color w:val="231F20"/>
              </w:rPr>
              <w:t>Essential Return on Equity</w:t>
            </w:r>
          </w:p>
        </w:tc>
        <w:tc>
          <w:tcPr>
            <w:tcW w:w="1020" w:type="dxa"/>
            <w:vAlign w:val="bottom"/>
            <w:tcBorders>
              <w:bottom w:val="single" w:sz="8" w:color="231F20"/>
            </w:tcBorders>
          </w:tcPr>
          <w:p>
            <w:pPr>
              <w:jc w:val="right"/>
              <w:ind w:right="113"/>
              <w:spacing w:after="0"/>
              <w:rPr>
                <w:sz w:val="20"/>
                <w:szCs w:val="20"/>
                <w:color w:val="auto"/>
              </w:rPr>
            </w:pPr>
            <w:r>
              <w:rPr>
                <w:rFonts w:ascii="Arial" w:cs="Arial" w:eastAsia="Arial" w:hAnsi="Arial"/>
                <w:sz w:val="14"/>
                <w:szCs w:val="14"/>
                <w:color w:val="231F20"/>
              </w:rPr>
              <w:t>–3.75%</w:t>
            </w:r>
          </w:p>
        </w:tc>
        <w:tc>
          <w:tcPr>
            <w:tcW w:w="900" w:type="dxa"/>
            <w:vAlign w:val="bottom"/>
            <w:tcBorders>
              <w:bottom w:val="single" w:sz="8" w:color="231F20"/>
            </w:tcBorders>
          </w:tcPr>
          <w:p>
            <w:pPr>
              <w:jc w:val="right"/>
              <w:ind w:right="113"/>
              <w:spacing w:after="0"/>
              <w:rPr>
                <w:sz w:val="20"/>
                <w:szCs w:val="20"/>
                <w:color w:val="auto"/>
              </w:rPr>
            </w:pPr>
            <w:r>
              <w:rPr>
                <w:rFonts w:ascii="Arial" w:cs="Arial" w:eastAsia="Arial" w:hAnsi="Arial"/>
                <w:sz w:val="14"/>
                <w:szCs w:val="14"/>
                <w:color w:val="231F20"/>
              </w:rPr>
              <w:t>0.00%</w:t>
            </w:r>
          </w:p>
        </w:tc>
        <w:tc>
          <w:tcPr>
            <w:tcW w:w="900" w:type="dxa"/>
            <w:vAlign w:val="bottom"/>
            <w:tcBorders>
              <w:bottom w:val="single" w:sz="8" w:color="231F20"/>
            </w:tcBorders>
          </w:tcPr>
          <w:p>
            <w:pPr>
              <w:jc w:val="right"/>
              <w:ind w:right="113"/>
              <w:spacing w:after="0"/>
              <w:rPr>
                <w:sz w:val="20"/>
                <w:szCs w:val="20"/>
                <w:color w:val="auto"/>
              </w:rPr>
            </w:pPr>
            <w:r>
              <w:rPr>
                <w:rFonts w:ascii="Arial" w:cs="Arial" w:eastAsia="Arial" w:hAnsi="Arial"/>
                <w:sz w:val="14"/>
                <w:szCs w:val="14"/>
                <w:color w:val="231F20"/>
              </w:rPr>
              <w:t>3.75%</w:t>
            </w:r>
          </w:p>
        </w:tc>
        <w:tc>
          <w:tcPr>
            <w:tcW w:w="880" w:type="dxa"/>
            <w:vAlign w:val="bottom"/>
            <w:tcBorders>
              <w:bottom w:val="single" w:sz="8" w:color="231F20"/>
            </w:tcBorders>
          </w:tcPr>
          <w:p>
            <w:pPr>
              <w:jc w:val="right"/>
              <w:ind w:right="93"/>
              <w:spacing w:after="0"/>
              <w:rPr>
                <w:sz w:val="20"/>
                <w:szCs w:val="20"/>
                <w:color w:val="auto"/>
              </w:rPr>
            </w:pPr>
            <w:r>
              <w:rPr>
                <w:rFonts w:ascii="Arial" w:cs="Arial" w:eastAsia="Arial" w:hAnsi="Arial"/>
                <w:sz w:val="14"/>
                <w:szCs w:val="14"/>
                <w:color w:val="231F20"/>
              </w:rPr>
              <w:t>1.02%</w:t>
            </w:r>
          </w:p>
        </w:tc>
        <w:tc>
          <w:tcPr>
            <w:tcW w:w="940" w:type="dxa"/>
            <w:vAlign w:val="bottom"/>
            <w:tcBorders>
              <w:bottom w:val="single" w:sz="8" w:color="231F20"/>
            </w:tcBorders>
          </w:tcPr>
          <w:p>
            <w:pPr>
              <w:jc w:val="right"/>
              <w:ind w:right="133"/>
              <w:spacing w:after="0"/>
              <w:rPr>
                <w:sz w:val="20"/>
                <w:szCs w:val="20"/>
                <w:color w:val="auto"/>
              </w:rPr>
            </w:pPr>
            <w:r>
              <w:rPr>
                <w:rFonts w:ascii="Arial" w:cs="Arial" w:eastAsia="Arial" w:hAnsi="Arial"/>
                <w:sz w:val="14"/>
                <w:szCs w:val="14"/>
                <w:color w:val="231F20"/>
              </w:rPr>
              <w:t>113.60%</w:t>
            </w:r>
          </w:p>
        </w:tc>
        <w:tc>
          <w:tcPr>
            <w:tcW w:w="640" w:type="dxa"/>
            <w:vAlign w:val="bottom"/>
            <w:tcBorders>
              <w:bottom w:val="single" w:sz="8" w:color="231F20"/>
            </w:tcBorders>
          </w:tcPr>
          <w:p>
            <w:pPr>
              <w:jc w:val="right"/>
              <w:spacing w:after="0"/>
              <w:rPr>
                <w:sz w:val="20"/>
                <w:szCs w:val="20"/>
                <w:color w:val="auto"/>
              </w:rPr>
            </w:pPr>
            <w:r>
              <w:rPr>
                <w:rFonts w:ascii="Arial" w:cs="Arial" w:eastAsia="Arial" w:hAnsi="Arial"/>
                <w:sz w:val="14"/>
                <w:szCs w:val="14"/>
                <w:color w:val="231F20"/>
              </w:rPr>
              <w:t>15.0%</w:t>
            </w:r>
          </w:p>
        </w:tc>
        <w:tc>
          <w:tcPr>
            <w:tcW w:w="820" w:type="dxa"/>
            <w:vAlign w:val="bottom"/>
            <w:tcBorders>
              <w:bottom w:val="single" w:sz="8" w:color="231F20"/>
            </w:tcBorders>
          </w:tcPr>
          <w:p>
            <w:pPr>
              <w:jc w:val="right"/>
              <w:spacing w:after="0"/>
              <w:rPr>
                <w:sz w:val="20"/>
                <w:szCs w:val="20"/>
                <w:color w:val="auto"/>
              </w:rPr>
            </w:pPr>
            <w:r>
              <w:rPr>
                <w:rFonts w:ascii="Arial" w:cs="Arial" w:eastAsia="Arial" w:hAnsi="Arial"/>
                <w:sz w:val="14"/>
                <w:szCs w:val="14"/>
                <w:b w:val="1"/>
                <w:bCs w:val="1"/>
                <w:color w:val="4395D4"/>
              </w:rPr>
              <w:t>17.04%</w:t>
            </w:r>
          </w:p>
        </w:tc>
        <w:tc>
          <w:tcPr>
            <w:tcW w:w="0" w:type="dxa"/>
            <w:vAlign w:val="bottom"/>
          </w:tcPr>
          <w:p>
            <w:pPr>
              <w:spacing w:after="0"/>
              <w:rPr>
                <w:sz w:val="1"/>
                <w:szCs w:val="1"/>
                <w:color w:val="auto"/>
              </w:rPr>
            </w:pPr>
          </w:p>
        </w:tc>
      </w:tr>
      <w:tr>
        <w:trPr>
          <w:trHeight w:val="197"/>
        </w:trPr>
        <w:tc>
          <w:tcPr>
            <w:tcW w:w="2140" w:type="dxa"/>
            <w:vAlign w:val="bottom"/>
          </w:tcPr>
          <w:p>
            <w:pPr>
              <w:spacing w:after="0"/>
              <w:rPr>
                <w:sz w:val="20"/>
                <w:szCs w:val="20"/>
                <w:color w:val="auto"/>
              </w:rPr>
            </w:pPr>
            <w:r>
              <w:rPr>
                <w:rFonts w:ascii="Arial" w:cs="Arial" w:eastAsia="Arial" w:hAnsi="Arial"/>
                <w:sz w:val="14"/>
                <w:szCs w:val="14"/>
                <w:b w:val="1"/>
                <w:bCs w:val="1"/>
                <w:color w:val="455986"/>
              </w:rPr>
              <w:t>Safety</w:t>
            </w:r>
          </w:p>
        </w:tc>
        <w:tc>
          <w:tcPr>
            <w:tcW w:w="3000" w:type="dxa"/>
            <w:vAlign w:val="bottom"/>
            <w:tcBorders>
              <w:bottom w:val="single" w:sz="8" w:color="231F20"/>
            </w:tcBorders>
          </w:tcPr>
          <w:p>
            <w:pPr>
              <w:spacing w:after="0"/>
              <w:rPr>
                <w:sz w:val="20"/>
                <w:szCs w:val="20"/>
                <w:color w:val="auto"/>
              </w:rPr>
            </w:pPr>
            <w:r>
              <w:rPr>
                <w:rFonts w:ascii="Arial" w:cs="Arial" w:eastAsia="Arial" w:hAnsi="Arial"/>
                <w:sz w:val="14"/>
                <w:szCs w:val="14"/>
                <w:color w:val="231F20"/>
              </w:rPr>
              <w:t>Essential Lost Time/Restricted Time</w:t>
            </w:r>
          </w:p>
        </w:tc>
        <w:tc>
          <w:tcPr>
            <w:tcW w:w="1020" w:type="dxa"/>
            <w:vAlign w:val="bottom"/>
            <w:tcBorders>
              <w:bottom w:val="single" w:sz="8" w:color="231F20"/>
            </w:tcBorders>
          </w:tcPr>
          <w:p>
            <w:pPr>
              <w:jc w:val="right"/>
              <w:ind w:right="113"/>
              <w:spacing w:after="0"/>
              <w:rPr>
                <w:sz w:val="20"/>
                <w:szCs w:val="20"/>
                <w:color w:val="auto"/>
              </w:rPr>
            </w:pPr>
            <w:r>
              <w:rPr>
                <w:rFonts w:ascii="Arial" w:cs="Arial" w:eastAsia="Arial" w:hAnsi="Arial"/>
                <w:sz w:val="14"/>
                <w:szCs w:val="14"/>
                <w:color w:val="231F20"/>
              </w:rPr>
              <w:t>2.5</w:t>
            </w:r>
          </w:p>
        </w:tc>
        <w:tc>
          <w:tcPr>
            <w:tcW w:w="900" w:type="dxa"/>
            <w:vAlign w:val="bottom"/>
            <w:tcBorders>
              <w:bottom w:val="single" w:sz="8" w:color="231F20"/>
            </w:tcBorders>
          </w:tcPr>
          <w:p>
            <w:pPr>
              <w:jc w:val="right"/>
              <w:ind w:right="113"/>
              <w:spacing w:after="0"/>
              <w:rPr>
                <w:sz w:val="20"/>
                <w:szCs w:val="20"/>
                <w:color w:val="auto"/>
              </w:rPr>
            </w:pPr>
            <w:r>
              <w:rPr>
                <w:rFonts w:ascii="Arial" w:cs="Arial" w:eastAsia="Arial" w:hAnsi="Arial"/>
                <w:sz w:val="14"/>
                <w:szCs w:val="14"/>
                <w:color w:val="231F20"/>
              </w:rPr>
              <w:t>2</w:t>
            </w:r>
          </w:p>
        </w:tc>
        <w:tc>
          <w:tcPr>
            <w:tcW w:w="900" w:type="dxa"/>
            <w:vAlign w:val="bottom"/>
            <w:tcBorders>
              <w:bottom w:val="single" w:sz="8" w:color="231F20"/>
            </w:tcBorders>
          </w:tcPr>
          <w:p>
            <w:pPr>
              <w:jc w:val="right"/>
              <w:ind w:right="113"/>
              <w:spacing w:after="0"/>
              <w:rPr>
                <w:sz w:val="20"/>
                <w:szCs w:val="20"/>
                <w:color w:val="auto"/>
              </w:rPr>
            </w:pPr>
            <w:r>
              <w:rPr>
                <w:rFonts w:ascii="Arial" w:cs="Arial" w:eastAsia="Arial" w:hAnsi="Arial"/>
                <w:sz w:val="14"/>
                <w:szCs w:val="14"/>
                <w:color w:val="231F20"/>
              </w:rPr>
              <w:t>1.6</w:t>
            </w:r>
          </w:p>
        </w:tc>
        <w:tc>
          <w:tcPr>
            <w:tcW w:w="880" w:type="dxa"/>
            <w:vAlign w:val="bottom"/>
            <w:tcBorders>
              <w:bottom w:val="single" w:sz="8" w:color="231F20"/>
            </w:tcBorders>
          </w:tcPr>
          <w:p>
            <w:pPr>
              <w:jc w:val="right"/>
              <w:ind w:right="93"/>
              <w:spacing w:after="0"/>
              <w:rPr>
                <w:sz w:val="20"/>
                <w:szCs w:val="20"/>
                <w:color w:val="auto"/>
              </w:rPr>
            </w:pPr>
            <w:r>
              <w:rPr>
                <w:rFonts w:ascii="Arial" w:cs="Arial" w:eastAsia="Arial" w:hAnsi="Arial"/>
                <w:sz w:val="14"/>
                <w:szCs w:val="14"/>
                <w:color w:val="231F20"/>
              </w:rPr>
              <w:t>1.2</w:t>
            </w:r>
          </w:p>
        </w:tc>
        <w:tc>
          <w:tcPr>
            <w:tcW w:w="940" w:type="dxa"/>
            <w:vAlign w:val="bottom"/>
            <w:tcBorders>
              <w:bottom w:val="single" w:sz="8" w:color="231F20"/>
            </w:tcBorders>
          </w:tcPr>
          <w:p>
            <w:pPr>
              <w:jc w:val="right"/>
              <w:ind w:right="133"/>
              <w:spacing w:after="0"/>
              <w:rPr>
                <w:sz w:val="20"/>
                <w:szCs w:val="20"/>
                <w:color w:val="auto"/>
              </w:rPr>
            </w:pPr>
            <w:r>
              <w:rPr>
                <w:rFonts w:ascii="Arial" w:cs="Arial" w:eastAsia="Arial" w:hAnsi="Arial"/>
                <w:sz w:val="14"/>
                <w:szCs w:val="14"/>
                <w:color w:val="231F20"/>
              </w:rPr>
              <w:t>150.00%</w:t>
            </w:r>
          </w:p>
        </w:tc>
        <w:tc>
          <w:tcPr>
            <w:tcW w:w="640" w:type="dxa"/>
            <w:vAlign w:val="bottom"/>
            <w:tcBorders>
              <w:bottom w:val="single" w:sz="8" w:color="231F20"/>
            </w:tcBorders>
          </w:tcPr>
          <w:p>
            <w:pPr>
              <w:jc w:val="right"/>
              <w:spacing w:after="0"/>
              <w:rPr>
                <w:sz w:val="20"/>
                <w:szCs w:val="20"/>
                <w:color w:val="auto"/>
              </w:rPr>
            </w:pPr>
            <w:r>
              <w:rPr>
                <w:rFonts w:ascii="Arial" w:cs="Arial" w:eastAsia="Arial" w:hAnsi="Arial"/>
                <w:sz w:val="14"/>
                <w:szCs w:val="14"/>
                <w:color w:val="231F20"/>
              </w:rPr>
              <w:t>5.0%</w:t>
            </w:r>
          </w:p>
        </w:tc>
        <w:tc>
          <w:tcPr>
            <w:tcW w:w="820" w:type="dxa"/>
            <w:vAlign w:val="bottom"/>
            <w:tcBorders>
              <w:bottom w:val="single" w:sz="8" w:color="231F20"/>
            </w:tcBorders>
          </w:tcPr>
          <w:p>
            <w:pPr>
              <w:jc w:val="right"/>
              <w:spacing w:after="0"/>
              <w:rPr>
                <w:sz w:val="20"/>
                <w:szCs w:val="20"/>
                <w:color w:val="auto"/>
              </w:rPr>
            </w:pPr>
            <w:r>
              <w:rPr>
                <w:rFonts w:ascii="Arial" w:cs="Arial" w:eastAsia="Arial" w:hAnsi="Arial"/>
                <w:sz w:val="14"/>
                <w:szCs w:val="14"/>
                <w:b w:val="1"/>
                <w:bCs w:val="1"/>
                <w:color w:val="4395D4"/>
              </w:rPr>
              <w:t>7.50%</w:t>
            </w:r>
          </w:p>
        </w:tc>
        <w:tc>
          <w:tcPr>
            <w:tcW w:w="0" w:type="dxa"/>
            <w:vAlign w:val="bottom"/>
          </w:tcPr>
          <w:p>
            <w:pPr>
              <w:spacing w:after="0"/>
              <w:rPr>
                <w:sz w:val="1"/>
                <w:szCs w:val="1"/>
                <w:color w:val="auto"/>
              </w:rPr>
            </w:pPr>
          </w:p>
        </w:tc>
      </w:tr>
      <w:tr>
        <w:trPr>
          <w:trHeight w:val="197"/>
        </w:trPr>
        <w:tc>
          <w:tcPr>
            <w:tcW w:w="2140" w:type="dxa"/>
            <w:vAlign w:val="bottom"/>
          </w:tcPr>
          <w:p>
            <w:pPr>
              <w:spacing w:after="0"/>
              <w:rPr>
                <w:sz w:val="17"/>
                <w:szCs w:val="17"/>
                <w:color w:val="auto"/>
              </w:rPr>
            </w:pPr>
          </w:p>
        </w:tc>
        <w:tc>
          <w:tcPr>
            <w:tcW w:w="3000" w:type="dxa"/>
            <w:vAlign w:val="bottom"/>
            <w:tcBorders>
              <w:bottom w:val="single" w:sz="8" w:color="231F20"/>
            </w:tcBorders>
          </w:tcPr>
          <w:p>
            <w:pPr>
              <w:spacing w:after="0"/>
              <w:rPr>
                <w:sz w:val="20"/>
                <w:szCs w:val="20"/>
                <w:color w:val="auto"/>
              </w:rPr>
            </w:pPr>
            <w:r>
              <w:rPr>
                <w:rFonts w:ascii="Arial" w:cs="Arial" w:eastAsia="Arial" w:hAnsi="Arial"/>
                <w:sz w:val="14"/>
                <w:szCs w:val="14"/>
                <w:color w:val="231F20"/>
              </w:rPr>
              <w:t>Essential Responsible Vehicle Accident Rate</w:t>
            </w:r>
          </w:p>
        </w:tc>
        <w:tc>
          <w:tcPr>
            <w:tcW w:w="1020" w:type="dxa"/>
            <w:vAlign w:val="bottom"/>
            <w:tcBorders>
              <w:bottom w:val="single" w:sz="8" w:color="231F20"/>
            </w:tcBorders>
          </w:tcPr>
          <w:p>
            <w:pPr>
              <w:jc w:val="right"/>
              <w:ind w:right="113"/>
              <w:spacing w:after="0"/>
              <w:rPr>
                <w:sz w:val="20"/>
                <w:szCs w:val="20"/>
                <w:color w:val="auto"/>
              </w:rPr>
            </w:pPr>
            <w:r>
              <w:rPr>
                <w:rFonts w:ascii="Arial" w:cs="Arial" w:eastAsia="Arial" w:hAnsi="Arial"/>
                <w:sz w:val="14"/>
                <w:szCs w:val="14"/>
                <w:color w:val="231F20"/>
              </w:rPr>
              <w:t>3.9</w:t>
            </w:r>
          </w:p>
        </w:tc>
        <w:tc>
          <w:tcPr>
            <w:tcW w:w="900" w:type="dxa"/>
            <w:vAlign w:val="bottom"/>
            <w:tcBorders>
              <w:bottom w:val="single" w:sz="8" w:color="231F20"/>
            </w:tcBorders>
          </w:tcPr>
          <w:p>
            <w:pPr>
              <w:jc w:val="right"/>
              <w:ind w:right="113"/>
              <w:spacing w:after="0"/>
              <w:rPr>
                <w:sz w:val="20"/>
                <w:szCs w:val="20"/>
                <w:color w:val="auto"/>
              </w:rPr>
            </w:pPr>
            <w:r>
              <w:rPr>
                <w:rFonts w:ascii="Arial" w:cs="Arial" w:eastAsia="Arial" w:hAnsi="Arial"/>
                <w:sz w:val="14"/>
                <w:szCs w:val="14"/>
                <w:color w:val="231F20"/>
              </w:rPr>
              <w:t>3.3</w:t>
            </w:r>
          </w:p>
        </w:tc>
        <w:tc>
          <w:tcPr>
            <w:tcW w:w="900" w:type="dxa"/>
            <w:vAlign w:val="bottom"/>
            <w:tcBorders>
              <w:bottom w:val="single" w:sz="8" w:color="231F20"/>
            </w:tcBorders>
          </w:tcPr>
          <w:p>
            <w:pPr>
              <w:jc w:val="right"/>
              <w:ind w:right="113"/>
              <w:spacing w:after="0"/>
              <w:rPr>
                <w:sz w:val="20"/>
                <w:szCs w:val="20"/>
                <w:color w:val="auto"/>
              </w:rPr>
            </w:pPr>
            <w:r>
              <w:rPr>
                <w:rFonts w:ascii="Arial" w:cs="Arial" w:eastAsia="Arial" w:hAnsi="Arial"/>
                <w:sz w:val="14"/>
                <w:szCs w:val="14"/>
                <w:color w:val="231F20"/>
              </w:rPr>
              <w:t>2.7</w:t>
            </w:r>
          </w:p>
        </w:tc>
        <w:tc>
          <w:tcPr>
            <w:tcW w:w="880" w:type="dxa"/>
            <w:vAlign w:val="bottom"/>
            <w:tcBorders>
              <w:bottom w:val="single" w:sz="8" w:color="231F20"/>
            </w:tcBorders>
          </w:tcPr>
          <w:p>
            <w:pPr>
              <w:jc w:val="right"/>
              <w:ind w:right="93"/>
              <w:spacing w:after="0"/>
              <w:rPr>
                <w:sz w:val="20"/>
                <w:szCs w:val="20"/>
                <w:color w:val="auto"/>
              </w:rPr>
            </w:pPr>
            <w:r>
              <w:rPr>
                <w:rFonts w:ascii="Arial" w:cs="Arial" w:eastAsia="Arial" w:hAnsi="Arial"/>
                <w:sz w:val="14"/>
                <w:szCs w:val="14"/>
                <w:color w:val="231F20"/>
              </w:rPr>
              <w:t>2.5</w:t>
            </w:r>
          </w:p>
        </w:tc>
        <w:tc>
          <w:tcPr>
            <w:tcW w:w="940" w:type="dxa"/>
            <w:vAlign w:val="bottom"/>
            <w:tcBorders>
              <w:bottom w:val="single" w:sz="8" w:color="231F20"/>
            </w:tcBorders>
          </w:tcPr>
          <w:p>
            <w:pPr>
              <w:jc w:val="right"/>
              <w:ind w:right="133"/>
              <w:spacing w:after="0"/>
              <w:rPr>
                <w:sz w:val="20"/>
                <w:szCs w:val="20"/>
                <w:color w:val="auto"/>
              </w:rPr>
            </w:pPr>
            <w:r>
              <w:rPr>
                <w:rFonts w:ascii="Arial" w:cs="Arial" w:eastAsia="Arial" w:hAnsi="Arial"/>
                <w:sz w:val="14"/>
                <w:szCs w:val="14"/>
                <w:color w:val="231F20"/>
              </w:rPr>
              <w:t>150.00%</w:t>
            </w:r>
          </w:p>
        </w:tc>
        <w:tc>
          <w:tcPr>
            <w:tcW w:w="640" w:type="dxa"/>
            <w:vAlign w:val="bottom"/>
            <w:tcBorders>
              <w:bottom w:val="single" w:sz="8" w:color="231F20"/>
            </w:tcBorders>
          </w:tcPr>
          <w:p>
            <w:pPr>
              <w:jc w:val="right"/>
              <w:spacing w:after="0"/>
              <w:rPr>
                <w:sz w:val="20"/>
                <w:szCs w:val="20"/>
                <w:color w:val="auto"/>
              </w:rPr>
            </w:pPr>
            <w:r>
              <w:rPr>
                <w:rFonts w:ascii="Arial" w:cs="Arial" w:eastAsia="Arial" w:hAnsi="Arial"/>
                <w:sz w:val="14"/>
                <w:szCs w:val="14"/>
                <w:color w:val="231F20"/>
              </w:rPr>
              <w:t>5.0%</w:t>
            </w:r>
          </w:p>
        </w:tc>
        <w:tc>
          <w:tcPr>
            <w:tcW w:w="820" w:type="dxa"/>
            <w:vAlign w:val="bottom"/>
            <w:tcBorders>
              <w:bottom w:val="single" w:sz="8" w:color="231F20"/>
            </w:tcBorders>
          </w:tcPr>
          <w:p>
            <w:pPr>
              <w:jc w:val="right"/>
              <w:spacing w:after="0"/>
              <w:rPr>
                <w:sz w:val="20"/>
                <w:szCs w:val="20"/>
                <w:color w:val="auto"/>
              </w:rPr>
            </w:pPr>
            <w:r>
              <w:rPr>
                <w:rFonts w:ascii="Arial" w:cs="Arial" w:eastAsia="Arial" w:hAnsi="Arial"/>
                <w:sz w:val="14"/>
                <w:szCs w:val="14"/>
                <w:b w:val="1"/>
                <w:bCs w:val="1"/>
                <w:color w:val="4395D4"/>
              </w:rPr>
              <w:t>7.50%</w:t>
            </w:r>
          </w:p>
        </w:tc>
        <w:tc>
          <w:tcPr>
            <w:tcW w:w="0" w:type="dxa"/>
            <w:vAlign w:val="bottom"/>
          </w:tcPr>
          <w:p>
            <w:pPr>
              <w:spacing w:after="0"/>
              <w:rPr>
                <w:sz w:val="1"/>
                <w:szCs w:val="1"/>
                <w:color w:val="auto"/>
              </w:rPr>
            </w:pPr>
          </w:p>
        </w:tc>
      </w:tr>
      <w:tr>
        <w:trPr>
          <w:trHeight w:val="197"/>
        </w:trPr>
        <w:tc>
          <w:tcPr>
            <w:tcW w:w="2140" w:type="dxa"/>
            <w:vAlign w:val="bottom"/>
            <w:tcBorders>
              <w:bottom w:val="single" w:sz="8" w:color="231F20"/>
            </w:tcBorders>
          </w:tcPr>
          <w:p>
            <w:pPr>
              <w:spacing w:after="0"/>
              <w:rPr>
                <w:sz w:val="17"/>
                <w:szCs w:val="17"/>
                <w:color w:val="auto"/>
              </w:rPr>
            </w:pPr>
          </w:p>
        </w:tc>
        <w:tc>
          <w:tcPr>
            <w:tcW w:w="3000" w:type="dxa"/>
            <w:vAlign w:val="bottom"/>
            <w:tcBorders>
              <w:bottom w:val="single" w:sz="8" w:color="231F20"/>
            </w:tcBorders>
          </w:tcPr>
          <w:p>
            <w:pPr>
              <w:spacing w:after="0"/>
              <w:rPr>
                <w:sz w:val="20"/>
                <w:szCs w:val="20"/>
                <w:color w:val="auto"/>
              </w:rPr>
            </w:pPr>
            <w:r>
              <w:rPr>
                <w:rFonts w:ascii="Arial" w:cs="Arial" w:eastAsia="Arial" w:hAnsi="Arial"/>
                <w:sz w:val="14"/>
                <w:szCs w:val="14"/>
                <w:color w:val="231F20"/>
              </w:rPr>
              <w:t>Peoples Gas Safety</w:t>
            </w:r>
          </w:p>
        </w:tc>
        <w:tc>
          <w:tcPr>
            <w:tcW w:w="1020" w:type="dxa"/>
            <w:vAlign w:val="bottom"/>
            <w:tcBorders>
              <w:bottom w:val="single" w:sz="8" w:color="231F20"/>
            </w:tcBorders>
          </w:tcPr>
          <w:p>
            <w:pPr>
              <w:jc w:val="right"/>
              <w:ind w:right="113"/>
              <w:spacing w:after="0"/>
              <w:rPr>
                <w:sz w:val="20"/>
                <w:szCs w:val="20"/>
                <w:color w:val="auto"/>
              </w:rPr>
            </w:pPr>
            <w:r>
              <w:rPr>
                <w:rFonts w:ascii="Arial" w:cs="Arial" w:eastAsia="Arial" w:hAnsi="Arial"/>
                <w:sz w:val="14"/>
                <w:szCs w:val="14"/>
                <w:color w:val="231F20"/>
              </w:rPr>
              <w:t>99.98%</w:t>
            </w:r>
          </w:p>
        </w:tc>
        <w:tc>
          <w:tcPr>
            <w:tcW w:w="900" w:type="dxa"/>
            <w:vAlign w:val="bottom"/>
            <w:tcBorders>
              <w:bottom w:val="single" w:sz="8" w:color="231F20"/>
            </w:tcBorders>
          </w:tcPr>
          <w:p>
            <w:pPr>
              <w:jc w:val="right"/>
              <w:ind w:right="113"/>
              <w:spacing w:after="0"/>
              <w:rPr>
                <w:sz w:val="20"/>
                <w:szCs w:val="20"/>
                <w:color w:val="auto"/>
              </w:rPr>
            </w:pPr>
            <w:r>
              <w:rPr>
                <w:rFonts w:ascii="Arial" w:cs="Arial" w:eastAsia="Arial" w:hAnsi="Arial"/>
                <w:sz w:val="14"/>
                <w:szCs w:val="14"/>
                <w:color w:val="231F20"/>
              </w:rPr>
              <w:t>99.99%</w:t>
            </w:r>
          </w:p>
        </w:tc>
        <w:tc>
          <w:tcPr>
            <w:tcW w:w="900" w:type="dxa"/>
            <w:vAlign w:val="bottom"/>
            <w:tcBorders>
              <w:bottom w:val="single" w:sz="8" w:color="231F20"/>
            </w:tcBorders>
          </w:tcPr>
          <w:p>
            <w:pPr>
              <w:jc w:val="right"/>
              <w:ind w:right="113"/>
              <w:spacing w:after="0"/>
              <w:rPr>
                <w:sz w:val="20"/>
                <w:szCs w:val="20"/>
                <w:color w:val="auto"/>
              </w:rPr>
            </w:pPr>
            <w:r>
              <w:rPr>
                <w:rFonts w:ascii="Arial" w:cs="Arial" w:eastAsia="Arial" w:hAnsi="Arial"/>
                <w:sz w:val="14"/>
                <w:szCs w:val="14"/>
                <w:color w:val="231F20"/>
              </w:rPr>
              <w:t>100.00%</w:t>
            </w:r>
          </w:p>
        </w:tc>
        <w:tc>
          <w:tcPr>
            <w:tcW w:w="880" w:type="dxa"/>
            <w:vAlign w:val="bottom"/>
            <w:tcBorders>
              <w:bottom w:val="single" w:sz="8" w:color="231F20"/>
            </w:tcBorders>
          </w:tcPr>
          <w:p>
            <w:pPr>
              <w:jc w:val="right"/>
              <w:ind w:right="93"/>
              <w:spacing w:after="0"/>
              <w:rPr>
                <w:sz w:val="20"/>
                <w:szCs w:val="20"/>
                <w:color w:val="auto"/>
              </w:rPr>
            </w:pPr>
            <w:r>
              <w:rPr>
                <w:rFonts w:ascii="Arial" w:cs="Arial" w:eastAsia="Arial" w:hAnsi="Arial"/>
                <w:sz w:val="14"/>
                <w:szCs w:val="14"/>
                <w:color w:val="231F20"/>
              </w:rPr>
              <w:t>100.00%</w:t>
            </w:r>
          </w:p>
        </w:tc>
        <w:tc>
          <w:tcPr>
            <w:tcW w:w="940" w:type="dxa"/>
            <w:vAlign w:val="bottom"/>
            <w:tcBorders>
              <w:bottom w:val="single" w:sz="8" w:color="231F20"/>
            </w:tcBorders>
          </w:tcPr>
          <w:p>
            <w:pPr>
              <w:jc w:val="right"/>
              <w:ind w:right="133"/>
              <w:spacing w:after="0"/>
              <w:rPr>
                <w:sz w:val="20"/>
                <w:szCs w:val="20"/>
                <w:color w:val="auto"/>
              </w:rPr>
            </w:pPr>
            <w:r>
              <w:rPr>
                <w:rFonts w:ascii="Arial" w:cs="Arial" w:eastAsia="Arial" w:hAnsi="Arial"/>
                <w:sz w:val="14"/>
                <w:szCs w:val="14"/>
                <w:color w:val="231F20"/>
              </w:rPr>
              <w:t>150.00%</w:t>
            </w:r>
          </w:p>
        </w:tc>
        <w:tc>
          <w:tcPr>
            <w:tcW w:w="640" w:type="dxa"/>
            <w:vAlign w:val="bottom"/>
            <w:tcBorders>
              <w:bottom w:val="single" w:sz="8" w:color="231F20"/>
            </w:tcBorders>
          </w:tcPr>
          <w:p>
            <w:pPr>
              <w:jc w:val="right"/>
              <w:spacing w:after="0"/>
              <w:rPr>
                <w:sz w:val="20"/>
                <w:szCs w:val="20"/>
                <w:color w:val="auto"/>
              </w:rPr>
            </w:pPr>
            <w:r>
              <w:rPr>
                <w:rFonts w:ascii="Arial" w:cs="Arial" w:eastAsia="Arial" w:hAnsi="Arial"/>
                <w:sz w:val="14"/>
                <w:szCs w:val="14"/>
                <w:color w:val="231F20"/>
              </w:rPr>
              <w:t>10.0%</w:t>
            </w:r>
          </w:p>
        </w:tc>
        <w:tc>
          <w:tcPr>
            <w:tcW w:w="820" w:type="dxa"/>
            <w:vAlign w:val="bottom"/>
            <w:tcBorders>
              <w:bottom w:val="single" w:sz="8" w:color="231F20"/>
            </w:tcBorders>
          </w:tcPr>
          <w:p>
            <w:pPr>
              <w:jc w:val="right"/>
              <w:spacing w:after="0"/>
              <w:rPr>
                <w:sz w:val="20"/>
                <w:szCs w:val="20"/>
                <w:color w:val="auto"/>
              </w:rPr>
            </w:pPr>
            <w:r>
              <w:rPr>
                <w:rFonts w:ascii="Arial" w:cs="Arial" w:eastAsia="Arial" w:hAnsi="Arial"/>
                <w:sz w:val="14"/>
                <w:szCs w:val="14"/>
                <w:b w:val="1"/>
                <w:bCs w:val="1"/>
                <w:color w:val="4395D4"/>
              </w:rPr>
              <w:t>15.00%</w:t>
            </w:r>
          </w:p>
        </w:tc>
        <w:tc>
          <w:tcPr>
            <w:tcW w:w="0" w:type="dxa"/>
            <w:vAlign w:val="bottom"/>
          </w:tcPr>
          <w:p>
            <w:pPr>
              <w:spacing w:after="0"/>
              <w:rPr>
                <w:sz w:val="1"/>
                <w:szCs w:val="1"/>
                <w:color w:val="auto"/>
              </w:rPr>
            </w:pPr>
          </w:p>
        </w:tc>
      </w:tr>
      <w:tr>
        <w:trPr>
          <w:trHeight w:val="196"/>
        </w:trPr>
        <w:tc>
          <w:tcPr>
            <w:tcW w:w="2140" w:type="dxa"/>
            <w:vAlign w:val="bottom"/>
          </w:tcPr>
          <w:p>
            <w:pPr>
              <w:spacing w:after="0"/>
              <w:rPr>
                <w:sz w:val="20"/>
                <w:szCs w:val="20"/>
                <w:color w:val="auto"/>
              </w:rPr>
            </w:pPr>
            <w:r>
              <w:rPr>
                <w:rFonts w:ascii="Arial" w:cs="Arial" w:eastAsia="Arial" w:hAnsi="Arial"/>
                <w:sz w:val="14"/>
                <w:szCs w:val="14"/>
                <w:b w:val="1"/>
                <w:bCs w:val="1"/>
                <w:color w:val="455986"/>
              </w:rPr>
              <w:t>Environmental</w:t>
            </w:r>
          </w:p>
        </w:tc>
        <w:tc>
          <w:tcPr>
            <w:tcW w:w="3000" w:type="dxa"/>
            <w:vAlign w:val="bottom"/>
            <w:tcBorders>
              <w:bottom w:val="single" w:sz="8" w:color="231F20"/>
            </w:tcBorders>
          </w:tcPr>
          <w:p>
            <w:pPr>
              <w:spacing w:after="0"/>
              <w:rPr>
                <w:sz w:val="20"/>
                <w:szCs w:val="20"/>
                <w:color w:val="auto"/>
              </w:rPr>
            </w:pPr>
            <w:r>
              <w:rPr>
                <w:rFonts w:ascii="Arial" w:cs="Arial" w:eastAsia="Arial" w:hAnsi="Arial"/>
                <w:sz w:val="14"/>
                <w:szCs w:val="14"/>
                <w:color w:val="231F20"/>
              </w:rPr>
              <w:t>Aqua Water Compliance</w:t>
            </w:r>
          </w:p>
        </w:tc>
        <w:tc>
          <w:tcPr>
            <w:tcW w:w="1020" w:type="dxa"/>
            <w:vAlign w:val="bottom"/>
            <w:tcBorders>
              <w:bottom w:val="single" w:sz="8" w:color="231F20"/>
            </w:tcBorders>
          </w:tcPr>
          <w:p>
            <w:pPr>
              <w:jc w:val="right"/>
              <w:ind w:right="113"/>
              <w:spacing w:after="0"/>
              <w:rPr>
                <w:sz w:val="20"/>
                <w:szCs w:val="20"/>
                <w:color w:val="auto"/>
              </w:rPr>
            </w:pPr>
            <w:r>
              <w:rPr>
                <w:rFonts w:ascii="Arial" w:cs="Arial" w:eastAsia="Arial" w:hAnsi="Arial"/>
                <w:sz w:val="14"/>
                <w:szCs w:val="14"/>
                <w:color w:val="231F20"/>
              </w:rPr>
              <w:t>99.20%</w:t>
            </w:r>
          </w:p>
        </w:tc>
        <w:tc>
          <w:tcPr>
            <w:tcW w:w="900" w:type="dxa"/>
            <w:vAlign w:val="bottom"/>
            <w:tcBorders>
              <w:bottom w:val="single" w:sz="8" w:color="231F20"/>
            </w:tcBorders>
          </w:tcPr>
          <w:p>
            <w:pPr>
              <w:jc w:val="right"/>
              <w:ind w:right="113"/>
              <w:spacing w:after="0"/>
              <w:rPr>
                <w:sz w:val="20"/>
                <w:szCs w:val="20"/>
                <w:color w:val="auto"/>
              </w:rPr>
            </w:pPr>
            <w:r>
              <w:rPr>
                <w:rFonts w:ascii="Arial" w:cs="Arial" w:eastAsia="Arial" w:hAnsi="Arial"/>
                <w:sz w:val="14"/>
                <w:szCs w:val="14"/>
                <w:color w:val="231F20"/>
              </w:rPr>
              <w:t>99.55%</w:t>
            </w:r>
          </w:p>
        </w:tc>
        <w:tc>
          <w:tcPr>
            <w:tcW w:w="900" w:type="dxa"/>
            <w:vAlign w:val="bottom"/>
            <w:tcBorders>
              <w:bottom w:val="single" w:sz="8" w:color="231F20"/>
            </w:tcBorders>
          </w:tcPr>
          <w:p>
            <w:pPr>
              <w:jc w:val="right"/>
              <w:ind w:right="113"/>
              <w:spacing w:after="0"/>
              <w:rPr>
                <w:sz w:val="20"/>
                <w:szCs w:val="20"/>
                <w:color w:val="auto"/>
              </w:rPr>
            </w:pPr>
            <w:r>
              <w:rPr>
                <w:rFonts w:ascii="Arial" w:cs="Arial" w:eastAsia="Arial" w:hAnsi="Arial"/>
                <w:sz w:val="14"/>
                <w:szCs w:val="14"/>
                <w:color w:val="231F20"/>
              </w:rPr>
              <w:t>99.90%</w:t>
            </w:r>
          </w:p>
        </w:tc>
        <w:tc>
          <w:tcPr>
            <w:tcW w:w="880" w:type="dxa"/>
            <w:vAlign w:val="bottom"/>
            <w:tcBorders>
              <w:bottom w:val="single" w:sz="8" w:color="231F20"/>
            </w:tcBorders>
          </w:tcPr>
          <w:p>
            <w:pPr>
              <w:jc w:val="right"/>
              <w:ind w:right="93"/>
              <w:spacing w:after="0"/>
              <w:rPr>
                <w:sz w:val="20"/>
                <w:szCs w:val="20"/>
                <w:color w:val="auto"/>
              </w:rPr>
            </w:pPr>
            <w:r>
              <w:rPr>
                <w:rFonts w:ascii="Arial" w:cs="Arial" w:eastAsia="Arial" w:hAnsi="Arial"/>
                <w:sz w:val="14"/>
                <w:szCs w:val="14"/>
                <w:color w:val="231F20"/>
              </w:rPr>
              <w:t>99.63%</w:t>
            </w:r>
          </w:p>
        </w:tc>
        <w:tc>
          <w:tcPr>
            <w:tcW w:w="940" w:type="dxa"/>
            <w:vAlign w:val="bottom"/>
            <w:tcBorders>
              <w:bottom w:val="single" w:sz="8" w:color="231F20"/>
            </w:tcBorders>
          </w:tcPr>
          <w:p>
            <w:pPr>
              <w:jc w:val="right"/>
              <w:ind w:right="133"/>
              <w:spacing w:after="0"/>
              <w:rPr>
                <w:sz w:val="20"/>
                <w:szCs w:val="20"/>
                <w:color w:val="auto"/>
              </w:rPr>
            </w:pPr>
            <w:r>
              <w:rPr>
                <w:rFonts w:ascii="Arial" w:cs="Arial" w:eastAsia="Arial" w:hAnsi="Arial"/>
                <w:sz w:val="14"/>
                <w:szCs w:val="14"/>
                <w:color w:val="231F20"/>
              </w:rPr>
              <w:t>111.43%</w:t>
            </w:r>
          </w:p>
        </w:tc>
        <w:tc>
          <w:tcPr>
            <w:tcW w:w="640" w:type="dxa"/>
            <w:vAlign w:val="bottom"/>
            <w:tcBorders>
              <w:bottom w:val="single" w:sz="8" w:color="231F20"/>
            </w:tcBorders>
          </w:tcPr>
          <w:p>
            <w:pPr>
              <w:jc w:val="right"/>
              <w:spacing w:after="0"/>
              <w:rPr>
                <w:sz w:val="20"/>
                <w:szCs w:val="20"/>
                <w:color w:val="auto"/>
              </w:rPr>
            </w:pPr>
            <w:r>
              <w:rPr>
                <w:rFonts w:ascii="Arial" w:cs="Arial" w:eastAsia="Arial" w:hAnsi="Arial"/>
                <w:sz w:val="14"/>
                <w:szCs w:val="14"/>
                <w:color w:val="231F20"/>
              </w:rPr>
              <w:t>2.5%</w:t>
            </w:r>
          </w:p>
        </w:tc>
        <w:tc>
          <w:tcPr>
            <w:tcW w:w="820" w:type="dxa"/>
            <w:vAlign w:val="bottom"/>
            <w:tcBorders>
              <w:bottom w:val="single" w:sz="8" w:color="231F20"/>
            </w:tcBorders>
          </w:tcPr>
          <w:p>
            <w:pPr>
              <w:jc w:val="right"/>
              <w:spacing w:after="0"/>
              <w:rPr>
                <w:sz w:val="20"/>
                <w:szCs w:val="20"/>
                <w:color w:val="auto"/>
              </w:rPr>
            </w:pPr>
            <w:r>
              <w:rPr>
                <w:rFonts w:ascii="Arial" w:cs="Arial" w:eastAsia="Arial" w:hAnsi="Arial"/>
                <w:sz w:val="14"/>
                <w:szCs w:val="14"/>
                <w:b w:val="1"/>
                <w:bCs w:val="1"/>
                <w:color w:val="4395D4"/>
              </w:rPr>
              <w:t>2.79%</w:t>
            </w:r>
          </w:p>
        </w:tc>
        <w:tc>
          <w:tcPr>
            <w:tcW w:w="0" w:type="dxa"/>
            <w:vAlign w:val="bottom"/>
          </w:tcPr>
          <w:p>
            <w:pPr>
              <w:spacing w:after="0"/>
              <w:rPr>
                <w:sz w:val="1"/>
                <w:szCs w:val="1"/>
                <w:color w:val="auto"/>
              </w:rPr>
            </w:pPr>
          </w:p>
        </w:tc>
      </w:tr>
      <w:tr>
        <w:trPr>
          <w:trHeight w:val="197"/>
        </w:trPr>
        <w:tc>
          <w:tcPr>
            <w:tcW w:w="2140" w:type="dxa"/>
            <w:vAlign w:val="bottom"/>
          </w:tcPr>
          <w:p>
            <w:pPr>
              <w:spacing w:after="0"/>
              <w:rPr>
                <w:sz w:val="20"/>
                <w:szCs w:val="20"/>
                <w:color w:val="auto"/>
              </w:rPr>
            </w:pPr>
            <w:r>
              <w:rPr>
                <w:rFonts w:ascii="Arial" w:cs="Arial" w:eastAsia="Arial" w:hAnsi="Arial"/>
                <w:sz w:val="14"/>
                <w:szCs w:val="14"/>
                <w:b w:val="1"/>
                <w:bCs w:val="1"/>
                <w:color w:val="455986"/>
              </w:rPr>
              <w:t>Stewardship</w:t>
            </w:r>
          </w:p>
        </w:tc>
        <w:tc>
          <w:tcPr>
            <w:tcW w:w="3000" w:type="dxa"/>
            <w:vAlign w:val="bottom"/>
            <w:tcBorders>
              <w:bottom w:val="single" w:sz="8" w:color="231F20"/>
            </w:tcBorders>
          </w:tcPr>
          <w:p>
            <w:pPr>
              <w:spacing w:after="0"/>
              <w:rPr>
                <w:sz w:val="20"/>
                <w:szCs w:val="20"/>
                <w:color w:val="auto"/>
              </w:rPr>
            </w:pPr>
            <w:r>
              <w:rPr>
                <w:rFonts w:ascii="Arial" w:cs="Arial" w:eastAsia="Arial" w:hAnsi="Arial"/>
                <w:sz w:val="14"/>
                <w:szCs w:val="14"/>
                <w:color w:val="231F20"/>
              </w:rPr>
              <w:t>Aqua Wastewater Compliance</w:t>
            </w:r>
          </w:p>
        </w:tc>
        <w:tc>
          <w:tcPr>
            <w:tcW w:w="1020" w:type="dxa"/>
            <w:vAlign w:val="bottom"/>
            <w:tcBorders>
              <w:bottom w:val="single" w:sz="8" w:color="231F20"/>
            </w:tcBorders>
          </w:tcPr>
          <w:p>
            <w:pPr>
              <w:jc w:val="right"/>
              <w:ind w:right="113"/>
              <w:spacing w:after="0"/>
              <w:rPr>
                <w:sz w:val="20"/>
                <w:szCs w:val="20"/>
                <w:color w:val="auto"/>
              </w:rPr>
            </w:pPr>
            <w:r>
              <w:rPr>
                <w:rFonts w:ascii="Arial" w:cs="Arial" w:eastAsia="Arial" w:hAnsi="Arial"/>
                <w:sz w:val="14"/>
                <w:szCs w:val="14"/>
                <w:color w:val="231F20"/>
              </w:rPr>
              <w:t>92.50%</w:t>
            </w:r>
          </w:p>
        </w:tc>
        <w:tc>
          <w:tcPr>
            <w:tcW w:w="900" w:type="dxa"/>
            <w:vAlign w:val="bottom"/>
            <w:tcBorders>
              <w:bottom w:val="single" w:sz="8" w:color="231F20"/>
            </w:tcBorders>
          </w:tcPr>
          <w:p>
            <w:pPr>
              <w:jc w:val="right"/>
              <w:ind w:right="113"/>
              <w:spacing w:after="0"/>
              <w:rPr>
                <w:sz w:val="20"/>
                <w:szCs w:val="20"/>
                <w:color w:val="auto"/>
              </w:rPr>
            </w:pPr>
            <w:r>
              <w:rPr>
                <w:rFonts w:ascii="Arial" w:cs="Arial" w:eastAsia="Arial" w:hAnsi="Arial"/>
                <w:sz w:val="14"/>
                <w:szCs w:val="14"/>
                <w:color w:val="231F20"/>
              </w:rPr>
              <w:t>94.50%</w:t>
            </w:r>
          </w:p>
        </w:tc>
        <w:tc>
          <w:tcPr>
            <w:tcW w:w="900" w:type="dxa"/>
            <w:vAlign w:val="bottom"/>
            <w:tcBorders>
              <w:bottom w:val="single" w:sz="8" w:color="231F20"/>
            </w:tcBorders>
          </w:tcPr>
          <w:p>
            <w:pPr>
              <w:jc w:val="right"/>
              <w:ind w:right="113"/>
              <w:spacing w:after="0"/>
              <w:rPr>
                <w:sz w:val="20"/>
                <w:szCs w:val="20"/>
                <w:color w:val="auto"/>
              </w:rPr>
            </w:pPr>
            <w:r>
              <w:rPr>
                <w:rFonts w:ascii="Arial" w:cs="Arial" w:eastAsia="Arial" w:hAnsi="Arial"/>
                <w:sz w:val="14"/>
                <w:szCs w:val="14"/>
                <w:color w:val="231F20"/>
              </w:rPr>
              <w:t>96.50%</w:t>
            </w:r>
          </w:p>
        </w:tc>
        <w:tc>
          <w:tcPr>
            <w:tcW w:w="880" w:type="dxa"/>
            <w:vAlign w:val="bottom"/>
            <w:tcBorders>
              <w:bottom w:val="single" w:sz="8" w:color="231F20"/>
            </w:tcBorders>
          </w:tcPr>
          <w:p>
            <w:pPr>
              <w:jc w:val="right"/>
              <w:ind w:right="93"/>
              <w:spacing w:after="0"/>
              <w:rPr>
                <w:sz w:val="20"/>
                <w:szCs w:val="20"/>
                <w:color w:val="auto"/>
              </w:rPr>
            </w:pPr>
            <w:r>
              <w:rPr>
                <w:rFonts w:ascii="Arial" w:cs="Arial" w:eastAsia="Arial" w:hAnsi="Arial"/>
                <w:sz w:val="14"/>
                <w:szCs w:val="14"/>
                <w:color w:val="231F20"/>
              </w:rPr>
              <w:t>95.31%</w:t>
            </w:r>
          </w:p>
        </w:tc>
        <w:tc>
          <w:tcPr>
            <w:tcW w:w="940" w:type="dxa"/>
            <w:vAlign w:val="bottom"/>
            <w:tcBorders>
              <w:bottom w:val="single" w:sz="8" w:color="231F20"/>
            </w:tcBorders>
          </w:tcPr>
          <w:p>
            <w:pPr>
              <w:jc w:val="right"/>
              <w:ind w:right="133"/>
              <w:spacing w:after="0"/>
              <w:rPr>
                <w:sz w:val="20"/>
                <w:szCs w:val="20"/>
                <w:color w:val="auto"/>
              </w:rPr>
            </w:pPr>
            <w:r>
              <w:rPr>
                <w:rFonts w:ascii="Arial" w:cs="Arial" w:eastAsia="Arial" w:hAnsi="Arial"/>
                <w:sz w:val="14"/>
                <w:szCs w:val="14"/>
                <w:color w:val="231F20"/>
              </w:rPr>
              <w:t>120.25%</w:t>
            </w:r>
          </w:p>
        </w:tc>
        <w:tc>
          <w:tcPr>
            <w:tcW w:w="640" w:type="dxa"/>
            <w:vAlign w:val="bottom"/>
            <w:tcBorders>
              <w:bottom w:val="single" w:sz="8" w:color="231F20"/>
            </w:tcBorders>
          </w:tcPr>
          <w:p>
            <w:pPr>
              <w:jc w:val="right"/>
              <w:spacing w:after="0"/>
              <w:rPr>
                <w:sz w:val="20"/>
                <w:szCs w:val="20"/>
                <w:color w:val="auto"/>
              </w:rPr>
            </w:pPr>
            <w:r>
              <w:rPr>
                <w:rFonts w:ascii="Arial" w:cs="Arial" w:eastAsia="Arial" w:hAnsi="Arial"/>
                <w:sz w:val="14"/>
                <w:szCs w:val="14"/>
                <w:color w:val="231F20"/>
              </w:rPr>
              <w:t>2.5%</w:t>
            </w:r>
          </w:p>
        </w:tc>
        <w:tc>
          <w:tcPr>
            <w:tcW w:w="820" w:type="dxa"/>
            <w:vAlign w:val="bottom"/>
            <w:tcBorders>
              <w:bottom w:val="single" w:sz="8" w:color="231F20"/>
            </w:tcBorders>
          </w:tcPr>
          <w:p>
            <w:pPr>
              <w:jc w:val="right"/>
              <w:spacing w:after="0"/>
              <w:rPr>
                <w:sz w:val="20"/>
                <w:szCs w:val="20"/>
                <w:color w:val="auto"/>
              </w:rPr>
            </w:pPr>
            <w:r>
              <w:rPr>
                <w:rFonts w:ascii="Arial" w:cs="Arial" w:eastAsia="Arial" w:hAnsi="Arial"/>
                <w:sz w:val="14"/>
                <w:szCs w:val="14"/>
                <w:b w:val="1"/>
                <w:bCs w:val="1"/>
                <w:color w:val="4395D4"/>
              </w:rPr>
              <w:t>3.01%</w:t>
            </w:r>
          </w:p>
        </w:tc>
        <w:tc>
          <w:tcPr>
            <w:tcW w:w="0" w:type="dxa"/>
            <w:vAlign w:val="bottom"/>
          </w:tcPr>
          <w:p>
            <w:pPr>
              <w:spacing w:after="0"/>
              <w:rPr>
                <w:sz w:val="1"/>
                <w:szCs w:val="1"/>
                <w:color w:val="auto"/>
              </w:rPr>
            </w:pPr>
          </w:p>
        </w:tc>
      </w:tr>
      <w:tr>
        <w:trPr>
          <w:trHeight w:val="197"/>
        </w:trPr>
        <w:tc>
          <w:tcPr>
            <w:tcW w:w="2140" w:type="dxa"/>
            <w:vAlign w:val="bottom"/>
          </w:tcPr>
          <w:p>
            <w:pPr>
              <w:spacing w:after="0"/>
              <w:rPr>
                <w:sz w:val="17"/>
                <w:szCs w:val="17"/>
                <w:color w:val="auto"/>
              </w:rPr>
            </w:pPr>
          </w:p>
        </w:tc>
        <w:tc>
          <w:tcPr>
            <w:tcW w:w="3000" w:type="dxa"/>
            <w:vAlign w:val="bottom"/>
            <w:tcBorders>
              <w:bottom w:val="single" w:sz="8" w:color="231F20"/>
            </w:tcBorders>
          </w:tcPr>
          <w:p>
            <w:pPr>
              <w:spacing w:after="0"/>
              <w:rPr>
                <w:sz w:val="20"/>
                <w:szCs w:val="20"/>
                <w:color w:val="auto"/>
              </w:rPr>
            </w:pPr>
            <w:r>
              <w:rPr>
                <w:rFonts w:ascii="Arial" w:cs="Arial" w:eastAsia="Arial" w:hAnsi="Arial"/>
                <w:sz w:val="14"/>
                <w:szCs w:val="14"/>
                <w:color w:val="231F20"/>
              </w:rPr>
              <w:t>Peoples Gas Leaks</w:t>
            </w:r>
          </w:p>
        </w:tc>
        <w:tc>
          <w:tcPr>
            <w:tcW w:w="1020" w:type="dxa"/>
            <w:vAlign w:val="bottom"/>
            <w:tcBorders>
              <w:bottom w:val="single" w:sz="8" w:color="231F20"/>
            </w:tcBorders>
          </w:tcPr>
          <w:p>
            <w:pPr>
              <w:jc w:val="right"/>
              <w:ind w:right="113"/>
              <w:spacing w:after="0"/>
              <w:rPr>
                <w:sz w:val="20"/>
                <w:szCs w:val="20"/>
                <w:color w:val="auto"/>
              </w:rPr>
            </w:pPr>
            <w:r>
              <w:rPr>
                <w:rFonts w:ascii="Arial" w:cs="Arial" w:eastAsia="Arial" w:hAnsi="Arial"/>
                <w:sz w:val="14"/>
                <w:szCs w:val="14"/>
                <w:color w:val="231F20"/>
              </w:rPr>
              <w:t>905</w:t>
            </w:r>
          </w:p>
        </w:tc>
        <w:tc>
          <w:tcPr>
            <w:tcW w:w="900" w:type="dxa"/>
            <w:vAlign w:val="bottom"/>
            <w:tcBorders>
              <w:bottom w:val="single" w:sz="8" w:color="231F20"/>
            </w:tcBorders>
          </w:tcPr>
          <w:p>
            <w:pPr>
              <w:jc w:val="right"/>
              <w:ind w:right="113"/>
              <w:spacing w:after="0"/>
              <w:rPr>
                <w:sz w:val="20"/>
                <w:szCs w:val="20"/>
                <w:color w:val="auto"/>
              </w:rPr>
            </w:pPr>
            <w:r>
              <w:rPr>
                <w:rFonts w:ascii="Arial" w:cs="Arial" w:eastAsia="Arial" w:hAnsi="Arial"/>
                <w:sz w:val="14"/>
                <w:szCs w:val="14"/>
                <w:color w:val="231F20"/>
              </w:rPr>
              <w:t>860</w:t>
            </w:r>
          </w:p>
        </w:tc>
        <w:tc>
          <w:tcPr>
            <w:tcW w:w="900" w:type="dxa"/>
            <w:vAlign w:val="bottom"/>
            <w:tcBorders>
              <w:bottom w:val="single" w:sz="8" w:color="231F20"/>
            </w:tcBorders>
          </w:tcPr>
          <w:p>
            <w:pPr>
              <w:jc w:val="right"/>
              <w:ind w:right="113"/>
              <w:spacing w:after="0"/>
              <w:rPr>
                <w:sz w:val="20"/>
                <w:szCs w:val="20"/>
                <w:color w:val="auto"/>
              </w:rPr>
            </w:pPr>
            <w:r>
              <w:rPr>
                <w:rFonts w:ascii="Arial" w:cs="Arial" w:eastAsia="Arial" w:hAnsi="Arial"/>
                <w:sz w:val="14"/>
                <w:szCs w:val="14"/>
                <w:color w:val="231F20"/>
              </w:rPr>
              <w:t>814</w:t>
            </w:r>
          </w:p>
        </w:tc>
        <w:tc>
          <w:tcPr>
            <w:tcW w:w="880" w:type="dxa"/>
            <w:vAlign w:val="bottom"/>
            <w:tcBorders>
              <w:bottom w:val="single" w:sz="8" w:color="231F20"/>
            </w:tcBorders>
          </w:tcPr>
          <w:p>
            <w:pPr>
              <w:jc w:val="right"/>
              <w:ind w:right="93"/>
              <w:spacing w:after="0"/>
              <w:rPr>
                <w:sz w:val="20"/>
                <w:szCs w:val="20"/>
                <w:color w:val="auto"/>
              </w:rPr>
            </w:pPr>
            <w:r>
              <w:rPr>
                <w:rFonts w:ascii="Arial" w:cs="Arial" w:eastAsia="Arial" w:hAnsi="Arial"/>
                <w:sz w:val="14"/>
                <w:szCs w:val="14"/>
                <w:color w:val="231F20"/>
              </w:rPr>
              <w:t>621</w:t>
            </w:r>
          </w:p>
        </w:tc>
        <w:tc>
          <w:tcPr>
            <w:tcW w:w="940" w:type="dxa"/>
            <w:vAlign w:val="bottom"/>
            <w:tcBorders>
              <w:bottom w:val="single" w:sz="8" w:color="231F20"/>
            </w:tcBorders>
          </w:tcPr>
          <w:p>
            <w:pPr>
              <w:jc w:val="right"/>
              <w:ind w:right="133"/>
              <w:spacing w:after="0"/>
              <w:rPr>
                <w:sz w:val="20"/>
                <w:szCs w:val="20"/>
                <w:color w:val="auto"/>
              </w:rPr>
            </w:pPr>
            <w:r>
              <w:rPr>
                <w:rFonts w:ascii="Arial" w:cs="Arial" w:eastAsia="Arial" w:hAnsi="Arial"/>
                <w:sz w:val="14"/>
                <w:szCs w:val="14"/>
                <w:color w:val="231F20"/>
              </w:rPr>
              <w:t>150.00%</w:t>
            </w:r>
          </w:p>
        </w:tc>
        <w:tc>
          <w:tcPr>
            <w:tcW w:w="640" w:type="dxa"/>
            <w:vAlign w:val="bottom"/>
            <w:tcBorders>
              <w:bottom w:val="single" w:sz="8" w:color="231F20"/>
            </w:tcBorders>
          </w:tcPr>
          <w:p>
            <w:pPr>
              <w:jc w:val="right"/>
              <w:spacing w:after="0"/>
              <w:rPr>
                <w:sz w:val="20"/>
                <w:szCs w:val="20"/>
                <w:color w:val="auto"/>
              </w:rPr>
            </w:pPr>
            <w:r>
              <w:rPr>
                <w:rFonts w:ascii="Arial" w:cs="Arial" w:eastAsia="Arial" w:hAnsi="Arial"/>
                <w:sz w:val="14"/>
                <w:szCs w:val="14"/>
                <w:color w:val="231F20"/>
              </w:rPr>
              <w:t>2.5%</w:t>
            </w:r>
          </w:p>
        </w:tc>
        <w:tc>
          <w:tcPr>
            <w:tcW w:w="820" w:type="dxa"/>
            <w:vAlign w:val="bottom"/>
            <w:tcBorders>
              <w:bottom w:val="single" w:sz="8" w:color="231F20"/>
            </w:tcBorders>
          </w:tcPr>
          <w:p>
            <w:pPr>
              <w:jc w:val="right"/>
              <w:spacing w:after="0"/>
              <w:rPr>
                <w:sz w:val="20"/>
                <w:szCs w:val="20"/>
                <w:color w:val="auto"/>
              </w:rPr>
            </w:pPr>
            <w:r>
              <w:rPr>
                <w:rFonts w:ascii="Arial" w:cs="Arial" w:eastAsia="Arial" w:hAnsi="Arial"/>
                <w:sz w:val="14"/>
                <w:szCs w:val="14"/>
                <w:b w:val="1"/>
                <w:bCs w:val="1"/>
                <w:color w:val="4395D4"/>
              </w:rPr>
              <w:t>3.75%</w:t>
            </w:r>
          </w:p>
        </w:tc>
        <w:tc>
          <w:tcPr>
            <w:tcW w:w="0" w:type="dxa"/>
            <w:vAlign w:val="bottom"/>
          </w:tcPr>
          <w:p>
            <w:pPr>
              <w:spacing w:after="0"/>
              <w:rPr>
                <w:sz w:val="1"/>
                <w:szCs w:val="1"/>
                <w:color w:val="auto"/>
              </w:rPr>
            </w:pPr>
          </w:p>
        </w:tc>
      </w:tr>
      <w:tr>
        <w:trPr>
          <w:trHeight w:val="197"/>
        </w:trPr>
        <w:tc>
          <w:tcPr>
            <w:tcW w:w="2140" w:type="dxa"/>
            <w:vAlign w:val="bottom"/>
            <w:tcBorders>
              <w:bottom w:val="single" w:sz="8" w:color="231F20"/>
            </w:tcBorders>
          </w:tcPr>
          <w:p>
            <w:pPr>
              <w:spacing w:after="0"/>
              <w:rPr>
                <w:sz w:val="17"/>
                <w:szCs w:val="17"/>
                <w:color w:val="auto"/>
              </w:rPr>
            </w:pPr>
          </w:p>
        </w:tc>
        <w:tc>
          <w:tcPr>
            <w:tcW w:w="3000" w:type="dxa"/>
            <w:vAlign w:val="bottom"/>
            <w:tcBorders>
              <w:bottom w:val="single" w:sz="8" w:color="231F20"/>
            </w:tcBorders>
          </w:tcPr>
          <w:p>
            <w:pPr>
              <w:spacing w:after="0"/>
              <w:rPr>
                <w:sz w:val="20"/>
                <w:szCs w:val="20"/>
                <w:color w:val="auto"/>
              </w:rPr>
            </w:pPr>
            <w:r>
              <w:rPr>
                <w:rFonts w:ascii="Arial" w:cs="Arial" w:eastAsia="Arial" w:hAnsi="Arial"/>
                <w:sz w:val="14"/>
                <w:szCs w:val="14"/>
                <w:color w:val="231F20"/>
              </w:rPr>
              <w:t>Peoples Gas LTIIP</w:t>
            </w:r>
          </w:p>
        </w:tc>
        <w:tc>
          <w:tcPr>
            <w:tcW w:w="1020" w:type="dxa"/>
            <w:vAlign w:val="bottom"/>
            <w:tcBorders>
              <w:bottom w:val="single" w:sz="8" w:color="231F20"/>
            </w:tcBorders>
          </w:tcPr>
          <w:p>
            <w:pPr>
              <w:jc w:val="right"/>
              <w:ind w:right="113"/>
              <w:spacing w:after="0"/>
              <w:rPr>
                <w:sz w:val="20"/>
                <w:szCs w:val="20"/>
                <w:color w:val="auto"/>
              </w:rPr>
            </w:pPr>
            <w:r>
              <w:rPr>
                <w:rFonts w:ascii="Arial" w:cs="Arial" w:eastAsia="Arial" w:hAnsi="Arial"/>
                <w:sz w:val="14"/>
                <w:szCs w:val="14"/>
                <w:color w:val="231F20"/>
              </w:rPr>
              <w:t>90.00%</w:t>
            </w:r>
          </w:p>
        </w:tc>
        <w:tc>
          <w:tcPr>
            <w:tcW w:w="900" w:type="dxa"/>
            <w:vAlign w:val="bottom"/>
            <w:tcBorders>
              <w:bottom w:val="single" w:sz="8" w:color="231F20"/>
            </w:tcBorders>
          </w:tcPr>
          <w:p>
            <w:pPr>
              <w:jc w:val="right"/>
              <w:ind w:right="113"/>
              <w:spacing w:after="0"/>
              <w:rPr>
                <w:sz w:val="20"/>
                <w:szCs w:val="20"/>
                <w:color w:val="auto"/>
              </w:rPr>
            </w:pPr>
            <w:r>
              <w:rPr>
                <w:rFonts w:ascii="Arial" w:cs="Arial" w:eastAsia="Arial" w:hAnsi="Arial"/>
                <w:sz w:val="14"/>
                <w:szCs w:val="14"/>
                <w:color w:val="231F20"/>
              </w:rPr>
              <w:t>100.00%</w:t>
            </w:r>
          </w:p>
        </w:tc>
        <w:tc>
          <w:tcPr>
            <w:tcW w:w="900" w:type="dxa"/>
            <w:vAlign w:val="bottom"/>
            <w:tcBorders>
              <w:bottom w:val="single" w:sz="8" w:color="231F20"/>
            </w:tcBorders>
          </w:tcPr>
          <w:p>
            <w:pPr>
              <w:jc w:val="right"/>
              <w:ind w:right="113"/>
              <w:spacing w:after="0"/>
              <w:rPr>
                <w:sz w:val="20"/>
                <w:szCs w:val="20"/>
                <w:color w:val="auto"/>
              </w:rPr>
            </w:pPr>
            <w:r>
              <w:rPr>
                <w:rFonts w:ascii="Arial" w:cs="Arial" w:eastAsia="Arial" w:hAnsi="Arial"/>
                <w:sz w:val="14"/>
                <w:szCs w:val="14"/>
                <w:color w:val="231F20"/>
              </w:rPr>
              <w:t>110.00%</w:t>
            </w:r>
          </w:p>
        </w:tc>
        <w:tc>
          <w:tcPr>
            <w:tcW w:w="880" w:type="dxa"/>
            <w:vAlign w:val="bottom"/>
            <w:tcBorders>
              <w:bottom w:val="single" w:sz="8" w:color="231F20"/>
            </w:tcBorders>
          </w:tcPr>
          <w:p>
            <w:pPr>
              <w:jc w:val="right"/>
              <w:ind w:right="93"/>
              <w:spacing w:after="0"/>
              <w:rPr>
                <w:sz w:val="20"/>
                <w:szCs w:val="20"/>
                <w:color w:val="auto"/>
              </w:rPr>
            </w:pPr>
            <w:r>
              <w:rPr>
                <w:rFonts w:ascii="Arial" w:cs="Arial" w:eastAsia="Arial" w:hAnsi="Arial"/>
                <w:sz w:val="14"/>
                <w:szCs w:val="14"/>
                <w:color w:val="231F20"/>
              </w:rPr>
              <w:t>104.04%</w:t>
            </w:r>
          </w:p>
        </w:tc>
        <w:tc>
          <w:tcPr>
            <w:tcW w:w="940" w:type="dxa"/>
            <w:vAlign w:val="bottom"/>
            <w:tcBorders>
              <w:bottom w:val="single" w:sz="8" w:color="231F20"/>
            </w:tcBorders>
          </w:tcPr>
          <w:p>
            <w:pPr>
              <w:jc w:val="right"/>
              <w:ind w:right="133"/>
              <w:spacing w:after="0"/>
              <w:rPr>
                <w:sz w:val="20"/>
                <w:szCs w:val="20"/>
                <w:color w:val="auto"/>
              </w:rPr>
            </w:pPr>
            <w:r>
              <w:rPr>
                <w:rFonts w:ascii="Arial" w:cs="Arial" w:eastAsia="Arial" w:hAnsi="Arial"/>
                <w:sz w:val="14"/>
                <w:szCs w:val="14"/>
                <w:color w:val="231F20"/>
              </w:rPr>
              <w:t>120.20%</w:t>
            </w:r>
          </w:p>
        </w:tc>
        <w:tc>
          <w:tcPr>
            <w:tcW w:w="640" w:type="dxa"/>
            <w:vAlign w:val="bottom"/>
            <w:tcBorders>
              <w:bottom w:val="single" w:sz="8" w:color="231F20"/>
            </w:tcBorders>
          </w:tcPr>
          <w:p>
            <w:pPr>
              <w:jc w:val="right"/>
              <w:spacing w:after="0"/>
              <w:rPr>
                <w:sz w:val="20"/>
                <w:szCs w:val="20"/>
                <w:color w:val="auto"/>
              </w:rPr>
            </w:pPr>
            <w:r>
              <w:rPr>
                <w:rFonts w:ascii="Arial" w:cs="Arial" w:eastAsia="Arial" w:hAnsi="Arial"/>
                <w:sz w:val="14"/>
                <w:szCs w:val="14"/>
                <w:color w:val="231F20"/>
              </w:rPr>
              <w:t>2.5%</w:t>
            </w:r>
          </w:p>
        </w:tc>
        <w:tc>
          <w:tcPr>
            <w:tcW w:w="820" w:type="dxa"/>
            <w:vAlign w:val="bottom"/>
            <w:tcBorders>
              <w:bottom w:val="single" w:sz="8" w:color="231F20"/>
            </w:tcBorders>
          </w:tcPr>
          <w:p>
            <w:pPr>
              <w:jc w:val="right"/>
              <w:spacing w:after="0"/>
              <w:rPr>
                <w:sz w:val="20"/>
                <w:szCs w:val="20"/>
                <w:color w:val="auto"/>
              </w:rPr>
            </w:pPr>
            <w:r>
              <w:rPr>
                <w:rFonts w:ascii="Arial" w:cs="Arial" w:eastAsia="Arial" w:hAnsi="Arial"/>
                <w:sz w:val="14"/>
                <w:szCs w:val="14"/>
                <w:b w:val="1"/>
                <w:bCs w:val="1"/>
                <w:color w:val="4395D4"/>
              </w:rPr>
              <w:t>3.01%</w:t>
            </w:r>
          </w:p>
        </w:tc>
        <w:tc>
          <w:tcPr>
            <w:tcW w:w="0" w:type="dxa"/>
            <w:vAlign w:val="bottom"/>
          </w:tcPr>
          <w:p>
            <w:pPr>
              <w:spacing w:after="0"/>
              <w:rPr>
                <w:sz w:val="1"/>
                <w:szCs w:val="1"/>
                <w:color w:val="auto"/>
              </w:rPr>
            </w:pPr>
          </w:p>
        </w:tc>
      </w:tr>
      <w:tr>
        <w:trPr>
          <w:trHeight w:val="158"/>
        </w:trPr>
        <w:tc>
          <w:tcPr>
            <w:tcW w:w="2140" w:type="dxa"/>
            <w:vAlign w:val="bottom"/>
          </w:tcPr>
          <w:p>
            <w:pPr>
              <w:spacing w:after="0" w:line="159" w:lineRule="exact"/>
              <w:rPr>
                <w:sz w:val="20"/>
                <w:szCs w:val="20"/>
                <w:color w:val="auto"/>
              </w:rPr>
            </w:pPr>
            <w:r>
              <w:rPr>
                <w:rFonts w:ascii="Arial" w:cs="Arial" w:eastAsia="Arial" w:hAnsi="Arial"/>
                <w:sz w:val="14"/>
                <w:szCs w:val="14"/>
                <w:b w:val="1"/>
                <w:bCs w:val="1"/>
                <w:color w:val="455986"/>
              </w:rPr>
              <w:t>Customer</w:t>
            </w:r>
          </w:p>
        </w:tc>
        <w:tc>
          <w:tcPr>
            <w:tcW w:w="30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2"/>
        </w:trPr>
        <w:tc>
          <w:tcPr>
            <w:tcW w:w="2140" w:type="dxa"/>
            <w:vAlign w:val="bottom"/>
            <w:tcBorders>
              <w:bottom w:val="single" w:sz="8" w:color="231F20"/>
            </w:tcBorders>
          </w:tcPr>
          <w:p>
            <w:pPr>
              <w:spacing w:after="0"/>
              <w:rPr>
                <w:sz w:val="20"/>
                <w:szCs w:val="20"/>
                <w:color w:val="auto"/>
              </w:rPr>
            </w:pPr>
            <w:r>
              <w:rPr>
                <w:rFonts w:ascii="Arial" w:cs="Arial" w:eastAsia="Arial" w:hAnsi="Arial"/>
                <w:sz w:val="14"/>
                <w:szCs w:val="14"/>
                <w:b w:val="1"/>
                <w:bCs w:val="1"/>
                <w:color w:val="455986"/>
              </w:rPr>
              <w:t>Satisfaction</w:t>
            </w:r>
          </w:p>
        </w:tc>
        <w:tc>
          <w:tcPr>
            <w:tcW w:w="3000" w:type="dxa"/>
            <w:vAlign w:val="bottom"/>
            <w:tcBorders>
              <w:bottom w:val="single" w:sz="8" w:color="231F20"/>
            </w:tcBorders>
          </w:tcPr>
          <w:p>
            <w:pPr>
              <w:spacing w:after="0"/>
              <w:rPr>
                <w:sz w:val="20"/>
                <w:szCs w:val="20"/>
                <w:color w:val="auto"/>
              </w:rPr>
            </w:pPr>
            <w:r>
              <w:rPr>
                <w:rFonts w:ascii="Arial" w:cs="Arial" w:eastAsia="Arial" w:hAnsi="Arial"/>
                <w:sz w:val="14"/>
                <w:szCs w:val="14"/>
                <w:color w:val="231F20"/>
              </w:rPr>
              <w:t>Essential Service Level</w:t>
            </w:r>
          </w:p>
        </w:tc>
        <w:tc>
          <w:tcPr>
            <w:tcW w:w="1020" w:type="dxa"/>
            <w:vAlign w:val="bottom"/>
            <w:tcBorders>
              <w:bottom w:val="single" w:sz="8" w:color="231F20"/>
            </w:tcBorders>
          </w:tcPr>
          <w:p>
            <w:pPr>
              <w:jc w:val="right"/>
              <w:ind w:right="113"/>
              <w:spacing w:after="0"/>
              <w:rPr>
                <w:sz w:val="20"/>
                <w:szCs w:val="20"/>
                <w:color w:val="auto"/>
              </w:rPr>
            </w:pPr>
            <w:r>
              <w:rPr>
                <w:rFonts w:ascii="Arial" w:cs="Arial" w:eastAsia="Arial" w:hAnsi="Arial"/>
                <w:sz w:val="14"/>
                <w:szCs w:val="14"/>
                <w:color w:val="231F20"/>
              </w:rPr>
              <w:t>80.00%</w:t>
            </w:r>
          </w:p>
        </w:tc>
        <w:tc>
          <w:tcPr>
            <w:tcW w:w="900" w:type="dxa"/>
            <w:vAlign w:val="bottom"/>
            <w:tcBorders>
              <w:bottom w:val="single" w:sz="8" w:color="231F20"/>
            </w:tcBorders>
          </w:tcPr>
          <w:p>
            <w:pPr>
              <w:jc w:val="right"/>
              <w:ind w:right="113"/>
              <w:spacing w:after="0"/>
              <w:rPr>
                <w:sz w:val="20"/>
                <w:szCs w:val="20"/>
                <w:color w:val="auto"/>
              </w:rPr>
            </w:pPr>
            <w:r>
              <w:rPr>
                <w:rFonts w:ascii="Arial" w:cs="Arial" w:eastAsia="Arial" w:hAnsi="Arial"/>
                <w:sz w:val="14"/>
                <w:szCs w:val="14"/>
                <w:color w:val="231F20"/>
              </w:rPr>
              <w:t>82.00%</w:t>
            </w:r>
          </w:p>
        </w:tc>
        <w:tc>
          <w:tcPr>
            <w:tcW w:w="900" w:type="dxa"/>
            <w:vAlign w:val="bottom"/>
            <w:tcBorders>
              <w:bottom w:val="single" w:sz="8" w:color="231F20"/>
            </w:tcBorders>
          </w:tcPr>
          <w:p>
            <w:pPr>
              <w:jc w:val="right"/>
              <w:ind w:right="113"/>
              <w:spacing w:after="0"/>
              <w:rPr>
                <w:sz w:val="20"/>
                <w:szCs w:val="20"/>
                <w:color w:val="auto"/>
              </w:rPr>
            </w:pPr>
            <w:r>
              <w:rPr>
                <w:rFonts w:ascii="Arial" w:cs="Arial" w:eastAsia="Arial" w:hAnsi="Arial"/>
                <w:sz w:val="14"/>
                <w:szCs w:val="14"/>
                <w:color w:val="231F20"/>
              </w:rPr>
              <w:t>84.00%</w:t>
            </w:r>
          </w:p>
        </w:tc>
        <w:tc>
          <w:tcPr>
            <w:tcW w:w="880" w:type="dxa"/>
            <w:vAlign w:val="bottom"/>
            <w:tcBorders>
              <w:bottom w:val="single" w:sz="8" w:color="231F20"/>
            </w:tcBorders>
          </w:tcPr>
          <w:p>
            <w:pPr>
              <w:jc w:val="right"/>
              <w:ind w:right="93"/>
              <w:spacing w:after="0"/>
              <w:rPr>
                <w:sz w:val="20"/>
                <w:szCs w:val="20"/>
                <w:color w:val="auto"/>
              </w:rPr>
            </w:pPr>
            <w:r>
              <w:rPr>
                <w:rFonts w:ascii="Arial" w:cs="Arial" w:eastAsia="Arial" w:hAnsi="Arial"/>
                <w:sz w:val="14"/>
                <w:szCs w:val="14"/>
                <w:color w:val="231F20"/>
              </w:rPr>
              <w:t>87.73%</w:t>
            </w:r>
          </w:p>
        </w:tc>
        <w:tc>
          <w:tcPr>
            <w:tcW w:w="940" w:type="dxa"/>
            <w:vAlign w:val="bottom"/>
            <w:tcBorders>
              <w:bottom w:val="single" w:sz="8" w:color="231F20"/>
            </w:tcBorders>
          </w:tcPr>
          <w:p>
            <w:pPr>
              <w:jc w:val="right"/>
              <w:ind w:right="133"/>
              <w:spacing w:after="0"/>
              <w:rPr>
                <w:sz w:val="20"/>
                <w:szCs w:val="20"/>
                <w:color w:val="auto"/>
              </w:rPr>
            </w:pPr>
            <w:r>
              <w:rPr>
                <w:rFonts w:ascii="Arial" w:cs="Arial" w:eastAsia="Arial" w:hAnsi="Arial"/>
                <w:sz w:val="14"/>
                <w:szCs w:val="14"/>
                <w:color w:val="231F20"/>
              </w:rPr>
              <w:t>150.00%</w:t>
            </w:r>
          </w:p>
        </w:tc>
        <w:tc>
          <w:tcPr>
            <w:tcW w:w="640" w:type="dxa"/>
            <w:vAlign w:val="bottom"/>
            <w:tcBorders>
              <w:bottom w:val="single" w:sz="8" w:color="231F20"/>
            </w:tcBorders>
          </w:tcPr>
          <w:p>
            <w:pPr>
              <w:jc w:val="right"/>
              <w:spacing w:after="0"/>
              <w:rPr>
                <w:sz w:val="20"/>
                <w:szCs w:val="20"/>
                <w:color w:val="auto"/>
              </w:rPr>
            </w:pPr>
            <w:r>
              <w:rPr>
                <w:rFonts w:ascii="Arial" w:cs="Arial" w:eastAsia="Arial" w:hAnsi="Arial"/>
                <w:sz w:val="14"/>
                <w:szCs w:val="14"/>
                <w:color w:val="231F20"/>
              </w:rPr>
              <w:t>10.0%</w:t>
            </w:r>
          </w:p>
        </w:tc>
        <w:tc>
          <w:tcPr>
            <w:tcW w:w="820" w:type="dxa"/>
            <w:vAlign w:val="bottom"/>
            <w:tcBorders>
              <w:bottom w:val="single" w:sz="8" w:color="231F20"/>
            </w:tcBorders>
          </w:tcPr>
          <w:p>
            <w:pPr>
              <w:jc w:val="right"/>
              <w:spacing w:after="0"/>
              <w:rPr>
                <w:sz w:val="20"/>
                <w:szCs w:val="20"/>
                <w:color w:val="auto"/>
              </w:rPr>
            </w:pPr>
            <w:r>
              <w:rPr>
                <w:rFonts w:ascii="Arial" w:cs="Arial" w:eastAsia="Arial" w:hAnsi="Arial"/>
                <w:sz w:val="14"/>
                <w:szCs w:val="14"/>
                <w:b w:val="1"/>
                <w:bCs w:val="1"/>
                <w:color w:val="4395D4"/>
              </w:rPr>
              <w:t>15.00%</w:t>
            </w:r>
          </w:p>
        </w:tc>
        <w:tc>
          <w:tcPr>
            <w:tcW w:w="0" w:type="dxa"/>
            <w:vAlign w:val="bottom"/>
          </w:tcPr>
          <w:p>
            <w:pPr>
              <w:spacing w:after="0"/>
              <w:rPr>
                <w:sz w:val="1"/>
                <w:szCs w:val="1"/>
                <w:color w:val="auto"/>
              </w:rPr>
            </w:pPr>
          </w:p>
        </w:tc>
      </w:tr>
      <w:tr>
        <w:trPr>
          <w:trHeight w:val="197"/>
        </w:trPr>
        <w:tc>
          <w:tcPr>
            <w:tcW w:w="2140" w:type="dxa"/>
            <w:vAlign w:val="bottom"/>
            <w:tcBorders>
              <w:bottom w:val="single" w:sz="8" w:color="455986"/>
            </w:tcBorders>
          </w:tcPr>
          <w:p>
            <w:pPr>
              <w:spacing w:after="0"/>
              <w:rPr>
                <w:sz w:val="20"/>
                <w:szCs w:val="20"/>
                <w:color w:val="auto"/>
              </w:rPr>
            </w:pPr>
            <w:r>
              <w:rPr>
                <w:rFonts w:ascii="Arial" w:cs="Arial" w:eastAsia="Arial" w:hAnsi="Arial"/>
                <w:sz w:val="14"/>
                <w:szCs w:val="14"/>
                <w:b w:val="1"/>
                <w:bCs w:val="1"/>
                <w:color w:val="455986"/>
              </w:rPr>
              <w:t>Individual Goals</w:t>
            </w:r>
          </w:p>
        </w:tc>
        <w:tc>
          <w:tcPr>
            <w:tcW w:w="3000" w:type="dxa"/>
            <w:vAlign w:val="bottom"/>
            <w:tcBorders>
              <w:bottom w:val="single" w:sz="8" w:color="455986"/>
            </w:tcBorders>
          </w:tcPr>
          <w:p>
            <w:pPr>
              <w:spacing w:after="0"/>
              <w:rPr>
                <w:sz w:val="20"/>
                <w:szCs w:val="20"/>
                <w:color w:val="auto"/>
              </w:rPr>
            </w:pPr>
            <w:r>
              <w:rPr>
                <w:rFonts w:ascii="Arial" w:cs="Arial" w:eastAsia="Arial" w:hAnsi="Arial"/>
                <w:sz w:val="14"/>
                <w:szCs w:val="14"/>
                <w:color w:val="231F20"/>
              </w:rPr>
              <w:t>Individual Goals</w:t>
            </w:r>
          </w:p>
        </w:tc>
        <w:tc>
          <w:tcPr>
            <w:tcW w:w="1020" w:type="dxa"/>
            <w:vAlign w:val="bottom"/>
            <w:tcBorders>
              <w:bottom w:val="single" w:sz="8" w:color="455986"/>
            </w:tcBorders>
          </w:tcPr>
          <w:p>
            <w:pPr>
              <w:jc w:val="right"/>
              <w:ind w:right="113"/>
              <w:spacing w:after="0"/>
              <w:rPr>
                <w:sz w:val="20"/>
                <w:szCs w:val="20"/>
                <w:color w:val="auto"/>
              </w:rPr>
            </w:pPr>
            <w:r>
              <w:rPr>
                <w:rFonts w:ascii="Arial" w:cs="Arial" w:eastAsia="Arial" w:hAnsi="Arial"/>
                <w:sz w:val="14"/>
                <w:szCs w:val="14"/>
                <w:color w:val="231F20"/>
              </w:rPr>
              <w:t>90.00%</w:t>
            </w:r>
          </w:p>
        </w:tc>
        <w:tc>
          <w:tcPr>
            <w:tcW w:w="900" w:type="dxa"/>
            <w:vAlign w:val="bottom"/>
            <w:tcBorders>
              <w:bottom w:val="single" w:sz="8" w:color="455986"/>
            </w:tcBorders>
          </w:tcPr>
          <w:p>
            <w:pPr>
              <w:jc w:val="right"/>
              <w:ind w:right="113"/>
              <w:spacing w:after="0"/>
              <w:rPr>
                <w:sz w:val="20"/>
                <w:szCs w:val="20"/>
                <w:color w:val="auto"/>
              </w:rPr>
            </w:pPr>
            <w:r>
              <w:rPr>
                <w:rFonts w:ascii="Arial" w:cs="Arial" w:eastAsia="Arial" w:hAnsi="Arial"/>
                <w:sz w:val="14"/>
                <w:szCs w:val="14"/>
                <w:color w:val="231F20"/>
              </w:rPr>
              <w:t>100.00%</w:t>
            </w:r>
          </w:p>
        </w:tc>
        <w:tc>
          <w:tcPr>
            <w:tcW w:w="900" w:type="dxa"/>
            <w:vAlign w:val="bottom"/>
            <w:tcBorders>
              <w:bottom w:val="single" w:sz="8" w:color="455986"/>
            </w:tcBorders>
          </w:tcPr>
          <w:p>
            <w:pPr>
              <w:jc w:val="right"/>
              <w:ind w:right="113"/>
              <w:spacing w:after="0"/>
              <w:rPr>
                <w:sz w:val="20"/>
                <w:szCs w:val="20"/>
                <w:color w:val="auto"/>
              </w:rPr>
            </w:pPr>
            <w:r>
              <w:rPr>
                <w:rFonts w:ascii="Arial" w:cs="Arial" w:eastAsia="Arial" w:hAnsi="Arial"/>
                <w:sz w:val="14"/>
                <w:szCs w:val="14"/>
                <w:color w:val="231F20"/>
              </w:rPr>
              <w:t>110.00%</w:t>
            </w:r>
          </w:p>
        </w:tc>
        <w:tc>
          <w:tcPr>
            <w:tcW w:w="880" w:type="dxa"/>
            <w:vAlign w:val="bottom"/>
            <w:tcBorders>
              <w:bottom w:val="single" w:sz="8" w:color="455986"/>
            </w:tcBorders>
          </w:tcPr>
          <w:p>
            <w:pPr>
              <w:jc w:val="right"/>
              <w:ind w:right="93"/>
              <w:spacing w:after="0"/>
              <w:rPr>
                <w:sz w:val="20"/>
                <w:szCs w:val="20"/>
                <w:color w:val="auto"/>
              </w:rPr>
            </w:pPr>
            <w:r>
              <w:rPr>
                <w:rFonts w:ascii="Arial" w:cs="Arial" w:eastAsia="Arial" w:hAnsi="Arial"/>
                <w:sz w:val="14"/>
                <w:szCs w:val="14"/>
                <w:color w:val="231F20"/>
              </w:rPr>
              <w:t>100%</w:t>
            </w:r>
          </w:p>
        </w:tc>
        <w:tc>
          <w:tcPr>
            <w:tcW w:w="940" w:type="dxa"/>
            <w:vAlign w:val="bottom"/>
            <w:tcBorders>
              <w:bottom w:val="single" w:sz="8" w:color="455986"/>
            </w:tcBorders>
          </w:tcPr>
          <w:p>
            <w:pPr>
              <w:jc w:val="right"/>
              <w:ind w:right="133"/>
              <w:spacing w:after="0"/>
              <w:rPr>
                <w:sz w:val="20"/>
                <w:szCs w:val="20"/>
                <w:color w:val="auto"/>
              </w:rPr>
            </w:pPr>
            <w:r>
              <w:rPr>
                <w:rFonts w:ascii="Arial" w:cs="Arial" w:eastAsia="Arial" w:hAnsi="Arial"/>
                <w:sz w:val="14"/>
                <w:szCs w:val="14"/>
                <w:color w:val="231F20"/>
              </w:rPr>
              <w:t>100.00%</w:t>
            </w:r>
          </w:p>
        </w:tc>
        <w:tc>
          <w:tcPr>
            <w:tcW w:w="640" w:type="dxa"/>
            <w:vAlign w:val="bottom"/>
            <w:tcBorders>
              <w:bottom w:val="single" w:sz="8" w:color="455986"/>
            </w:tcBorders>
          </w:tcPr>
          <w:p>
            <w:pPr>
              <w:jc w:val="right"/>
              <w:spacing w:after="0"/>
              <w:rPr>
                <w:sz w:val="20"/>
                <w:szCs w:val="20"/>
                <w:color w:val="auto"/>
              </w:rPr>
            </w:pPr>
            <w:r>
              <w:rPr>
                <w:rFonts w:ascii="Arial" w:cs="Arial" w:eastAsia="Arial" w:hAnsi="Arial"/>
                <w:sz w:val="14"/>
                <w:szCs w:val="14"/>
                <w:color w:val="231F20"/>
              </w:rPr>
              <w:t>10.0%</w:t>
            </w:r>
          </w:p>
        </w:tc>
        <w:tc>
          <w:tcPr>
            <w:tcW w:w="820" w:type="dxa"/>
            <w:vAlign w:val="bottom"/>
            <w:tcBorders>
              <w:bottom w:val="single" w:sz="8" w:color="455986"/>
            </w:tcBorders>
          </w:tcPr>
          <w:p>
            <w:pPr>
              <w:jc w:val="right"/>
              <w:spacing w:after="0"/>
              <w:rPr>
                <w:sz w:val="20"/>
                <w:szCs w:val="20"/>
                <w:color w:val="auto"/>
              </w:rPr>
            </w:pPr>
            <w:r>
              <w:rPr>
                <w:rFonts w:ascii="Arial" w:cs="Arial" w:eastAsia="Arial" w:hAnsi="Arial"/>
                <w:sz w:val="14"/>
                <w:szCs w:val="14"/>
                <w:b w:val="1"/>
                <w:bCs w:val="1"/>
                <w:color w:val="4395D4"/>
              </w:rPr>
              <w:t>10.00%</w:t>
            </w:r>
          </w:p>
        </w:tc>
        <w:tc>
          <w:tcPr>
            <w:tcW w:w="0" w:type="dxa"/>
            <w:vAlign w:val="bottom"/>
          </w:tcPr>
          <w:p>
            <w:pPr>
              <w:spacing w:after="0"/>
              <w:rPr>
                <w:sz w:val="1"/>
                <w:szCs w:val="1"/>
                <w:color w:val="auto"/>
              </w:rPr>
            </w:pPr>
          </w:p>
        </w:tc>
      </w:tr>
      <w:tr>
        <w:trPr>
          <w:trHeight w:val="197"/>
        </w:trPr>
        <w:tc>
          <w:tcPr>
            <w:tcW w:w="2140" w:type="dxa"/>
            <w:vAlign w:val="bottom"/>
            <w:tcBorders>
              <w:bottom w:val="single" w:sz="8" w:color="455986"/>
            </w:tcBorders>
            <w:shd w:val="clear" w:color="auto" w:fill="2494D8"/>
          </w:tcPr>
          <w:p>
            <w:pPr>
              <w:spacing w:after="0"/>
              <w:rPr>
                <w:sz w:val="17"/>
                <w:szCs w:val="17"/>
                <w:color w:val="auto"/>
              </w:rPr>
            </w:pPr>
          </w:p>
        </w:tc>
        <w:tc>
          <w:tcPr>
            <w:tcW w:w="3000" w:type="dxa"/>
            <w:vAlign w:val="bottom"/>
            <w:tcBorders>
              <w:bottom w:val="single" w:sz="8" w:color="455986"/>
            </w:tcBorders>
            <w:shd w:val="clear" w:color="auto" w:fill="2494D8"/>
          </w:tcPr>
          <w:p>
            <w:pPr>
              <w:spacing w:after="0"/>
              <w:rPr>
                <w:sz w:val="17"/>
                <w:szCs w:val="17"/>
                <w:color w:val="auto"/>
              </w:rPr>
            </w:pPr>
          </w:p>
        </w:tc>
        <w:tc>
          <w:tcPr>
            <w:tcW w:w="1020" w:type="dxa"/>
            <w:vAlign w:val="bottom"/>
            <w:tcBorders>
              <w:bottom w:val="single" w:sz="8" w:color="455986"/>
            </w:tcBorders>
            <w:shd w:val="clear" w:color="auto" w:fill="2494D8"/>
          </w:tcPr>
          <w:p>
            <w:pPr>
              <w:spacing w:after="0"/>
              <w:rPr>
                <w:sz w:val="17"/>
                <w:szCs w:val="17"/>
                <w:color w:val="auto"/>
              </w:rPr>
            </w:pPr>
          </w:p>
        </w:tc>
        <w:tc>
          <w:tcPr>
            <w:tcW w:w="900" w:type="dxa"/>
            <w:vAlign w:val="bottom"/>
            <w:tcBorders>
              <w:bottom w:val="single" w:sz="8" w:color="455986"/>
            </w:tcBorders>
            <w:shd w:val="clear" w:color="auto" w:fill="2494D8"/>
          </w:tcPr>
          <w:p>
            <w:pPr>
              <w:spacing w:after="0"/>
              <w:rPr>
                <w:sz w:val="17"/>
                <w:szCs w:val="17"/>
                <w:color w:val="auto"/>
              </w:rPr>
            </w:pPr>
          </w:p>
        </w:tc>
        <w:tc>
          <w:tcPr>
            <w:tcW w:w="900" w:type="dxa"/>
            <w:vAlign w:val="bottom"/>
            <w:tcBorders>
              <w:bottom w:val="single" w:sz="8" w:color="455986"/>
            </w:tcBorders>
            <w:shd w:val="clear" w:color="auto" w:fill="2494D8"/>
          </w:tcPr>
          <w:p>
            <w:pPr>
              <w:spacing w:after="0"/>
              <w:rPr>
                <w:sz w:val="17"/>
                <w:szCs w:val="17"/>
                <w:color w:val="auto"/>
              </w:rPr>
            </w:pPr>
          </w:p>
        </w:tc>
        <w:tc>
          <w:tcPr>
            <w:tcW w:w="880" w:type="dxa"/>
            <w:vAlign w:val="bottom"/>
            <w:tcBorders>
              <w:bottom w:val="single" w:sz="8" w:color="455986"/>
            </w:tcBorders>
            <w:shd w:val="clear" w:color="auto" w:fill="2494D8"/>
          </w:tcPr>
          <w:p>
            <w:pPr>
              <w:spacing w:after="0"/>
              <w:rPr>
                <w:sz w:val="17"/>
                <w:szCs w:val="17"/>
                <w:color w:val="auto"/>
              </w:rPr>
            </w:pPr>
          </w:p>
        </w:tc>
        <w:tc>
          <w:tcPr>
            <w:tcW w:w="1580" w:type="dxa"/>
            <w:vAlign w:val="bottom"/>
            <w:tcBorders>
              <w:bottom w:val="single" w:sz="8" w:color="455986"/>
            </w:tcBorders>
            <w:gridSpan w:val="2"/>
            <w:shd w:val="clear" w:color="auto" w:fill="2494D8"/>
          </w:tcPr>
          <w:p>
            <w:pPr>
              <w:jc w:val="right"/>
              <w:spacing w:after="0"/>
              <w:rPr>
                <w:sz w:val="20"/>
                <w:szCs w:val="20"/>
                <w:color w:val="auto"/>
              </w:rPr>
            </w:pPr>
            <w:r>
              <w:rPr>
                <w:rFonts w:ascii="Arial" w:cs="Arial" w:eastAsia="Arial" w:hAnsi="Arial"/>
                <w:sz w:val="14"/>
                <w:szCs w:val="14"/>
                <w:b w:val="1"/>
                <w:bCs w:val="1"/>
                <w:color w:val="FFFFFF"/>
              </w:rPr>
              <w:t>Total Achievement</w:t>
            </w:r>
          </w:p>
        </w:tc>
        <w:tc>
          <w:tcPr>
            <w:tcW w:w="820" w:type="dxa"/>
            <w:vAlign w:val="bottom"/>
            <w:tcBorders>
              <w:bottom w:val="single" w:sz="8" w:color="455986"/>
            </w:tcBorders>
            <w:shd w:val="clear" w:color="auto" w:fill="2494D8"/>
          </w:tcPr>
          <w:p>
            <w:pPr>
              <w:jc w:val="right"/>
              <w:spacing w:after="0"/>
              <w:rPr>
                <w:sz w:val="20"/>
                <w:szCs w:val="20"/>
                <w:color w:val="auto"/>
              </w:rPr>
            </w:pPr>
            <w:r>
              <w:rPr>
                <w:rFonts w:ascii="Arial" w:cs="Arial" w:eastAsia="Arial" w:hAnsi="Arial"/>
                <w:sz w:val="14"/>
                <w:szCs w:val="14"/>
                <w:color w:val="FFFFFF"/>
              </w:rPr>
              <w:t>137.10%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121285</wp:posOffset>
            </wp:positionV>
            <wp:extent cx="7139940" cy="825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139940" cy="8255"/>
                    </a:xfrm>
                    <a:prstGeom prst="rect">
                      <a:avLst/>
                    </a:prstGeom>
                    <a:noFill/>
                  </pic:spPr>
                </pic:pic>
              </a:graphicData>
            </a:graphic>
          </wp:anchor>
        </w:drawing>
      </w:r>
    </w:p>
    <w:p>
      <w:pPr>
        <w:spacing w:after="0" w:line="217" w:lineRule="exact"/>
        <w:rPr>
          <w:sz w:val="20"/>
          <w:szCs w:val="20"/>
          <w:color w:val="auto"/>
        </w:rPr>
      </w:pPr>
    </w:p>
    <w:p>
      <w:pPr>
        <w:ind w:left="7940"/>
        <w:spacing w:after="0"/>
        <w:tabs>
          <w:tab w:leader="none" w:pos="11060" w:val="left"/>
        </w:tabs>
        <w:rPr>
          <w:sz w:val="20"/>
          <w:szCs w:val="20"/>
          <w:color w:val="auto"/>
        </w:rPr>
      </w:pPr>
      <w:r>
        <w:rPr>
          <w:rFonts w:ascii="Arial" w:cs="Arial" w:eastAsia="Arial" w:hAnsi="Arial"/>
          <w:sz w:val="12"/>
          <w:szCs w:val="12"/>
          <w:color w:val="4395D4"/>
        </w:rPr>
        <w:t xml:space="preserve">ESSENTIAL UTILITIES, INC. </w:t>
      </w:r>
      <w:r>
        <w:rPr>
          <w:rFonts w:ascii="Arial" w:cs="Arial" w:eastAsia="Arial" w:hAnsi="Arial"/>
          <w:sz w:val="12"/>
          <w:szCs w:val="12"/>
          <w:color w:val="455986"/>
        </w:rPr>
        <w:t>2021 PROXY STATEMENT</w:t>
      </w:r>
      <w:r>
        <w:rPr>
          <w:sz w:val="20"/>
          <w:szCs w:val="20"/>
          <w:color w:val="auto"/>
        </w:rPr>
        <w:tab/>
      </w:r>
      <w:r>
        <w:rPr>
          <w:rFonts w:ascii="Arial" w:cs="Arial" w:eastAsia="Arial" w:hAnsi="Arial"/>
          <w:sz w:val="14"/>
          <w:szCs w:val="14"/>
          <w:color w:val="455986"/>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339090</wp:posOffset>
            </wp:positionV>
            <wp:extent cx="7139940" cy="2413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139940" cy="24130"/>
                    </a:xfrm>
                    <a:prstGeom prst="rect">
                      <a:avLst/>
                    </a:prstGeom>
                    <a:noFill/>
                  </pic:spPr>
                </pic:pic>
              </a:graphicData>
            </a:graphic>
          </wp:anchor>
        </w:drawing>
      </w:r>
    </w:p>
    <w:p>
      <w:pPr>
        <w:sectPr>
          <w:pgSz w:w="11900" w:h="16838" w:orient="portrait"/>
          <w:cols w:equalWidth="0" w:num="1">
            <w:col w:w="11240"/>
          </w:cols>
          <w:pgMar w:left="320" w:top="636" w:right="339" w:bottom="1440" w:gutter="0" w:footer="0" w:header="0"/>
        </w:sectPr>
      </w:pPr>
    </w:p>
    <w:bookmarkStart w:id="56" w:name="page57"/>
    <w:bookmarkEnd w:id="56"/>
    <w:p>
      <w:pPr>
        <w:spacing w:after="0"/>
        <w:rPr>
          <w:sz w:val="20"/>
          <w:szCs w:val="20"/>
          <w:color w:val="auto"/>
        </w:rPr>
      </w:pPr>
      <w:r>
        <w:rPr>
          <w:rFonts w:ascii="Arial" w:cs="Arial" w:eastAsia="Arial" w:hAnsi="Arial"/>
          <w:sz w:val="14"/>
          <w:szCs w:val="14"/>
          <w:b w:val="1"/>
          <w:bCs w:val="1"/>
          <w:color w:val="455986"/>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27940</wp:posOffset>
            </wp:positionV>
            <wp:extent cx="7139940" cy="825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139940" cy="8255"/>
                    </a:xfrm>
                    <a:prstGeom prst="rect">
                      <a:avLst/>
                    </a:prstGeom>
                    <a:noFill/>
                  </pic:spPr>
                </pic:pic>
              </a:graphicData>
            </a:graphic>
          </wp:anchor>
        </w:drawing>
      </w:r>
    </w:p>
    <w:p>
      <w:pPr>
        <w:spacing w:after="0" w:line="76" w:lineRule="exact"/>
        <w:rPr>
          <w:sz w:val="20"/>
          <w:szCs w:val="20"/>
          <w:color w:val="auto"/>
        </w:rPr>
      </w:pPr>
    </w:p>
    <w:p>
      <w:pPr>
        <w:spacing w:after="0"/>
        <w:rPr>
          <w:sz w:val="20"/>
          <w:szCs w:val="20"/>
          <w:color w:val="auto"/>
        </w:rPr>
      </w:pPr>
      <w:r>
        <w:rPr>
          <w:rFonts w:ascii="Arial" w:cs="Arial" w:eastAsia="Arial" w:hAnsi="Arial"/>
          <w:sz w:val="14"/>
          <w:szCs w:val="14"/>
          <w:color w:val="4395D4"/>
        </w:rPr>
        <w:t xml:space="preserve">Section 3 </w:t>
      </w:r>
      <w:r>
        <w:rPr>
          <w:rFonts w:ascii="Arial" w:cs="Arial" w:eastAsia="Arial" w:hAnsi="Arial"/>
          <w:sz w:val="14"/>
          <w:szCs w:val="14"/>
          <w:color w:val="231F20"/>
        </w:rPr>
        <w:t>2020 Executive Compensation Program</w:t>
      </w:r>
    </w:p>
    <w:p>
      <w:pPr>
        <w:spacing w:after="0" w:line="174" w:lineRule="exact"/>
        <w:rPr>
          <w:sz w:val="20"/>
          <w:szCs w:val="20"/>
          <w:color w:val="auto"/>
        </w:rPr>
      </w:pPr>
    </w:p>
    <w:p>
      <w:pPr>
        <w:spacing w:after="0"/>
        <w:rPr>
          <w:sz w:val="20"/>
          <w:szCs w:val="20"/>
          <w:color w:val="auto"/>
        </w:rPr>
      </w:pPr>
      <w:r>
        <w:rPr>
          <w:rFonts w:ascii="Arial" w:cs="Arial" w:eastAsia="Arial" w:hAnsi="Arial"/>
          <w:sz w:val="14"/>
          <w:szCs w:val="14"/>
          <w:color w:val="231F20"/>
        </w:rPr>
        <w:t>Additionally, the named executive officers had the following individual goals and achieved the results listed in the table below:</w:t>
      </w:r>
    </w:p>
    <w:p>
      <w:pPr>
        <w:spacing w:after="0" w:line="148" w:lineRule="exact"/>
        <w:rPr>
          <w:sz w:val="20"/>
          <w:szCs w:val="20"/>
          <w:color w:val="auto"/>
        </w:rPr>
      </w:pPr>
    </w:p>
    <w:p>
      <w:pPr>
        <w:spacing w:after="0"/>
        <w:rPr>
          <w:sz w:val="20"/>
          <w:szCs w:val="20"/>
          <w:color w:val="auto"/>
        </w:rPr>
      </w:pPr>
      <w:r>
        <w:rPr>
          <w:rFonts w:ascii="Arial" w:cs="Arial" w:eastAsia="Arial" w:hAnsi="Arial"/>
          <w:sz w:val="15"/>
          <w:szCs w:val="15"/>
          <w:b w:val="1"/>
          <w:bCs w:val="1"/>
          <w:color w:val="231F20"/>
        </w:rPr>
        <w:t>2020 Individual Metric Objectives in Short Term Incentive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113030</wp:posOffset>
            </wp:positionV>
            <wp:extent cx="7139940" cy="390652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139940" cy="3906520"/>
                    </a:xfrm>
                    <a:prstGeom prst="rect">
                      <a:avLst/>
                    </a:prstGeom>
                    <a:noFill/>
                  </pic:spPr>
                </pic:pic>
              </a:graphicData>
            </a:graphic>
          </wp:anchor>
        </w:drawing>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1260" w:type="dxa"/>
            <w:vAlign w:val="bottom"/>
          </w:tcPr>
          <w:p>
            <w:pPr>
              <w:spacing w:after="0"/>
              <w:rPr>
                <w:sz w:val="16"/>
                <w:szCs w:val="16"/>
                <w:color w:val="auto"/>
              </w:rPr>
            </w:pPr>
          </w:p>
        </w:tc>
        <w:tc>
          <w:tcPr>
            <w:tcW w:w="4140" w:type="dxa"/>
            <w:vAlign w:val="bottom"/>
          </w:tcPr>
          <w:p>
            <w:pPr>
              <w:ind w:left="440"/>
              <w:spacing w:after="0"/>
              <w:rPr>
                <w:sz w:val="20"/>
                <w:szCs w:val="20"/>
                <w:color w:val="auto"/>
              </w:rPr>
            </w:pPr>
            <w:r>
              <w:rPr>
                <w:rFonts w:ascii="Arial" w:cs="Arial" w:eastAsia="Arial" w:hAnsi="Arial"/>
                <w:sz w:val="14"/>
                <w:szCs w:val="14"/>
                <w:color w:val="455986"/>
              </w:rPr>
              <w:t>Goals</w:t>
            </w:r>
          </w:p>
        </w:tc>
        <w:tc>
          <w:tcPr>
            <w:tcW w:w="5840" w:type="dxa"/>
            <w:vAlign w:val="bottom"/>
          </w:tcPr>
          <w:p>
            <w:pPr>
              <w:ind w:left="880"/>
              <w:spacing w:after="0"/>
              <w:rPr>
                <w:sz w:val="20"/>
                <w:szCs w:val="20"/>
                <w:color w:val="auto"/>
              </w:rPr>
            </w:pPr>
            <w:r>
              <w:rPr>
                <w:rFonts w:ascii="Arial" w:cs="Arial" w:eastAsia="Arial" w:hAnsi="Arial"/>
                <w:sz w:val="14"/>
                <w:szCs w:val="14"/>
                <w:color w:val="455986"/>
              </w:rPr>
              <w:t>Results</w:t>
            </w:r>
          </w:p>
        </w:tc>
      </w:tr>
      <w:tr>
        <w:trPr>
          <w:trHeight w:val="31"/>
        </w:trPr>
        <w:tc>
          <w:tcPr>
            <w:tcW w:w="1260" w:type="dxa"/>
            <w:vAlign w:val="bottom"/>
            <w:tcBorders>
              <w:bottom w:val="single" w:sz="8" w:color="4395D4"/>
            </w:tcBorders>
          </w:tcPr>
          <w:p>
            <w:pPr>
              <w:spacing w:after="0"/>
              <w:rPr>
                <w:sz w:val="2"/>
                <w:szCs w:val="2"/>
                <w:color w:val="auto"/>
              </w:rPr>
            </w:pPr>
          </w:p>
        </w:tc>
        <w:tc>
          <w:tcPr>
            <w:tcW w:w="4140" w:type="dxa"/>
            <w:vAlign w:val="bottom"/>
            <w:tcBorders>
              <w:bottom w:val="single" w:sz="8" w:color="4395D4"/>
            </w:tcBorders>
          </w:tcPr>
          <w:p>
            <w:pPr>
              <w:spacing w:after="0"/>
              <w:rPr>
                <w:sz w:val="2"/>
                <w:szCs w:val="2"/>
                <w:color w:val="auto"/>
              </w:rPr>
            </w:pPr>
          </w:p>
        </w:tc>
        <w:tc>
          <w:tcPr>
            <w:tcW w:w="5840" w:type="dxa"/>
            <w:vAlign w:val="bottom"/>
            <w:tcBorders>
              <w:bottom w:val="single" w:sz="8" w:color="4395D4"/>
            </w:tcBorders>
          </w:tcPr>
          <w:p>
            <w:pPr>
              <w:spacing w:after="0"/>
              <w:rPr>
                <w:sz w:val="2"/>
                <w:szCs w:val="2"/>
                <w:color w:val="auto"/>
              </w:rPr>
            </w:pPr>
          </w:p>
        </w:tc>
      </w:tr>
      <w:tr>
        <w:trPr>
          <w:trHeight w:val="174"/>
        </w:trPr>
        <w:tc>
          <w:tcPr>
            <w:tcW w:w="1260" w:type="dxa"/>
            <w:vAlign w:val="bottom"/>
          </w:tcPr>
          <w:p>
            <w:pPr>
              <w:spacing w:after="0"/>
              <w:rPr>
                <w:sz w:val="20"/>
                <w:szCs w:val="20"/>
                <w:color w:val="auto"/>
              </w:rPr>
            </w:pPr>
            <w:r>
              <w:rPr>
                <w:rFonts w:ascii="Arial" w:cs="Arial" w:eastAsia="Arial" w:hAnsi="Arial"/>
                <w:sz w:val="14"/>
                <w:szCs w:val="14"/>
                <w:b w:val="1"/>
                <w:bCs w:val="1"/>
                <w:color w:val="455986"/>
              </w:rPr>
              <w:t>Christopher</w:t>
            </w:r>
          </w:p>
        </w:tc>
        <w:tc>
          <w:tcPr>
            <w:tcW w:w="4140" w:type="dxa"/>
            <w:vAlign w:val="bottom"/>
          </w:tcPr>
          <w:p>
            <w:pPr>
              <w:ind w:left="440"/>
              <w:spacing w:after="0"/>
              <w:rPr>
                <w:sz w:val="20"/>
                <w:szCs w:val="20"/>
                <w:color w:val="auto"/>
              </w:rPr>
            </w:pPr>
            <w:r>
              <w:rPr>
                <w:rFonts w:ascii="Arial" w:cs="Arial" w:eastAsia="Arial" w:hAnsi="Arial"/>
                <w:sz w:val="14"/>
                <w:szCs w:val="14"/>
                <w:color w:val="auto"/>
              </w:rPr>
              <w:t>Close the Peoples Natural Gas Transaction.</w:t>
            </w:r>
          </w:p>
        </w:tc>
        <w:tc>
          <w:tcPr>
            <w:tcW w:w="5840" w:type="dxa"/>
            <w:vAlign w:val="bottom"/>
          </w:tcPr>
          <w:p>
            <w:pPr>
              <w:ind w:left="880"/>
              <w:spacing w:after="0"/>
              <w:rPr>
                <w:sz w:val="20"/>
                <w:szCs w:val="20"/>
                <w:color w:val="auto"/>
              </w:rPr>
            </w:pPr>
            <w:r>
              <w:rPr>
                <w:rFonts w:ascii="Arial" w:cs="Arial" w:eastAsia="Arial" w:hAnsi="Arial"/>
                <w:sz w:val="14"/>
                <w:szCs w:val="14"/>
                <w:color w:val="auto"/>
              </w:rPr>
              <w:t>Closed Peoples transaction in March 2020, leading a successful integration</w:t>
            </w:r>
          </w:p>
        </w:tc>
      </w:tr>
      <w:tr>
        <w:trPr>
          <w:trHeight w:val="155"/>
        </w:trPr>
        <w:tc>
          <w:tcPr>
            <w:tcW w:w="1260" w:type="dxa"/>
            <w:vAlign w:val="bottom"/>
          </w:tcPr>
          <w:p>
            <w:pPr>
              <w:spacing w:after="0" w:line="155" w:lineRule="exact"/>
              <w:rPr>
                <w:sz w:val="20"/>
                <w:szCs w:val="20"/>
                <w:color w:val="auto"/>
              </w:rPr>
            </w:pPr>
            <w:r>
              <w:rPr>
                <w:rFonts w:ascii="Arial" w:cs="Arial" w:eastAsia="Arial" w:hAnsi="Arial"/>
                <w:sz w:val="14"/>
                <w:szCs w:val="14"/>
                <w:b w:val="1"/>
                <w:bCs w:val="1"/>
                <w:color w:val="455986"/>
              </w:rPr>
              <w:t>H. Franklin</w:t>
            </w:r>
          </w:p>
        </w:tc>
        <w:tc>
          <w:tcPr>
            <w:tcW w:w="4140" w:type="dxa"/>
            <w:vAlign w:val="bottom"/>
          </w:tcPr>
          <w:p>
            <w:pPr>
              <w:spacing w:after="0"/>
              <w:rPr>
                <w:sz w:val="13"/>
                <w:szCs w:val="13"/>
                <w:color w:val="auto"/>
              </w:rPr>
            </w:pPr>
          </w:p>
        </w:tc>
        <w:tc>
          <w:tcPr>
            <w:tcW w:w="5840" w:type="dxa"/>
            <w:vAlign w:val="bottom"/>
          </w:tcPr>
          <w:p>
            <w:pPr>
              <w:ind w:left="880"/>
              <w:spacing w:after="0" w:line="155" w:lineRule="exact"/>
              <w:rPr>
                <w:sz w:val="20"/>
                <w:szCs w:val="20"/>
                <w:color w:val="auto"/>
              </w:rPr>
            </w:pPr>
            <w:r>
              <w:rPr>
                <w:rFonts w:ascii="Arial" w:cs="Arial" w:eastAsia="Arial" w:hAnsi="Arial"/>
                <w:sz w:val="14"/>
                <w:szCs w:val="14"/>
                <w:color w:val="auto"/>
              </w:rPr>
              <w:t>during a pandemic, mobilizing the company to serve customers without</w:t>
            </w:r>
          </w:p>
        </w:tc>
      </w:tr>
      <w:tr>
        <w:trPr>
          <w:trHeight w:val="195"/>
        </w:trPr>
        <w:tc>
          <w:tcPr>
            <w:tcW w:w="1260" w:type="dxa"/>
            <w:vAlign w:val="bottom"/>
          </w:tcPr>
          <w:p>
            <w:pPr>
              <w:spacing w:after="0"/>
              <w:rPr>
                <w:sz w:val="16"/>
                <w:szCs w:val="16"/>
                <w:color w:val="auto"/>
              </w:rPr>
            </w:pPr>
          </w:p>
        </w:tc>
        <w:tc>
          <w:tcPr>
            <w:tcW w:w="4140" w:type="dxa"/>
            <w:vAlign w:val="bottom"/>
          </w:tcPr>
          <w:p>
            <w:pPr>
              <w:spacing w:after="0"/>
              <w:rPr>
                <w:sz w:val="16"/>
                <w:szCs w:val="16"/>
                <w:color w:val="auto"/>
              </w:rPr>
            </w:pPr>
          </w:p>
        </w:tc>
        <w:tc>
          <w:tcPr>
            <w:tcW w:w="5840" w:type="dxa"/>
            <w:vAlign w:val="bottom"/>
          </w:tcPr>
          <w:p>
            <w:pPr>
              <w:ind w:left="880"/>
              <w:spacing w:after="0"/>
              <w:rPr>
                <w:sz w:val="20"/>
                <w:szCs w:val="20"/>
                <w:color w:val="auto"/>
              </w:rPr>
            </w:pPr>
            <w:r>
              <w:rPr>
                <w:rFonts w:ascii="Arial" w:cs="Arial" w:eastAsia="Arial" w:hAnsi="Arial"/>
                <w:sz w:val="14"/>
                <w:szCs w:val="14"/>
                <w:color w:val="auto"/>
              </w:rPr>
              <w:t>service challenges and moved a third of the workforce to a virtual operation.</w:t>
            </w:r>
          </w:p>
        </w:tc>
      </w:tr>
    </w:tbl>
    <w:p>
      <w:pPr>
        <w:spacing w:after="0" w:line="73" w:lineRule="exact"/>
        <w:rPr>
          <w:sz w:val="20"/>
          <w:szCs w:val="20"/>
          <w:color w:val="auto"/>
        </w:rPr>
      </w:pPr>
    </w:p>
    <w:p>
      <w:pPr>
        <w:sectPr>
          <w:pgSz w:w="11900" w:h="16838" w:orient="portrait"/>
          <w:cols w:equalWidth="0" w:num="1">
            <w:col w:w="11240"/>
          </w:cols>
          <w:pgMar w:left="320" w:top="636" w:right="339" w:bottom="1440" w:gutter="0" w:footer="0" w:header="0"/>
        </w:sectPr>
      </w:pPr>
    </w:p>
    <w:p>
      <w:pPr>
        <w:jc w:val="center"/>
        <w:ind w:left="820"/>
        <w:spacing w:after="0"/>
        <w:rPr>
          <w:sz w:val="20"/>
          <w:szCs w:val="20"/>
          <w:color w:val="auto"/>
        </w:rPr>
      </w:pPr>
      <w:r>
        <w:rPr>
          <w:rFonts w:ascii="Arial" w:cs="Arial" w:eastAsia="Arial" w:hAnsi="Arial"/>
          <w:sz w:val="14"/>
          <w:szCs w:val="14"/>
          <w:color w:val="auto"/>
        </w:rPr>
        <w:t>Prepare the DELCORA transaction for closing.</w:t>
      </w:r>
    </w:p>
    <w:p>
      <w:pPr>
        <w:spacing w:after="0" w:line="20" w:lineRule="exact"/>
        <w:rPr>
          <w:sz w:val="20"/>
          <w:szCs w:val="20"/>
          <w:color w:val="auto"/>
        </w:rPr>
      </w:pPr>
      <w:r>
        <w:rPr>
          <w:sz w:val="20"/>
          <w:szCs w:val="20"/>
          <w:color w:val="auto"/>
        </w:rPr>
        <w:br w:type="column"/>
      </w:r>
    </w:p>
    <w:p>
      <w:pPr>
        <w:ind w:right="120"/>
        <w:spacing w:after="0" w:line="278" w:lineRule="auto"/>
        <w:rPr>
          <w:sz w:val="20"/>
          <w:szCs w:val="20"/>
          <w:color w:val="auto"/>
        </w:rPr>
      </w:pPr>
      <w:r>
        <w:rPr>
          <w:rFonts w:ascii="Arial" w:cs="Arial" w:eastAsia="Arial" w:hAnsi="Arial"/>
          <w:sz w:val="14"/>
          <w:szCs w:val="14"/>
          <w:color w:val="auto"/>
        </w:rPr>
        <w:t>Significantly progressed the acquisition closure to an expected close date in 2021.</w:t>
      </w:r>
    </w:p>
    <w:p>
      <w:pPr>
        <w:spacing w:after="0" w:line="40" w:lineRule="exact"/>
        <w:rPr>
          <w:sz w:val="20"/>
          <w:szCs w:val="20"/>
          <w:color w:val="auto"/>
        </w:rPr>
      </w:pPr>
    </w:p>
    <w:p>
      <w:pPr>
        <w:sectPr>
          <w:pgSz w:w="11900" w:h="16838" w:orient="portrait"/>
          <w:cols w:equalWidth="0" w:num="2">
            <w:col w:w="5560" w:space="720"/>
            <w:col w:w="4960"/>
          </w:cols>
          <w:pgMar w:left="320" w:top="636" w:right="339" w:bottom="1440" w:gutter="0" w:footer="0" w:header="0"/>
          <w:type w:val="continuous"/>
        </w:sectPr>
      </w:pPr>
    </w:p>
    <w:tbl>
      <w:tblPr>
        <w:tblLayout w:type="fixed"/>
        <w:tblInd w:w="0" w:type="dxa"/>
        <w:tblCellMar>
          <w:top w:w="0" w:type="dxa"/>
          <w:left w:w="0" w:type="dxa"/>
          <w:bottom w:w="0" w:type="dxa"/>
          <w:right w:w="0" w:type="dxa"/>
        </w:tblCellMar>
      </w:tblPr>
      <w:tr>
        <w:trPr>
          <w:trHeight w:val="161"/>
        </w:trPr>
        <w:tc>
          <w:tcPr>
            <w:tcW w:w="1700" w:type="dxa"/>
            <w:vAlign w:val="bottom"/>
          </w:tcPr>
          <w:p>
            <w:pPr>
              <w:spacing w:after="0"/>
              <w:rPr>
                <w:sz w:val="20"/>
                <w:szCs w:val="20"/>
                <w:color w:val="auto"/>
              </w:rPr>
            </w:pPr>
            <w:r>
              <w:rPr>
                <w:rFonts w:ascii="Arial" w:cs="Arial" w:eastAsia="Arial" w:hAnsi="Arial"/>
                <w:sz w:val="14"/>
                <w:szCs w:val="14"/>
                <w:b w:val="1"/>
                <w:bCs w:val="1"/>
                <w:color w:val="455986"/>
              </w:rPr>
              <w:t>Daniel J. Schuller</w:t>
            </w:r>
          </w:p>
        </w:tc>
        <w:tc>
          <w:tcPr>
            <w:tcW w:w="4440" w:type="dxa"/>
            <w:vAlign w:val="bottom"/>
          </w:tcPr>
          <w:p>
            <w:pPr>
              <w:spacing w:after="0"/>
              <w:rPr>
                <w:sz w:val="20"/>
                <w:szCs w:val="20"/>
                <w:color w:val="auto"/>
              </w:rPr>
            </w:pPr>
            <w:r>
              <w:rPr>
                <w:rFonts w:ascii="Arial" w:cs="Arial" w:eastAsia="Arial" w:hAnsi="Arial"/>
                <w:sz w:val="14"/>
                <w:szCs w:val="14"/>
                <w:color w:val="auto"/>
              </w:rPr>
              <w:t>Raise equity and debt capital to term out the revolver, fund the</w:t>
            </w:r>
          </w:p>
        </w:tc>
        <w:tc>
          <w:tcPr>
            <w:tcW w:w="5100" w:type="dxa"/>
            <w:vAlign w:val="bottom"/>
          </w:tcPr>
          <w:p>
            <w:pPr>
              <w:ind w:left="140"/>
              <w:spacing w:after="0"/>
              <w:rPr>
                <w:sz w:val="20"/>
                <w:szCs w:val="20"/>
                <w:color w:val="auto"/>
              </w:rPr>
            </w:pPr>
            <w:r>
              <w:rPr>
                <w:rFonts w:ascii="Arial" w:cs="Arial" w:eastAsia="Arial" w:hAnsi="Arial"/>
                <w:sz w:val="14"/>
                <w:szCs w:val="14"/>
                <w:color w:val="auto"/>
              </w:rPr>
              <w:t>Completed $1.1B public debt offering in April 2020 and completed a $308M</w:t>
            </w:r>
          </w:p>
        </w:tc>
      </w:tr>
      <w:tr>
        <w:trPr>
          <w:trHeight w:val="195"/>
        </w:trPr>
        <w:tc>
          <w:tcPr>
            <w:tcW w:w="1700" w:type="dxa"/>
            <w:vAlign w:val="bottom"/>
          </w:tcPr>
          <w:p>
            <w:pPr>
              <w:spacing w:after="0"/>
              <w:rPr>
                <w:sz w:val="16"/>
                <w:szCs w:val="16"/>
                <w:color w:val="auto"/>
              </w:rPr>
            </w:pPr>
          </w:p>
        </w:tc>
        <w:tc>
          <w:tcPr>
            <w:tcW w:w="4440" w:type="dxa"/>
            <w:vAlign w:val="bottom"/>
          </w:tcPr>
          <w:p>
            <w:pPr>
              <w:spacing w:after="0"/>
              <w:rPr>
                <w:sz w:val="20"/>
                <w:szCs w:val="20"/>
                <w:color w:val="auto"/>
              </w:rPr>
            </w:pPr>
            <w:r>
              <w:rPr>
                <w:rFonts w:ascii="Arial" w:cs="Arial" w:eastAsia="Arial" w:hAnsi="Arial"/>
                <w:sz w:val="14"/>
                <w:szCs w:val="14"/>
                <w:color w:val="auto"/>
              </w:rPr>
              <w:t>DELCORA acquisition, and support the balance sheet.</w:t>
            </w:r>
          </w:p>
        </w:tc>
        <w:tc>
          <w:tcPr>
            <w:tcW w:w="5100" w:type="dxa"/>
            <w:vAlign w:val="bottom"/>
          </w:tcPr>
          <w:p>
            <w:pPr>
              <w:ind w:left="140"/>
              <w:spacing w:after="0"/>
              <w:rPr>
                <w:sz w:val="20"/>
                <w:szCs w:val="20"/>
                <w:color w:val="auto"/>
              </w:rPr>
            </w:pPr>
            <w:r>
              <w:rPr>
                <w:rFonts w:ascii="Arial" w:cs="Arial" w:eastAsia="Arial" w:hAnsi="Arial"/>
                <w:sz w:val="14"/>
                <w:szCs w:val="14"/>
                <w:color w:val="auto"/>
              </w:rPr>
              <w:t>forward sale of common equity in August 2020.</w:t>
            </w:r>
          </w:p>
        </w:tc>
      </w:tr>
      <w:tr>
        <w:trPr>
          <w:trHeight w:val="31"/>
        </w:trPr>
        <w:tc>
          <w:tcPr>
            <w:tcW w:w="1700" w:type="dxa"/>
            <w:vAlign w:val="bottom"/>
          </w:tcPr>
          <w:p>
            <w:pPr>
              <w:spacing w:after="0"/>
              <w:rPr>
                <w:sz w:val="2"/>
                <w:szCs w:val="2"/>
                <w:color w:val="auto"/>
              </w:rPr>
            </w:pPr>
          </w:p>
        </w:tc>
        <w:tc>
          <w:tcPr>
            <w:tcW w:w="4440" w:type="dxa"/>
            <w:vAlign w:val="bottom"/>
            <w:tcBorders>
              <w:bottom w:val="single" w:sz="8" w:color="auto"/>
            </w:tcBorders>
          </w:tcPr>
          <w:p>
            <w:pPr>
              <w:spacing w:after="0"/>
              <w:rPr>
                <w:sz w:val="2"/>
                <w:szCs w:val="2"/>
                <w:color w:val="auto"/>
              </w:rPr>
            </w:pPr>
          </w:p>
        </w:tc>
        <w:tc>
          <w:tcPr>
            <w:tcW w:w="5100" w:type="dxa"/>
            <w:vAlign w:val="bottom"/>
            <w:tcBorders>
              <w:bottom w:val="single" w:sz="8" w:color="auto"/>
            </w:tcBorders>
          </w:tcPr>
          <w:p>
            <w:pPr>
              <w:spacing w:after="0"/>
              <w:rPr>
                <w:sz w:val="2"/>
                <w:szCs w:val="2"/>
                <w:color w:val="auto"/>
              </w:rPr>
            </w:pPr>
          </w:p>
        </w:tc>
      </w:tr>
      <w:tr>
        <w:trPr>
          <w:trHeight w:val="176"/>
        </w:trPr>
        <w:tc>
          <w:tcPr>
            <w:tcW w:w="1700" w:type="dxa"/>
            <w:vAlign w:val="bottom"/>
          </w:tcPr>
          <w:p>
            <w:pPr>
              <w:spacing w:after="0"/>
              <w:rPr>
                <w:sz w:val="15"/>
                <w:szCs w:val="15"/>
                <w:color w:val="auto"/>
              </w:rPr>
            </w:pPr>
          </w:p>
        </w:tc>
        <w:tc>
          <w:tcPr>
            <w:tcW w:w="4440" w:type="dxa"/>
            <w:vAlign w:val="bottom"/>
          </w:tcPr>
          <w:p>
            <w:pPr>
              <w:spacing w:after="0"/>
              <w:rPr>
                <w:sz w:val="20"/>
                <w:szCs w:val="20"/>
                <w:color w:val="auto"/>
              </w:rPr>
            </w:pPr>
            <w:r>
              <w:rPr>
                <w:rFonts w:ascii="Arial" w:cs="Arial" w:eastAsia="Arial" w:hAnsi="Arial"/>
                <w:sz w:val="14"/>
                <w:szCs w:val="14"/>
                <w:color w:val="auto"/>
              </w:rPr>
              <w:t>Complete repair study and implement tax repair at Peoples.</w:t>
            </w:r>
          </w:p>
        </w:tc>
        <w:tc>
          <w:tcPr>
            <w:tcW w:w="5100" w:type="dxa"/>
            <w:vAlign w:val="bottom"/>
          </w:tcPr>
          <w:p>
            <w:pPr>
              <w:ind w:left="140"/>
              <w:spacing w:after="0"/>
              <w:rPr>
                <w:sz w:val="20"/>
                <w:szCs w:val="20"/>
                <w:color w:val="auto"/>
              </w:rPr>
            </w:pPr>
            <w:r>
              <w:rPr>
                <w:rFonts w:ascii="Arial" w:cs="Arial" w:eastAsia="Arial" w:hAnsi="Arial"/>
                <w:sz w:val="14"/>
                <w:szCs w:val="14"/>
                <w:color w:val="auto"/>
              </w:rPr>
              <w:t>Completed the repair study and elected tax repair via an IRS Form 3115</w:t>
            </w:r>
          </w:p>
        </w:tc>
      </w:tr>
      <w:tr>
        <w:trPr>
          <w:trHeight w:val="195"/>
        </w:trPr>
        <w:tc>
          <w:tcPr>
            <w:tcW w:w="1700" w:type="dxa"/>
            <w:vAlign w:val="bottom"/>
          </w:tcPr>
          <w:p>
            <w:pPr>
              <w:spacing w:after="0"/>
              <w:rPr>
                <w:sz w:val="16"/>
                <w:szCs w:val="16"/>
                <w:color w:val="auto"/>
              </w:rPr>
            </w:pPr>
          </w:p>
        </w:tc>
        <w:tc>
          <w:tcPr>
            <w:tcW w:w="4440" w:type="dxa"/>
            <w:vAlign w:val="bottom"/>
          </w:tcPr>
          <w:p>
            <w:pPr>
              <w:spacing w:after="0"/>
              <w:rPr>
                <w:sz w:val="16"/>
                <w:szCs w:val="16"/>
                <w:color w:val="auto"/>
              </w:rPr>
            </w:pPr>
          </w:p>
        </w:tc>
        <w:tc>
          <w:tcPr>
            <w:tcW w:w="5100" w:type="dxa"/>
            <w:vAlign w:val="bottom"/>
          </w:tcPr>
          <w:p>
            <w:pPr>
              <w:ind w:left="140"/>
              <w:spacing w:after="0"/>
              <w:rPr>
                <w:sz w:val="20"/>
                <w:szCs w:val="20"/>
                <w:color w:val="auto"/>
              </w:rPr>
            </w:pPr>
            <w:r>
              <w:rPr>
                <w:rFonts w:ascii="Arial" w:cs="Arial" w:eastAsia="Arial" w:hAnsi="Arial"/>
                <w:sz w:val="14"/>
                <w:szCs w:val="14"/>
                <w:color w:val="auto"/>
              </w:rPr>
              <w:t>filing on March 31, 2020.</w:t>
            </w:r>
          </w:p>
        </w:tc>
      </w:tr>
      <w:tr>
        <w:trPr>
          <w:trHeight w:val="31"/>
        </w:trPr>
        <w:tc>
          <w:tcPr>
            <w:tcW w:w="1700" w:type="dxa"/>
            <w:vAlign w:val="bottom"/>
            <w:tcBorders>
              <w:bottom w:val="single" w:sz="8" w:color="auto"/>
            </w:tcBorders>
          </w:tcPr>
          <w:p>
            <w:pPr>
              <w:spacing w:after="0"/>
              <w:rPr>
                <w:sz w:val="2"/>
                <w:szCs w:val="2"/>
                <w:color w:val="auto"/>
              </w:rPr>
            </w:pPr>
          </w:p>
        </w:tc>
        <w:tc>
          <w:tcPr>
            <w:tcW w:w="4440" w:type="dxa"/>
            <w:vAlign w:val="bottom"/>
            <w:tcBorders>
              <w:bottom w:val="single" w:sz="8" w:color="auto"/>
            </w:tcBorders>
          </w:tcPr>
          <w:p>
            <w:pPr>
              <w:spacing w:after="0"/>
              <w:rPr>
                <w:sz w:val="2"/>
                <w:szCs w:val="2"/>
                <w:color w:val="auto"/>
              </w:rPr>
            </w:pPr>
          </w:p>
        </w:tc>
        <w:tc>
          <w:tcPr>
            <w:tcW w:w="5100" w:type="dxa"/>
            <w:vAlign w:val="bottom"/>
            <w:tcBorders>
              <w:bottom w:val="single" w:sz="8" w:color="auto"/>
            </w:tcBorders>
          </w:tcPr>
          <w:p>
            <w:pPr>
              <w:spacing w:after="0"/>
              <w:rPr>
                <w:sz w:val="2"/>
                <w:szCs w:val="2"/>
                <w:color w:val="auto"/>
              </w:rPr>
            </w:pPr>
          </w:p>
        </w:tc>
      </w:tr>
      <w:tr>
        <w:trPr>
          <w:trHeight w:val="176"/>
        </w:trPr>
        <w:tc>
          <w:tcPr>
            <w:tcW w:w="1700" w:type="dxa"/>
            <w:vAlign w:val="bottom"/>
          </w:tcPr>
          <w:p>
            <w:pPr>
              <w:spacing w:after="0"/>
              <w:rPr>
                <w:sz w:val="20"/>
                <w:szCs w:val="20"/>
                <w:color w:val="auto"/>
              </w:rPr>
            </w:pPr>
            <w:r>
              <w:rPr>
                <w:rFonts w:ascii="Arial" w:cs="Arial" w:eastAsia="Arial" w:hAnsi="Arial"/>
                <w:sz w:val="14"/>
                <w:szCs w:val="14"/>
                <w:b w:val="1"/>
                <w:bCs w:val="1"/>
                <w:color w:val="455986"/>
              </w:rPr>
              <w:t>Richard S. Fox</w:t>
            </w:r>
          </w:p>
        </w:tc>
        <w:tc>
          <w:tcPr>
            <w:tcW w:w="4440" w:type="dxa"/>
            <w:vAlign w:val="bottom"/>
          </w:tcPr>
          <w:p>
            <w:pPr>
              <w:spacing w:after="0"/>
              <w:rPr>
                <w:sz w:val="20"/>
                <w:szCs w:val="20"/>
                <w:color w:val="auto"/>
              </w:rPr>
            </w:pPr>
            <w:r>
              <w:rPr>
                <w:rFonts w:ascii="Arial" w:cs="Arial" w:eastAsia="Arial" w:hAnsi="Arial"/>
                <w:sz w:val="14"/>
                <w:szCs w:val="14"/>
                <w:color w:val="auto"/>
              </w:rPr>
              <w:t>Attain related legislative proposals including CAM, FMV, DSIC, SIC</w:t>
            </w:r>
          </w:p>
        </w:tc>
        <w:tc>
          <w:tcPr>
            <w:tcW w:w="5100" w:type="dxa"/>
            <w:vAlign w:val="bottom"/>
          </w:tcPr>
          <w:p>
            <w:pPr>
              <w:ind w:left="140"/>
              <w:spacing w:after="0"/>
              <w:rPr>
                <w:sz w:val="20"/>
                <w:szCs w:val="20"/>
                <w:color w:val="auto"/>
              </w:rPr>
            </w:pPr>
            <w:r>
              <w:rPr>
                <w:rFonts w:ascii="Arial" w:cs="Arial" w:eastAsia="Arial" w:hAnsi="Arial"/>
                <w:sz w:val="14"/>
                <w:szCs w:val="14"/>
                <w:color w:val="auto"/>
              </w:rPr>
              <w:t>Successfully attained legislative proposals including CAM, FMV, DSIC, SIC</w:t>
            </w:r>
          </w:p>
        </w:tc>
      </w:tr>
      <w:tr>
        <w:trPr>
          <w:trHeight w:val="153"/>
        </w:trPr>
        <w:tc>
          <w:tcPr>
            <w:tcW w:w="1700" w:type="dxa"/>
            <w:vAlign w:val="bottom"/>
          </w:tcPr>
          <w:p>
            <w:pPr>
              <w:spacing w:after="0"/>
              <w:rPr>
                <w:sz w:val="13"/>
                <w:szCs w:val="13"/>
                <w:color w:val="auto"/>
              </w:rPr>
            </w:pPr>
          </w:p>
        </w:tc>
        <w:tc>
          <w:tcPr>
            <w:tcW w:w="4440" w:type="dxa"/>
            <w:vAlign w:val="bottom"/>
          </w:tcPr>
          <w:p>
            <w:pPr>
              <w:spacing w:after="0" w:line="153" w:lineRule="exact"/>
              <w:rPr>
                <w:sz w:val="20"/>
                <w:szCs w:val="20"/>
                <w:color w:val="auto"/>
              </w:rPr>
            </w:pPr>
            <w:r>
              <w:rPr>
                <w:rFonts w:ascii="Arial" w:cs="Arial" w:eastAsia="Arial" w:hAnsi="Arial"/>
                <w:sz w:val="14"/>
                <w:szCs w:val="14"/>
                <w:color w:val="auto"/>
              </w:rPr>
              <w:t>as well successful operational plans and rate cases in our states</w:t>
            </w:r>
          </w:p>
        </w:tc>
        <w:tc>
          <w:tcPr>
            <w:tcW w:w="5100" w:type="dxa"/>
            <w:vAlign w:val="bottom"/>
          </w:tcPr>
          <w:p>
            <w:pPr>
              <w:ind w:left="140"/>
              <w:spacing w:after="0" w:line="153" w:lineRule="exact"/>
              <w:rPr>
                <w:sz w:val="20"/>
                <w:szCs w:val="20"/>
                <w:color w:val="auto"/>
              </w:rPr>
            </w:pPr>
            <w:r>
              <w:rPr>
                <w:rFonts w:ascii="Arial" w:cs="Arial" w:eastAsia="Arial" w:hAnsi="Arial"/>
                <w:sz w:val="14"/>
                <w:szCs w:val="14"/>
                <w:color w:val="auto"/>
              </w:rPr>
              <w:t>as well successful operational plans and rate cases in our states such as</w:t>
            </w:r>
          </w:p>
        </w:tc>
      </w:tr>
      <w:tr>
        <w:trPr>
          <w:trHeight w:val="195"/>
        </w:trPr>
        <w:tc>
          <w:tcPr>
            <w:tcW w:w="1700" w:type="dxa"/>
            <w:vAlign w:val="bottom"/>
          </w:tcPr>
          <w:p>
            <w:pPr>
              <w:spacing w:after="0"/>
              <w:rPr>
                <w:sz w:val="16"/>
                <w:szCs w:val="16"/>
                <w:color w:val="auto"/>
              </w:rPr>
            </w:pPr>
          </w:p>
        </w:tc>
        <w:tc>
          <w:tcPr>
            <w:tcW w:w="4440" w:type="dxa"/>
            <w:vAlign w:val="bottom"/>
          </w:tcPr>
          <w:p>
            <w:pPr>
              <w:spacing w:after="0"/>
              <w:rPr>
                <w:sz w:val="20"/>
                <w:szCs w:val="20"/>
                <w:color w:val="auto"/>
              </w:rPr>
            </w:pPr>
            <w:r>
              <w:rPr>
                <w:rFonts w:ascii="Arial" w:cs="Arial" w:eastAsia="Arial" w:hAnsi="Arial"/>
                <w:sz w:val="14"/>
                <w:szCs w:val="14"/>
                <w:color w:val="auto"/>
              </w:rPr>
              <w:t>where these opportunities are targeted for achievement.</w:t>
            </w:r>
          </w:p>
        </w:tc>
        <w:tc>
          <w:tcPr>
            <w:tcW w:w="5100" w:type="dxa"/>
            <w:vAlign w:val="bottom"/>
          </w:tcPr>
          <w:p>
            <w:pPr>
              <w:ind w:left="140"/>
              <w:spacing w:after="0"/>
              <w:rPr>
                <w:sz w:val="20"/>
                <w:szCs w:val="20"/>
                <w:color w:val="auto"/>
              </w:rPr>
            </w:pPr>
            <w:r>
              <w:rPr>
                <w:rFonts w:ascii="Arial" w:cs="Arial" w:eastAsia="Arial" w:hAnsi="Arial"/>
                <w:sz w:val="14"/>
                <w:szCs w:val="14"/>
                <w:color w:val="auto"/>
              </w:rPr>
              <w:t>Pennsylvania, Texas, and Ohio.</w:t>
            </w:r>
          </w:p>
        </w:tc>
      </w:tr>
      <w:tr>
        <w:trPr>
          <w:trHeight w:val="31"/>
        </w:trPr>
        <w:tc>
          <w:tcPr>
            <w:tcW w:w="1700" w:type="dxa"/>
            <w:vAlign w:val="bottom"/>
          </w:tcPr>
          <w:p>
            <w:pPr>
              <w:spacing w:after="0"/>
              <w:rPr>
                <w:sz w:val="2"/>
                <w:szCs w:val="2"/>
                <w:color w:val="auto"/>
              </w:rPr>
            </w:pPr>
          </w:p>
        </w:tc>
        <w:tc>
          <w:tcPr>
            <w:tcW w:w="4440" w:type="dxa"/>
            <w:vAlign w:val="bottom"/>
            <w:tcBorders>
              <w:bottom w:val="single" w:sz="8" w:color="auto"/>
            </w:tcBorders>
          </w:tcPr>
          <w:p>
            <w:pPr>
              <w:spacing w:after="0"/>
              <w:rPr>
                <w:sz w:val="2"/>
                <w:szCs w:val="2"/>
                <w:color w:val="auto"/>
              </w:rPr>
            </w:pPr>
          </w:p>
        </w:tc>
        <w:tc>
          <w:tcPr>
            <w:tcW w:w="5100" w:type="dxa"/>
            <w:vAlign w:val="bottom"/>
            <w:tcBorders>
              <w:bottom w:val="single" w:sz="8" w:color="auto"/>
            </w:tcBorders>
          </w:tcPr>
          <w:p>
            <w:pPr>
              <w:spacing w:after="0"/>
              <w:rPr>
                <w:sz w:val="2"/>
                <w:szCs w:val="2"/>
                <w:color w:val="auto"/>
              </w:rPr>
            </w:pPr>
          </w:p>
        </w:tc>
      </w:tr>
      <w:tr>
        <w:trPr>
          <w:trHeight w:val="176"/>
        </w:trPr>
        <w:tc>
          <w:tcPr>
            <w:tcW w:w="1700" w:type="dxa"/>
            <w:vAlign w:val="bottom"/>
          </w:tcPr>
          <w:p>
            <w:pPr>
              <w:spacing w:after="0"/>
              <w:rPr>
                <w:sz w:val="15"/>
                <w:szCs w:val="15"/>
                <w:color w:val="auto"/>
              </w:rPr>
            </w:pPr>
          </w:p>
        </w:tc>
        <w:tc>
          <w:tcPr>
            <w:tcW w:w="4440" w:type="dxa"/>
            <w:vAlign w:val="bottom"/>
          </w:tcPr>
          <w:p>
            <w:pPr>
              <w:spacing w:after="0"/>
              <w:rPr>
                <w:sz w:val="20"/>
                <w:szCs w:val="20"/>
                <w:color w:val="auto"/>
              </w:rPr>
            </w:pPr>
            <w:r>
              <w:rPr>
                <w:rFonts w:ascii="Arial" w:cs="Arial" w:eastAsia="Arial" w:hAnsi="Arial"/>
                <w:sz w:val="14"/>
                <w:szCs w:val="14"/>
                <w:color w:val="auto"/>
              </w:rPr>
              <w:t>Hire and ensure successful transition of President, Peoples.</w:t>
            </w:r>
          </w:p>
        </w:tc>
        <w:tc>
          <w:tcPr>
            <w:tcW w:w="5100" w:type="dxa"/>
            <w:vAlign w:val="bottom"/>
          </w:tcPr>
          <w:p>
            <w:pPr>
              <w:ind w:left="140"/>
              <w:spacing w:after="0"/>
              <w:rPr>
                <w:sz w:val="20"/>
                <w:szCs w:val="20"/>
                <w:color w:val="auto"/>
              </w:rPr>
            </w:pPr>
            <w:r>
              <w:rPr>
                <w:rFonts w:ascii="Arial" w:cs="Arial" w:eastAsia="Arial" w:hAnsi="Arial"/>
                <w:sz w:val="14"/>
                <w:szCs w:val="14"/>
                <w:color w:val="auto"/>
              </w:rPr>
              <w:t>Conducted a national search for an experienced gas leader, through</w:t>
            </w:r>
          </w:p>
        </w:tc>
      </w:tr>
      <w:tr>
        <w:trPr>
          <w:trHeight w:val="153"/>
        </w:trPr>
        <w:tc>
          <w:tcPr>
            <w:tcW w:w="1700" w:type="dxa"/>
            <w:vAlign w:val="bottom"/>
          </w:tcPr>
          <w:p>
            <w:pPr>
              <w:spacing w:after="0"/>
              <w:rPr>
                <w:sz w:val="13"/>
                <w:szCs w:val="13"/>
                <w:color w:val="auto"/>
              </w:rPr>
            </w:pPr>
          </w:p>
        </w:tc>
        <w:tc>
          <w:tcPr>
            <w:tcW w:w="4440" w:type="dxa"/>
            <w:vAlign w:val="bottom"/>
          </w:tcPr>
          <w:p>
            <w:pPr>
              <w:spacing w:after="0"/>
              <w:rPr>
                <w:sz w:val="13"/>
                <w:szCs w:val="13"/>
                <w:color w:val="auto"/>
              </w:rPr>
            </w:pPr>
          </w:p>
        </w:tc>
        <w:tc>
          <w:tcPr>
            <w:tcW w:w="5100" w:type="dxa"/>
            <w:vAlign w:val="bottom"/>
          </w:tcPr>
          <w:p>
            <w:pPr>
              <w:ind w:left="140"/>
              <w:spacing w:after="0" w:line="153" w:lineRule="exact"/>
              <w:rPr>
                <w:sz w:val="20"/>
                <w:szCs w:val="20"/>
                <w:color w:val="auto"/>
              </w:rPr>
            </w:pPr>
            <w:r>
              <w:rPr>
                <w:rFonts w:ascii="Arial" w:cs="Arial" w:eastAsia="Arial" w:hAnsi="Arial"/>
                <w:sz w:val="14"/>
                <w:szCs w:val="14"/>
                <w:color w:val="auto"/>
              </w:rPr>
              <w:t>multiple rounds of interviewing, and hired a strong leader. Led successful</w:t>
            </w:r>
          </w:p>
        </w:tc>
      </w:tr>
      <w:tr>
        <w:trPr>
          <w:trHeight w:val="195"/>
        </w:trPr>
        <w:tc>
          <w:tcPr>
            <w:tcW w:w="1700" w:type="dxa"/>
            <w:vAlign w:val="bottom"/>
          </w:tcPr>
          <w:p>
            <w:pPr>
              <w:spacing w:after="0"/>
              <w:rPr>
                <w:sz w:val="16"/>
                <w:szCs w:val="16"/>
                <w:color w:val="auto"/>
              </w:rPr>
            </w:pPr>
          </w:p>
        </w:tc>
        <w:tc>
          <w:tcPr>
            <w:tcW w:w="4440" w:type="dxa"/>
            <w:vAlign w:val="bottom"/>
          </w:tcPr>
          <w:p>
            <w:pPr>
              <w:spacing w:after="0"/>
              <w:rPr>
                <w:sz w:val="16"/>
                <w:szCs w:val="16"/>
                <w:color w:val="auto"/>
              </w:rPr>
            </w:pPr>
          </w:p>
        </w:tc>
        <w:tc>
          <w:tcPr>
            <w:tcW w:w="5100" w:type="dxa"/>
            <w:vAlign w:val="bottom"/>
          </w:tcPr>
          <w:p>
            <w:pPr>
              <w:ind w:left="140"/>
              <w:spacing w:after="0"/>
              <w:rPr>
                <w:sz w:val="20"/>
                <w:szCs w:val="20"/>
                <w:color w:val="auto"/>
              </w:rPr>
            </w:pPr>
            <w:r>
              <w:rPr>
                <w:rFonts w:ascii="Arial" w:cs="Arial" w:eastAsia="Arial" w:hAnsi="Arial"/>
                <w:sz w:val="14"/>
                <w:szCs w:val="14"/>
                <w:color w:val="auto"/>
              </w:rPr>
              <w:t>transition of Gas President despite the pandemic.</w:t>
            </w:r>
          </w:p>
        </w:tc>
      </w:tr>
    </w:tbl>
    <w:p>
      <w:pPr>
        <w:spacing w:after="0" w:line="71" w:lineRule="exact"/>
        <w:rPr>
          <w:sz w:val="20"/>
          <w:szCs w:val="20"/>
          <w:color w:val="auto"/>
        </w:rPr>
      </w:pPr>
    </w:p>
    <w:p>
      <w:pPr>
        <w:sectPr>
          <w:pgSz w:w="11900" w:h="16838" w:orient="portrait"/>
          <w:cols w:equalWidth="0" w:num="1">
            <w:col w:w="11240"/>
          </w:cols>
          <w:pgMar w:left="320" w:top="636" w:right="339" w:bottom="1440" w:gutter="0" w:footer="0" w:header="0"/>
          <w:type w:val="continuous"/>
        </w:sectPr>
      </w:pPr>
    </w:p>
    <w:p>
      <w:pPr>
        <w:spacing w:after="0"/>
        <w:tabs>
          <w:tab w:leader="none" w:pos="1680" w:val="left"/>
        </w:tabs>
        <w:rPr>
          <w:sz w:val="20"/>
          <w:szCs w:val="20"/>
          <w:color w:val="auto"/>
        </w:rPr>
      </w:pPr>
      <w:r>
        <w:rPr>
          <w:rFonts w:ascii="Arial" w:cs="Arial" w:eastAsia="Arial" w:hAnsi="Arial"/>
          <w:sz w:val="14"/>
          <w:szCs w:val="14"/>
          <w:b w:val="1"/>
          <w:bCs w:val="1"/>
          <w:color w:val="455986"/>
        </w:rPr>
        <w:t>Matthew Rhodes</w:t>
      </w:r>
      <w:r>
        <w:rPr>
          <w:sz w:val="20"/>
          <w:szCs w:val="20"/>
          <w:color w:val="auto"/>
        </w:rPr>
        <w:tab/>
      </w:r>
      <w:r>
        <w:rPr>
          <w:rFonts w:ascii="Arial" w:cs="Arial" w:eastAsia="Arial" w:hAnsi="Arial"/>
          <w:sz w:val="14"/>
          <w:szCs w:val="14"/>
          <w:color w:val="auto"/>
        </w:rPr>
        <w:t>Advance closing processes for DELCORA and other pending</w:t>
      </w:r>
    </w:p>
    <w:p>
      <w:pPr>
        <w:spacing w:after="0" w:line="12" w:lineRule="exact"/>
        <w:rPr>
          <w:sz w:val="20"/>
          <w:szCs w:val="20"/>
          <w:color w:val="auto"/>
        </w:rPr>
      </w:pPr>
    </w:p>
    <w:p>
      <w:pPr>
        <w:ind w:left="1700"/>
        <w:spacing w:after="0"/>
        <w:rPr>
          <w:sz w:val="20"/>
          <w:szCs w:val="20"/>
          <w:color w:val="auto"/>
        </w:rPr>
      </w:pPr>
      <w:r>
        <w:rPr>
          <w:rFonts w:ascii="Arial" w:cs="Arial" w:eastAsia="Arial" w:hAnsi="Arial"/>
          <w:sz w:val="14"/>
          <w:szCs w:val="14"/>
          <w:color w:val="auto"/>
        </w:rPr>
        <w:t>acquisitions so they are efficiently moving through the regulatory and integration process. Continue signing over $60M of additional municipal acquisitions to further grow the Company.</w:t>
      </w:r>
    </w:p>
    <w:p>
      <w:pPr>
        <w:spacing w:after="0" w:line="20" w:lineRule="exact"/>
        <w:rPr>
          <w:sz w:val="20"/>
          <w:szCs w:val="20"/>
          <w:color w:val="auto"/>
        </w:rPr>
      </w:pPr>
      <w:r>
        <w:rPr>
          <w:sz w:val="20"/>
          <w:szCs w:val="20"/>
          <w:color w:val="auto"/>
        </w:rPr>
        <w:br w:type="column"/>
      </w:r>
    </w:p>
    <w:p>
      <w:pPr>
        <w:jc w:val="both"/>
        <w:ind w:right="140"/>
        <w:spacing w:after="0" w:line="253" w:lineRule="auto"/>
        <w:rPr>
          <w:sz w:val="20"/>
          <w:szCs w:val="20"/>
          <w:color w:val="auto"/>
        </w:rPr>
      </w:pPr>
      <w:r>
        <w:rPr>
          <w:rFonts w:ascii="Arial" w:cs="Arial" w:eastAsia="Arial" w:hAnsi="Arial"/>
          <w:sz w:val="14"/>
          <w:szCs w:val="14"/>
          <w:color w:val="auto"/>
        </w:rPr>
        <w:t>Led the progress towards the closing of DELCORA. Signed agreements for 3 deals in 2020 (in Pennsylvania, Texas and Illinois) with approximately $90 million of purchase price.</w:t>
      </w:r>
    </w:p>
    <w:p>
      <w:pPr>
        <w:spacing w:after="0" w:line="217" w:lineRule="exact"/>
        <w:rPr>
          <w:sz w:val="20"/>
          <w:szCs w:val="20"/>
          <w:color w:val="auto"/>
        </w:rPr>
      </w:pPr>
    </w:p>
    <w:p>
      <w:pPr>
        <w:sectPr>
          <w:pgSz w:w="11900" w:h="16838" w:orient="portrait"/>
          <w:cols w:equalWidth="0" w:num="2">
            <w:col w:w="5900" w:space="380"/>
            <w:col w:w="4960"/>
          </w:cols>
          <w:pgMar w:left="320" w:top="636" w:right="339" w:bottom="1440" w:gutter="0" w:footer="0" w:header="0"/>
          <w:type w:val="continuous"/>
        </w:sectPr>
      </w:pPr>
    </w:p>
    <w:p>
      <w:pPr>
        <w:ind w:left="1700"/>
        <w:spacing w:after="0" w:line="253" w:lineRule="auto"/>
        <w:rPr>
          <w:sz w:val="20"/>
          <w:szCs w:val="20"/>
          <w:color w:val="auto"/>
        </w:rPr>
      </w:pPr>
      <w:r>
        <w:rPr>
          <w:rFonts w:ascii="Arial" w:cs="Arial" w:eastAsia="Arial" w:hAnsi="Arial"/>
          <w:sz w:val="14"/>
          <w:szCs w:val="14"/>
          <w:color w:val="auto"/>
        </w:rPr>
        <w:t>Conduct monthly senior level strategy sessions, culminating in a Q4 Strategy Review with the Board. Implement any board approved changes.</w:t>
      </w:r>
    </w:p>
    <w:p>
      <w:pPr>
        <w:spacing w:after="0" w:line="20" w:lineRule="exact"/>
        <w:rPr>
          <w:sz w:val="20"/>
          <w:szCs w:val="20"/>
          <w:color w:val="auto"/>
        </w:rPr>
      </w:pPr>
      <w:r>
        <w:rPr>
          <w:sz w:val="20"/>
          <w:szCs w:val="20"/>
          <w:color w:val="auto"/>
        </w:rPr>
        <w:br w:type="column"/>
      </w:r>
    </w:p>
    <w:p>
      <w:pPr>
        <w:ind w:right="80"/>
        <w:spacing w:after="0"/>
        <w:rPr>
          <w:sz w:val="20"/>
          <w:szCs w:val="20"/>
          <w:color w:val="auto"/>
        </w:rPr>
      </w:pPr>
      <w:r>
        <w:rPr>
          <w:rFonts w:ascii="Arial" w:cs="Arial" w:eastAsia="Arial" w:hAnsi="Arial"/>
          <w:sz w:val="14"/>
          <w:szCs w:val="14"/>
          <w:color w:val="auto"/>
        </w:rPr>
        <w:t>Led monthly meetings throughout the year to review a variety of growth and other strategic objectives culminating in a successful presentation to the Board in October, along with updated Growth Guidelines and Objectives for the Company. Initiated a broader strategic exercise for all senior leaders that will culminate in a Board review of strategic priorities.</w:t>
      </w:r>
    </w:p>
    <w:p>
      <w:pPr>
        <w:spacing w:after="0" w:line="74" w:lineRule="exact"/>
        <w:rPr>
          <w:sz w:val="20"/>
          <w:szCs w:val="20"/>
          <w:color w:val="auto"/>
        </w:rPr>
      </w:pPr>
    </w:p>
    <w:p>
      <w:pPr>
        <w:sectPr>
          <w:pgSz w:w="11900" w:h="16838" w:orient="portrait"/>
          <w:cols w:equalWidth="0" w:num="2">
            <w:col w:w="5800" w:space="480"/>
            <w:col w:w="4960"/>
          </w:cols>
          <w:pgMar w:left="320" w:top="636" w:right="339" w:bottom="1440" w:gutter="0" w:footer="0" w:header="0"/>
          <w:type w:val="continuous"/>
        </w:sectPr>
      </w:pPr>
    </w:p>
    <w:p>
      <w:pPr>
        <w:jc w:val="center"/>
        <w:spacing w:after="0" w:line="281" w:lineRule="auto"/>
        <w:rPr>
          <w:sz w:val="20"/>
          <w:szCs w:val="20"/>
          <w:color w:val="auto"/>
        </w:rPr>
      </w:pPr>
      <w:r>
        <w:rPr>
          <w:rFonts w:ascii="Arial" w:cs="Arial" w:eastAsia="Arial" w:hAnsi="Arial"/>
          <w:sz w:val="14"/>
          <w:szCs w:val="14"/>
          <w:b w:val="1"/>
          <w:bCs w:val="1"/>
          <w:color w:val="455986"/>
        </w:rPr>
        <w:t xml:space="preserve">Christopher P. Luning   </w:t>
      </w:r>
      <w:r>
        <w:rPr>
          <w:rFonts w:ascii="Arial" w:cs="Arial" w:eastAsia="Arial" w:hAnsi="Arial"/>
          <w:sz w:val="14"/>
          <w:szCs w:val="14"/>
          <w:color w:val="000000"/>
        </w:rPr>
        <w:t>Integrate Aqua/Peoples legal, risk, and insurance programs for a</w:t>
      </w:r>
      <w:r>
        <w:rPr>
          <w:rFonts w:ascii="Arial" w:cs="Arial" w:eastAsia="Arial" w:hAnsi="Arial"/>
          <w:sz w:val="14"/>
          <w:szCs w:val="14"/>
          <w:b w:val="1"/>
          <w:bCs w:val="1"/>
          <w:color w:val="455986"/>
        </w:rPr>
        <w:t xml:space="preserve"> </w:t>
      </w:r>
      <w:r>
        <w:rPr>
          <w:rFonts w:ascii="Arial" w:cs="Arial" w:eastAsia="Arial" w:hAnsi="Arial"/>
          <w:sz w:val="14"/>
          <w:szCs w:val="14"/>
          <w:color w:val="000000"/>
        </w:rPr>
        <w:t>combined Essential Utilities platform.</w:t>
      </w:r>
    </w:p>
    <w:p>
      <w:pPr>
        <w:spacing w:after="0" w:line="20" w:lineRule="exact"/>
        <w:rPr>
          <w:sz w:val="20"/>
          <w:szCs w:val="20"/>
          <w:color w:val="auto"/>
        </w:rPr>
      </w:pPr>
      <w:r>
        <w:rPr>
          <w:sz w:val="20"/>
          <w:szCs w:val="20"/>
          <w:color w:val="auto"/>
        </w:rPr>
        <w:br w:type="column"/>
      </w:r>
    </w:p>
    <w:p>
      <w:pPr>
        <w:ind w:right="160"/>
        <w:spacing w:after="0" w:line="253" w:lineRule="auto"/>
        <w:rPr>
          <w:sz w:val="20"/>
          <w:szCs w:val="20"/>
          <w:color w:val="auto"/>
        </w:rPr>
      </w:pPr>
      <w:r>
        <w:rPr>
          <w:rFonts w:ascii="Arial" w:cs="Arial" w:eastAsia="Arial" w:hAnsi="Arial"/>
          <w:sz w:val="14"/>
          <w:szCs w:val="14"/>
          <w:color w:val="auto"/>
        </w:rPr>
        <w:t>Integrated the legal, risk, and insurance program to ensure consolidation of programs to deliver efficiencies while ensuring that Company’s risks were appropriately managed.</w:t>
      </w:r>
    </w:p>
    <w:p>
      <w:pPr>
        <w:spacing w:after="0" w:line="65" w:lineRule="exact"/>
        <w:rPr>
          <w:sz w:val="20"/>
          <w:szCs w:val="20"/>
          <w:color w:val="auto"/>
        </w:rPr>
      </w:pPr>
    </w:p>
    <w:p>
      <w:pPr>
        <w:sectPr>
          <w:pgSz w:w="11900" w:h="16838" w:orient="portrait"/>
          <w:cols w:equalWidth="0" w:num="2">
            <w:col w:w="5840" w:space="440"/>
            <w:col w:w="4960"/>
          </w:cols>
          <w:pgMar w:left="320" w:top="636" w:right="339" w:bottom="1440" w:gutter="0" w:footer="0" w:header="0"/>
          <w:type w:val="continuous"/>
        </w:sectPr>
      </w:pPr>
    </w:p>
    <w:p>
      <w:pPr>
        <w:ind w:left="1700"/>
        <w:spacing w:after="0" w:line="278" w:lineRule="auto"/>
        <w:rPr>
          <w:sz w:val="20"/>
          <w:szCs w:val="20"/>
          <w:color w:val="auto"/>
        </w:rPr>
      </w:pPr>
      <w:r>
        <w:rPr>
          <w:rFonts w:ascii="Arial" w:cs="Arial" w:eastAsia="Arial" w:hAnsi="Arial"/>
          <w:sz w:val="14"/>
          <w:szCs w:val="14"/>
          <w:color w:val="auto"/>
        </w:rPr>
        <w:t>Execute Companywide PFAS legal strategy including protecting company’s interests in court proceedings.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198120</wp:posOffset>
            </wp:positionV>
            <wp:extent cx="7139940" cy="825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13994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ind w:right="120"/>
        <w:spacing w:after="0" w:line="245" w:lineRule="auto"/>
        <w:rPr>
          <w:sz w:val="20"/>
          <w:szCs w:val="20"/>
          <w:color w:val="auto"/>
        </w:rPr>
      </w:pPr>
      <w:r>
        <w:rPr>
          <w:rFonts w:ascii="Arial" w:cs="Arial" w:eastAsia="Arial" w:hAnsi="Arial"/>
          <w:sz w:val="14"/>
          <w:szCs w:val="14"/>
          <w:color w:val="auto"/>
        </w:rPr>
        <w:t>Implemented Companywide PFAS strategy. Identified top areas for potential recovery and initiated lawsuits in Pennsylvania against manufacturers and patent holders. Prepared lawsuits to be filed in North Carolina, New Jersey, Ohio, and Virginia.</w:t>
      </w:r>
    </w:p>
    <w:p>
      <w:pPr>
        <w:spacing w:after="0" w:line="170" w:lineRule="exact"/>
        <w:rPr>
          <w:sz w:val="20"/>
          <w:szCs w:val="20"/>
          <w:color w:val="auto"/>
        </w:rPr>
      </w:pPr>
    </w:p>
    <w:p>
      <w:pPr>
        <w:sectPr>
          <w:pgSz w:w="11900" w:h="16838" w:orient="portrait"/>
          <w:cols w:equalWidth="0" w:num="2">
            <w:col w:w="5780" w:space="500"/>
            <w:col w:w="4960"/>
          </w:cols>
          <w:pgMar w:left="320" w:top="636" w:right="339" w:bottom="1440" w:gutter="0" w:footer="0" w:header="0"/>
          <w:type w:val="continuous"/>
        </w:sectPr>
      </w:pPr>
    </w:p>
    <w:p>
      <w:pPr>
        <w:spacing w:after="0"/>
        <w:rPr>
          <w:sz w:val="20"/>
          <w:szCs w:val="20"/>
          <w:color w:val="auto"/>
        </w:rPr>
      </w:pPr>
      <w:r>
        <w:rPr>
          <w:rFonts w:ascii="Arial" w:cs="Arial" w:eastAsia="Arial" w:hAnsi="Arial"/>
          <w:sz w:val="14"/>
          <w:szCs w:val="14"/>
          <w:b w:val="1"/>
          <w:bCs w:val="1"/>
          <w:color w:val="auto"/>
        </w:rPr>
        <w:t>2020 Named Executive Officer Short Term Incentive Award</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2800" w:type="dxa"/>
            <w:vAlign w:val="bottom"/>
          </w:tcPr>
          <w:p>
            <w:pPr>
              <w:spacing w:after="0"/>
              <w:rPr>
                <w:sz w:val="12"/>
                <w:szCs w:val="12"/>
                <w:color w:val="auto"/>
              </w:rPr>
            </w:pPr>
          </w:p>
        </w:tc>
        <w:tc>
          <w:tcPr>
            <w:tcW w:w="2120" w:type="dxa"/>
            <w:vAlign w:val="bottom"/>
            <w:vMerge w:val="restart"/>
          </w:tcPr>
          <w:p>
            <w:pPr>
              <w:jc w:val="right"/>
              <w:ind w:right="231"/>
              <w:spacing w:after="0"/>
              <w:rPr>
                <w:sz w:val="20"/>
                <w:szCs w:val="20"/>
                <w:color w:val="auto"/>
              </w:rPr>
            </w:pPr>
            <w:r>
              <w:rPr>
                <w:rFonts w:ascii="Arial" w:cs="Arial" w:eastAsia="Arial" w:hAnsi="Arial"/>
                <w:sz w:val="12"/>
                <w:szCs w:val="12"/>
                <w:color w:val="455986"/>
              </w:rPr>
              <w:t>2020 Salary</w:t>
            </w:r>
          </w:p>
        </w:tc>
        <w:tc>
          <w:tcPr>
            <w:tcW w:w="1160" w:type="dxa"/>
            <w:vAlign w:val="bottom"/>
            <w:vMerge w:val="restart"/>
          </w:tcPr>
          <w:p>
            <w:pPr>
              <w:jc w:val="right"/>
              <w:ind w:right="151"/>
              <w:spacing w:after="0"/>
              <w:rPr>
                <w:sz w:val="20"/>
                <w:szCs w:val="20"/>
                <w:color w:val="auto"/>
              </w:rPr>
            </w:pPr>
            <w:r>
              <w:rPr>
                <w:rFonts w:ascii="Arial" w:cs="Arial" w:eastAsia="Arial" w:hAnsi="Arial"/>
                <w:sz w:val="12"/>
                <w:szCs w:val="12"/>
                <w:color w:val="455986"/>
              </w:rPr>
              <w:t>2020 Target</w:t>
            </w:r>
          </w:p>
        </w:tc>
        <w:tc>
          <w:tcPr>
            <w:tcW w:w="1460" w:type="dxa"/>
            <w:vAlign w:val="bottom"/>
          </w:tcPr>
          <w:p>
            <w:pPr>
              <w:jc w:val="right"/>
              <w:ind w:right="292"/>
              <w:spacing w:after="0"/>
              <w:rPr>
                <w:sz w:val="20"/>
                <w:szCs w:val="20"/>
                <w:color w:val="auto"/>
              </w:rPr>
            </w:pPr>
            <w:r>
              <w:rPr>
                <w:rFonts w:ascii="Arial" w:cs="Arial" w:eastAsia="Arial" w:hAnsi="Arial"/>
                <w:sz w:val="12"/>
                <w:szCs w:val="12"/>
                <w:color w:val="455986"/>
              </w:rPr>
              <w:t>2020 Company</w:t>
            </w:r>
          </w:p>
        </w:tc>
        <w:tc>
          <w:tcPr>
            <w:tcW w:w="1440" w:type="dxa"/>
            <w:vAlign w:val="bottom"/>
            <w:vMerge w:val="restart"/>
          </w:tcPr>
          <w:p>
            <w:pPr>
              <w:jc w:val="right"/>
              <w:ind w:right="231"/>
              <w:spacing w:after="0"/>
              <w:rPr>
                <w:sz w:val="20"/>
                <w:szCs w:val="20"/>
                <w:color w:val="auto"/>
              </w:rPr>
            </w:pPr>
            <w:r>
              <w:rPr>
                <w:rFonts w:ascii="Arial" w:cs="Arial" w:eastAsia="Arial" w:hAnsi="Arial"/>
                <w:sz w:val="12"/>
                <w:szCs w:val="12"/>
                <w:color w:val="455986"/>
              </w:rPr>
              <w:t>2020 Individual</w:t>
            </w:r>
          </w:p>
        </w:tc>
        <w:tc>
          <w:tcPr>
            <w:tcW w:w="1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2800" w:type="dxa"/>
            <w:vAlign w:val="bottom"/>
            <w:vMerge w:val="restart"/>
          </w:tcPr>
          <w:p>
            <w:pPr>
              <w:spacing w:after="0"/>
              <w:rPr>
                <w:sz w:val="20"/>
                <w:szCs w:val="20"/>
                <w:color w:val="auto"/>
              </w:rPr>
            </w:pPr>
            <w:r>
              <w:rPr>
                <w:rFonts w:ascii="Arial" w:cs="Arial" w:eastAsia="Arial" w:hAnsi="Arial"/>
                <w:sz w:val="12"/>
                <w:szCs w:val="12"/>
                <w:color w:val="455986"/>
              </w:rPr>
              <w:t>Name</w:t>
            </w:r>
          </w:p>
        </w:tc>
        <w:tc>
          <w:tcPr>
            <w:tcW w:w="2120" w:type="dxa"/>
            <w:vAlign w:val="bottom"/>
            <w:vMerge w:val="continue"/>
          </w:tcPr>
          <w:p>
            <w:pPr>
              <w:spacing w:after="0"/>
              <w:rPr>
                <w:sz w:val="11"/>
                <w:szCs w:val="11"/>
                <w:color w:val="auto"/>
              </w:rPr>
            </w:pPr>
          </w:p>
        </w:tc>
        <w:tc>
          <w:tcPr>
            <w:tcW w:w="1160" w:type="dxa"/>
            <w:vAlign w:val="bottom"/>
            <w:vMerge w:val="continue"/>
          </w:tcPr>
          <w:p>
            <w:pPr>
              <w:spacing w:after="0"/>
              <w:rPr>
                <w:sz w:val="11"/>
                <w:szCs w:val="11"/>
                <w:color w:val="auto"/>
              </w:rPr>
            </w:pPr>
          </w:p>
        </w:tc>
        <w:tc>
          <w:tcPr>
            <w:tcW w:w="1460" w:type="dxa"/>
            <w:vAlign w:val="bottom"/>
          </w:tcPr>
          <w:p>
            <w:pPr>
              <w:jc w:val="right"/>
              <w:ind w:right="292"/>
              <w:spacing w:after="0" w:line="128" w:lineRule="exact"/>
              <w:rPr>
                <w:sz w:val="20"/>
                <w:szCs w:val="20"/>
                <w:color w:val="auto"/>
              </w:rPr>
            </w:pPr>
            <w:r>
              <w:rPr>
                <w:rFonts w:ascii="Arial" w:cs="Arial" w:eastAsia="Arial" w:hAnsi="Arial"/>
                <w:sz w:val="12"/>
                <w:szCs w:val="12"/>
                <w:color w:val="455986"/>
              </w:rPr>
              <w:t>Metric Excluding</w:t>
            </w:r>
          </w:p>
        </w:tc>
        <w:tc>
          <w:tcPr>
            <w:tcW w:w="1440" w:type="dxa"/>
            <w:vAlign w:val="bottom"/>
            <w:vMerge w:val="continue"/>
          </w:tcPr>
          <w:p>
            <w:pPr>
              <w:spacing w:after="0"/>
              <w:rPr>
                <w:sz w:val="11"/>
                <w:szCs w:val="11"/>
                <w:color w:val="auto"/>
              </w:rPr>
            </w:pPr>
          </w:p>
        </w:tc>
        <w:tc>
          <w:tcPr>
            <w:tcW w:w="1160" w:type="dxa"/>
            <w:vAlign w:val="bottom"/>
            <w:vMerge w:val="restart"/>
          </w:tcPr>
          <w:p>
            <w:pPr>
              <w:jc w:val="right"/>
              <w:ind w:right="170"/>
              <w:spacing w:after="0"/>
              <w:rPr>
                <w:sz w:val="20"/>
                <w:szCs w:val="20"/>
                <w:color w:val="auto"/>
              </w:rPr>
            </w:pPr>
            <w:r>
              <w:rPr>
                <w:rFonts w:ascii="Arial" w:cs="Arial" w:eastAsia="Arial" w:hAnsi="Arial"/>
                <w:sz w:val="12"/>
                <w:szCs w:val="12"/>
                <w:color w:val="455986"/>
              </w:rPr>
              <w:t>Total Factor</w:t>
            </w:r>
          </w:p>
        </w:tc>
        <w:tc>
          <w:tcPr>
            <w:tcW w:w="1100" w:type="dxa"/>
            <w:vAlign w:val="bottom"/>
            <w:gridSpan w:val="2"/>
            <w:vMerge w:val="restart"/>
          </w:tcPr>
          <w:p>
            <w:pPr>
              <w:jc w:val="right"/>
              <w:spacing w:after="0"/>
              <w:rPr>
                <w:sz w:val="20"/>
                <w:szCs w:val="20"/>
                <w:color w:val="auto"/>
              </w:rPr>
            </w:pPr>
            <w:r>
              <w:rPr>
                <w:rFonts w:ascii="Arial" w:cs="Arial" w:eastAsia="Arial" w:hAnsi="Arial"/>
                <w:sz w:val="12"/>
                <w:szCs w:val="12"/>
                <w:color w:val="455986"/>
              </w:rPr>
              <w:t>STI Payment ($)</w:t>
            </w:r>
          </w:p>
        </w:tc>
        <w:tc>
          <w:tcPr>
            <w:tcW w:w="0" w:type="dxa"/>
            <w:vAlign w:val="bottom"/>
          </w:tcPr>
          <w:p>
            <w:pPr>
              <w:spacing w:after="0"/>
              <w:rPr>
                <w:sz w:val="1"/>
                <w:szCs w:val="1"/>
                <w:color w:val="auto"/>
              </w:rPr>
            </w:pPr>
          </w:p>
        </w:tc>
      </w:tr>
      <w:tr>
        <w:trPr>
          <w:trHeight w:val="166"/>
        </w:trPr>
        <w:tc>
          <w:tcPr>
            <w:tcW w:w="2800" w:type="dxa"/>
            <w:vAlign w:val="bottom"/>
            <w:tcBorders>
              <w:bottom w:val="single" w:sz="8" w:color="4395D4"/>
            </w:tcBorders>
            <w:vMerge w:val="continue"/>
          </w:tcPr>
          <w:p>
            <w:pPr>
              <w:spacing w:after="0"/>
              <w:rPr>
                <w:sz w:val="14"/>
                <w:szCs w:val="14"/>
                <w:color w:val="auto"/>
              </w:rPr>
            </w:pPr>
          </w:p>
        </w:tc>
        <w:tc>
          <w:tcPr>
            <w:tcW w:w="2120" w:type="dxa"/>
            <w:vAlign w:val="bottom"/>
            <w:tcBorders>
              <w:bottom w:val="single" w:sz="8" w:color="4395D4"/>
            </w:tcBorders>
          </w:tcPr>
          <w:p>
            <w:pPr>
              <w:jc w:val="right"/>
              <w:ind w:right="231"/>
              <w:spacing w:after="0"/>
              <w:rPr>
                <w:sz w:val="20"/>
                <w:szCs w:val="20"/>
                <w:color w:val="auto"/>
              </w:rPr>
            </w:pPr>
            <w:r>
              <w:rPr>
                <w:rFonts w:ascii="Arial" w:cs="Arial" w:eastAsia="Arial" w:hAnsi="Arial"/>
                <w:sz w:val="12"/>
                <w:szCs w:val="12"/>
                <w:color w:val="455986"/>
              </w:rPr>
              <w:t>Rate* ($)</w:t>
            </w:r>
          </w:p>
        </w:tc>
        <w:tc>
          <w:tcPr>
            <w:tcW w:w="1160" w:type="dxa"/>
            <w:vAlign w:val="bottom"/>
            <w:tcBorders>
              <w:bottom w:val="single" w:sz="8" w:color="4395D4"/>
            </w:tcBorders>
          </w:tcPr>
          <w:p>
            <w:pPr>
              <w:jc w:val="right"/>
              <w:ind w:right="151"/>
              <w:spacing w:after="0"/>
              <w:rPr>
                <w:sz w:val="20"/>
                <w:szCs w:val="20"/>
                <w:color w:val="auto"/>
              </w:rPr>
            </w:pPr>
            <w:r>
              <w:rPr>
                <w:rFonts w:ascii="Arial" w:cs="Arial" w:eastAsia="Arial" w:hAnsi="Arial"/>
                <w:sz w:val="12"/>
                <w:szCs w:val="12"/>
                <w:color w:val="455986"/>
              </w:rPr>
              <w:t>Bonus %</w:t>
            </w:r>
          </w:p>
        </w:tc>
        <w:tc>
          <w:tcPr>
            <w:tcW w:w="1460" w:type="dxa"/>
            <w:vAlign w:val="bottom"/>
            <w:tcBorders>
              <w:bottom w:val="single" w:sz="8" w:color="4395D4"/>
            </w:tcBorders>
          </w:tcPr>
          <w:p>
            <w:pPr>
              <w:jc w:val="right"/>
              <w:ind w:right="252"/>
              <w:spacing w:after="0"/>
              <w:rPr>
                <w:sz w:val="20"/>
                <w:szCs w:val="20"/>
                <w:color w:val="auto"/>
              </w:rPr>
            </w:pPr>
            <w:r>
              <w:rPr>
                <w:rFonts w:ascii="Arial" w:cs="Arial" w:eastAsia="Arial" w:hAnsi="Arial"/>
                <w:sz w:val="12"/>
                <w:szCs w:val="12"/>
                <w:color w:val="455986"/>
              </w:rPr>
              <w:t>Individual Metric</w:t>
            </w:r>
          </w:p>
        </w:tc>
        <w:tc>
          <w:tcPr>
            <w:tcW w:w="1440" w:type="dxa"/>
            <w:vAlign w:val="bottom"/>
            <w:tcBorders>
              <w:bottom w:val="single" w:sz="8" w:color="4395D4"/>
            </w:tcBorders>
          </w:tcPr>
          <w:p>
            <w:pPr>
              <w:jc w:val="right"/>
              <w:ind w:right="231"/>
              <w:spacing w:after="0"/>
              <w:rPr>
                <w:sz w:val="20"/>
                <w:szCs w:val="20"/>
                <w:color w:val="auto"/>
              </w:rPr>
            </w:pPr>
            <w:r>
              <w:rPr>
                <w:rFonts w:ascii="Arial" w:cs="Arial" w:eastAsia="Arial" w:hAnsi="Arial"/>
                <w:sz w:val="12"/>
                <w:szCs w:val="12"/>
                <w:color w:val="455986"/>
              </w:rPr>
              <w:t>Metric</w:t>
            </w:r>
          </w:p>
        </w:tc>
        <w:tc>
          <w:tcPr>
            <w:tcW w:w="1160" w:type="dxa"/>
            <w:vAlign w:val="bottom"/>
            <w:tcBorders>
              <w:bottom w:val="single" w:sz="8" w:color="4395D4"/>
            </w:tcBorders>
            <w:vMerge w:val="continue"/>
          </w:tcPr>
          <w:p>
            <w:pPr>
              <w:spacing w:after="0"/>
              <w:rPr>
                <w:sz w:val="14"/>
                <w:szCs w:val="14"/>
                <w:color w:val="auto"/>
              </w:rPr>
            </w:pPr>
          </w:p>
        </w:tc>
        <w:tc>
          <w:tcPr>
            <w:tcW w:w="1100" w:type="dxa"/>
            <w:vAlign w:val="bottom"/>
            <w:tcBorders>
              <w:bottom w:val="single" w:sz="8" w:color="4395D4"/>
            </w:tcBorders>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28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455986"/>
              </w:rPr>
              <w:t>Christopher H. Franklin</w:t>
            </w:r>
          </w:p>
        </w:tc>
        <w:tc>
          <w:tcPr>
            <w:tcW w:w="2120" w:type="dxa"/>
            <w:vAlign w:val="bottom"/>
            <w:tcBorders>
              <w:bottom w:val="single" w:sz="8" w:color="auto"/>
            </w:tcBorders>
          </w:tcPr>
          <w:p>
            <w:pPr>
              <w:jc w:val="right"/>
              <w:ind w:right="231"/>
              <w:spacing w:after="0"/>
              <w:rPr>
                <w:sz w:val="20"/>
                <w:szCs w:val="20"/>
                <w:color w:val="auto"/>
              </w:rPr>
            </w:pPr>
            <w:r>
              <w:rPr>
                <w:rFonts w:ascii="Arial" w:cs="Arial" w:eastAsia="Arial" w:hAnsi="Arial"/>
                <w:sz w:val="14"/>
                <w:szCs w:val="14"/>
                <w:color w:val="231F20"/>
              </w:rPr>
              <w:t>$875,000</w:t>
            </w:r>
          </w:p>
        </w:tc>
        <w:tc>
          <w:tcPr>
            <w:tcW w:w="1160" w:type="dxa"/>
            <w:vAlign w:val="bottom"/>
            <w:tcBorders>
              <w:bottom w:val="single" w:sz="8" w:color="auto"/>
            </w:tcBorders>
          </w:tcPr>
          <w:p>
            <w:pPr>
              <w:jc w:val="right"/>
              <w:ind w:right="151"/>
              <w:spacing w:after="0"/>
              <w:rPr>
                <w:sz w:val="20"/>
                <w:szCs w:val="20"/>
                <w:color w:val="auto"/>
              </w:rPr>
            </w:pPr>
            <w:r>
              <w:rPr>
                <w:rFonts w:ascii="Arial" w:cs="Arial" w:eastAsia="Arial" w:hAnsi="Arial"/>
                <w:sz w:val="14"/>
                <w:szCs w:val="14"/>
                <w:color w:val="231F20"/>
              </w:rPr>
              <w:t>100%</w:t>
            </w:r>
          </w:p>
        </w:tc>
        <w:tc>
          <w:tcPr>
            <w:tcW w:w="1460" w:type="dxa"/>
            <w:vAlign w:val="bottom"/>
            <w:tcBorders>
              <w:bottom w:val="single" w:sz="8" w:color="auto"/>
            </w:tcBorders>
          </w:tcPr>
          <w:p>
            <w:pPr>
              <w:jc w:val="right"/>
              <w:ind w:right="252"/>
              <w:spacing w:after="0"/>
              <w:rPr>
                <w:sz w:val="20"/>
                <w:szCs w:val="20"/>
                <w:color w:val="auto"/>
              </w:rPr>
            </w:pPr>
            <w:r>
              <w:rPr>
                <w:rFonts w:ascii="Arial" w:cs="Arial" w:eastAsia="Arial" w:hAnsi="Arial"/>
                <w:sz w:val="14"/>
                <w:szCs w:val="14"/>
                <w:color w:val="231F20"/>
              </w:rPr>
              <w:t>127.10%</w:t>
            </w:r>
          </w:p>
        </w:tc>
        <w:tc>
          <w:tcPr>
            <w:tcW w:w="1440" w:type="dxa"/>
            <w:vAlign w:val="bottom"/>
            <w:tcBorders>
              <w:bottom w:val="single" w:sz="8" w:color="auto"/>
            </w:tcBorders>
          </w:tcPr>
          <w:p>
            <w:pPr>
              <w:jc w:val="right"/>
              <w:ind w:right="231"/>
              <w:spacing w:after="0"/>
              <w:rPr>
                <w:sz w:val="20"/>
                <w:szCs w:val="20"/>
                <w:color w:val="auto"/>
              </w:rPr>
            </w:pPr>
            <w:r>
              <w:rPr>
                <w:rFonts w:ascii="Arial" w:cs="Arial" w:eastAsia="Arial" w:hAnsi="Arial"/>
                <w:sz w:val="14"/>
                <w:szCs w:val="14"/>
                <w:color w:val="231F20"/>
              </w:rPr>
              <w:t>14%</w:t>
            </w:r>
          </w:p>
        </w:tc>
        <w:tc>
          <w:tcPr>
            <w:tcW w:w="1160" w:type="dxa"/>
            <w:vAlign w:val="bottom"/>
            <w:tcBorders>
              <w:bottom w:val="single" w:sz="8" w:color="auto"/>
            </w:tcBorders>
          </w:tcPr>
          <w:p>
            <w:pPr>
              <w:jc w:val="right"/>
              <w:ind w:right="170"/>
              <w:spacing w:after="0"/>
              <w:rPr>
                <w:sz w:val="20"/>
                <w:szCs w:val="20"/>
                <w:color w:val="auto"/>
              </w:rPr>
            </w:pPr>
            <w:r>
              <w:rPr>
                <w:rFonts w:ascii="Arial" w:cs="Arial" w:eastAsia="Arial" w:hAnsi="Arial"/>
                <w:sz w:val="14"/>
                <w:szCs w:val="14"/>
                <w:color w:val="231F20"/>
              </w:rPr>
              <w:t>141.10%</w:t>
            </w:r>
          </w:p>
        </w:tc>
        <w:tc>
          <w:tcPr>
            <w:tcW w:w="11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231F20"/>
              </w:rPr>
              <w:t>$1,234,625</w:t>
            </w:r>
          </w:p>
        </w:tc>
        <w:tc>
          <w:tcPr>
            <w:tcW w:w="0" w:type="dxa"/>
            <w:vAlign w:val="bottom"/>
          </w:tcPr>
          <w:p>
            <w:pPr>
              <w:spacing w:after="0"/>
              <w:rPr>
                <w:sz w:val="1"/>
                <w:szCs w:val="1"/>
                <w:color w:val="auto"/>
              </w:rPr>
            </w:pPr>
          </w:p>
        </w:tc>
      </w:tr>
      <w:tr>
        <w:trPr>
          <w:trHeight w:val="197"/>
        </w:trPr>
        <w:tc>
          <w:tcPr>
            <w:tcW w:w="2800" w:type="dxa"/>
            <w:vAlign w:val="bottom"/>
            <w:tcBorders>
              <w:bottom w:val="single" w:sz="8" w:color="231F20"/>
            </w:tcBorders>
          </w:tcPr>
          <w:p>
            <w:pPr>
              <w:spacing w:after="0"/>
              <w:rPr>
                <w:sz w:val="20"/>
                <w:szCs w:val="20"/>
                <w:color w:val="auto"/>
              </w:rPr>
            </w:pPr>
            <w:r>
              <w:rPr>
                <w:rFonts w:ascii="Arial" w:cs="Arial" w:eastAsia="Arial" w:hAnsi="Arial"/>
                <w:sz w:val="14"/>
                <w:szCs w:val="14"/>
                <w:b w:val="1"/>
                <w:bCs w:val="1"/>
                <w:color w:val="455986"/>
              </w:rPr>
              <w:t>Daniel J. Schuller</w:t>
            </w:r>
          </w:p>
        </w:tc>
        <w:tc>
          <w:tcPr>
            <w:tcW w:w="2120" w:type="dxa"/>
            <w:vAlign w:val="bottom"/>
            <w:tcBorders>
              <w:bottom w:val="single" w:sz="8" w:color="231F20"/>
            </w:tcBorders>
          </w:tcPr>
          <w:p>
            <w:pPr>
              <w:jc w:val="right"/>
              <w:ind w:right="231"/>
              <w:spacing w:after="0"/>
              <w:rPr>
                <w:sz w:val="20"/>
                <w:szCs w:val="20"/>
                <w:color w:val="auto"/>
              </w:rPr>
            </w:pPr>
            <w:r>
              <w:rPr>
                <w:rFonts w:ascii="Arial" w:cs="Arial" w:eastAsia="Arial" w:hAnsi="Arial"/>
                <w:sz w:val="14"/>
                <w:szCs w:val="14"/>
                <w:color w:val="231F20"/>
              </w:rPr>
              <w:t>$445,512</w:t>
            </w:r>
          </w:p>
        </w:tc>
        <w:tc>
          <w:tcPr>
            <w:tcW w:w="1160" w:type="dxa"/>
            <w:vAlign w:val="bottom"/>
            <w:tcBorders>
              <w:bottom w:val="single" w:sz="8" w:color="231F20"/>
            </w:tcBorders>
          </w:tcPr>
          <w:p>
            <w:pPr>
              <w:jc w:val="right"/>
              <w:ind w:right="151"/>
              <w:spacing w:after="0"/>
              <w:rPr>
                <w:sz w:val="20"/>
                <w:szCs w:val="20"/>
                <w:color w:val="auto"/>
              </w:rPr>
            </w:pPr>
            <w:r>
              <w:rPr>
                <w:rFonts w:ascii="Arial" w:cs="Arial" w:eastAsia="Arial" w:hAnsi="Arial"/>
                <w:sz w:val="14"/>
                <w:szCs w:val="14"/>
                <w:color w:val="231F20"/>
              </w:rPr>
              <w:t>65%</w:t>
            </w:r>
          </w:p>
        </w:tc>
        <w:tc>
          <w:tcPr>
            <w:tcW w:w="1460" w:type="dxa"/>
            <w:vAlign w:val="bottom"/>
            <w:tcBorders>
              <w:bottom w:val="single" w:sz="8" w:color="231F20"/>
            </w:tcBorders>
          </w:tcPr>
          <w:p>
            <w:pPr>
              <w:jc w:val="right"/>
              <w:ind w:right="252"/>
              <w:spacing w:after="0"/>
              <w:rPr>
                <w:sz w:val="20"/>
                <w:szCs w:val="20"/>
                <w:color w:val="auto"/>
              </w:rPr>
            </w:pPr>
            <w:r>
              <w:rPr>
                <w:rFonts w:ascii="Arial" w:cs="Arial" w:eastAsia="Arial" w:hAnsi="Arial"/>
                <w:sz w:val="14"/>
                <w:szCs w:val="14"/>
                <w:color w:val="231F20"/>
              </w:rPr>
              <w:t>127.10%</w:t>
            </w:r>
          </w:p>
        </w:tc>
        <w:tc>
          <w:tcPr>
            <w:tcW w:w="1440" w:type="dxa"/>
            <w:vAlign w:val="bottom"/>
            <w:tcBorders>
              <w:bottom w:val="single" w:sz="8" w:color="231F20"/>
            </w:tcBorders>
          </w:tcPr>
          <w:p>
            <w:pPr>
              <w:jc w:val="right"/>
              <w:ind w:right="231"/>
              <w:spacing w:after="0"/>
              <w:rPr>
                <w:sz w:val="20"/>
                <w:szCs w:val="20"/>
                <w:color w:val="auto"/>
              </w:rPr>
            </w:pPr>
            <w:r>
              <w:rPr>
                <w:rFonts w:ascii="Arial" w:cs="Arial" w:eastAsia="Arial" w:hAnsi="Arial"/>
                <w:sz w:val="14"/>
                <w:szCs w:val="14"/>
                <w:color w:val="231F20"/>
              </w:rPr>
              <w:t>14%</w:t>
            </w:r>
          </w:p>
        </w:tc>
        <w:tc>
          <w:tcPr>
            <w:tcW w:w="1160" w:type="dxa"/>
            <w:vAlign w:val="bottom"/>
            <w:tcBorders>
              <w:bottom w:val="single" w:sz="8" w:color="231F20"/>
            </w:tcBorders>
          </w:tcPr>
          <w:p>
            <w:pPr>
              <w:jc w:val="right"/>
              <w:ind w:right="170"/>
              <w:spacing w:after="0"/>
              <w:rPr>
                <w:sz w:val="20"/>
                <w:szCs w:val="20"/>
                <w:color w:val="auto"/>
              </w:rPr>
            </w:pPr>
            <w:r>
              <w:rPr>
                <w:rFonts w:ascii="Arial" w:cs="Arial" w:eastAsia="Arial" w:hAnsi="Arial"/>
                <w:sz w:val="14"/>
                <w:szCs w:val="14"/>
                <w:color w:val="231F20"/>
              </w:rPr>
              <w:t>141.10%</w:t>
            </w:r>
          </w:p>
        </w:tc>
        <w:tc>
          <w:tcPr>
            <w:tcW w:w="520" w:type="dxa"/>
            <w:vAlign w:val="bottom"/>
            <w:tcBorders>
              <w:bottom w:val="single" w:sz="8" w:color="231F20"/>
            </w:tcBorders>
          </w:tcPr>
          <w:p>
            <w:pPr>
              <w:jc w:val="right"/>
              <w:spacing w:after="0"/>
              <w:rPr>
                <w:sz w:val="20"/>
                <w:szCs w:val="20"/>
                <w:color w:val="auto"/>
              </w:rPr>
            </w:pPr>
            <w:r>
              <w:rPr>
                <w:rFonts w:ascii="Arial" w:cs="Arial" w:eastAsia="Arial" w:hAnsi="Arial"/>
                <w:sz w:val="14"/>
                <w:szCs w:val="14"/>
                <w:color w:val="231F20"/>
              </w:rPr>
              <w:t>$</w:t>
            </w:r>
          </w:p>
        </w:tc>
        <w:tc>
          <w:tcPr>
            <w:tcW w:w="580" w:type="dxa"/>
            <w:vAlign w:val="bottom"/>
            <w:tcBorders>
              <w:bottom w:val="single" w:sz="8" w:color="231F20"/>
            </w:tcBorders>
          </w:tcPr>
          <w:p>
            <w:pPr>
              <w:jc w:val="right"/>
              <w:spacing w:after="0"/>
              <w:rPr>
                <w:sz w:val="20"/>
                <w:szCs w:val="20"/>
                <w:color w:val="auto"/>
              </w:rPr>
            </w:pPr>
            <w:r>
              <w:rPr>
                <w:rFonts w:ascii="Arial" w:cs="Arial" w:eastAsia="Arial" w:hAnsi="Arial"/>
                <w:sz w:val="14"/>
                <w:szCs w:val="14"/>
                <w:color w:val="231F20"/>
              </w:rPr>
              <w:t>408,601</w:t>
            </w:r>
          </w:p>
        </w:tc>
        <w:tc>
          <w:tcPr>
            <w:tcW w:w="0" w:type="dxa"/>
            <w:vAlign w:val="bottom"/>
          </w:tcPr>
          <w:p>
            <w:pPr>
              <w:spacing w:after="0"/>
              <w:rPr>
                <w:sz w:val="1"/>
                <w:szCs w:val="1"/>
                <w:color w:val="auto"/>
              </w:rPr>
            </w:pPr>
          </w:p>
        </w:tc>
      </w:tr>
      <w:tr>
        <w:trPr>
          <w:trHeight w:val="197"/>
        </w:trPr>
        <w:tc>
          <w:tcPr>
            <w:tcW w:w="2800" w:type="dxa"/>
            <w:vAlign w:val="bottom"/>
            <w:tcBorders>
              <w:bottom w:val="single" w:sz="8" w:color="231F20"/>
            </w:tcBorders>
          </w:tcPr>
          <w:p>
            <w:pPr>
              <w:spacing w:after="0"/>
              <w:rPr>
                <w:sz w:val="20"/>
                <w:szCs w:val="20"/>
                <w:color w:val="auto"/>
              </w:rPr>
            </w:pPr>
            <w:r>
              <w:rPr>
                <w:rFonts w:ascii="Arial" w:cs="Arial" w:eastAsia="Arial" w:hAnsi="Arial"/>
                <w:sz w:val="14"/>
                <w:szCs w:val="14"/>
                <w:b w:val="1"/>
                <w:bCs w:val="1"/>
                <w:color w:val="455986"/>
              </w:rPr>
              <w:t>Richard S. Fox</w:t>
            </w:r>
          </w:p>
        </w:tc>
        <w:tc>
          <w:tcPr>
            <w:tcW w:w="2120" w:type="dxa"/>
            <w:vAlign w:val="bottom"/>
            <w:tcBorders>
              <w:bottom w:val="single" w:sz="8" w:color="231F20"/>
            </w:tcBorders>
          </w:tcPr>
          <w:p>
            <w:pPr>
              <w:jc w:val="right"/>
              <w:ind w:right="231"/>
              <w:spacing w:after="0"/>
              <w:rPr>
                <w:sz w:val="20"/>
                <w:szCs w:val="20"/>
                <w:color w:val="auto"/>
              </w:rPr>
            </w:pPr>
            <w:r>
              <w:rPr>
                <w:rFonts w:ascii="Arial" w:cs="Arial" w:eastAsia="Arial" w:hAnsi="Arial"/>
                <w:sz w:val="14"/>
                <w:szCs w:val="14"/>
                <w:color w:val="231F20"/>
              </w:rPr>
              <w:t>$432,853</w:t>
            </w:r>
          </w:p>
        </w:tc>
        <w:tc>
          <w:tcPr>
            <w:tcW w:w="1160" w:type="dxa"/>
            <w:vAlign w:val="bottom"/>
            <w:tcBorders>
              <w:bottom w:val="single" w:sz="8" w:color="231F20"/>
            </w:tcBorders>
          </w:tcPr>
          <w:p>
            <w:pPr>
              <w:jc w:val="right"/>
              <w:ind w:right="151"/>
              <w:spacing w:after="0"/>
              <w:rPr>
                <w:sz w:val="20"/>
                <w:szCs w:val="20"/>
                <w:color w:val="auto"/>
              </w:rPr>
            </w:pPr>
            <w:r>
              <w:rPr>
                <w:rFonts w:ascii="Arial" w:cs="Arial" w:eastAsia="Arial" w:hAnsi="Arial"/>
                <w:sz w:val="14"/>
                <w:szCs w:val="14"/>
                <w:color w:val="231F20"/>
              </w:rPr>
              <w:t>65%</w:t>
            </w:r>
          </w:p>
        </w:tc>
        <w:tc>
          <w:tcPr>
            <w:tcW w:w="1460" w:type="dxa"/>
            <w:vAlign w:val="bottom"/>
            <w:tcBorders>
              <w:bottom w:val="single" w:sz="8" w:color="231F20"/>
            </w:tcBorders>
          </w:tcPr>
          <w:p>
            <w:pPr>
              <w:jc w:val="right"/>
              <w:ind w:right="252"/>
              <w:spacing w:after="0"/>
              <w:rPr>
                <w:sz w:val="20"/>
                <w:szCs w:val="20"/>
                <w:color w:val="auto"/>
              </w:rPr>
            </w:pPr>
            <w:r>
              <w:rPr>
                <w:rFonts w:ascii="Arial" w:cs="Arial" w:eastAsia="Arial" w:hAnsi="Arial"/>
                <w:sz w:val="14"/>
                <w:szCs w:val="14"/>
                <w:color w:val="231F20"/>
              </w:rPr>
              <w:t>127.10%</w:t>
            </w:r>
          </w:p>
        </w:tc>
        <w:tc>
          <w:tcPr>
            <w:tcW w:w="1440" w:type="dxa"/>
            <w:vAlign w:val="bottom"/>
            <w:tcBorders>
              <w:bottom w:val="single" w:sz="8" w:color="231F20"/>
            </w:tcBorders>
          </w:tcPr>
          <w:p>
            <w:pPr>
              <w:jc w:val="right"/>
              <w:ind w:right="231"/>
              <w:spacing w:after="0"/>
              <w:rPr>
                <w:sz w:val="20"/>
                <w:szCs w:val="20"/>
                <w:color w:val="auto"/>
              </w:rPr>
            </w:pPr>
            <w:r>
              <w:rPr>
                <w:rFonts w:ascii="Arial" w:cs="Arial" w:eastAsia="Arial" w:hAnsi="Arial"/>
                <w:sz w:val="14"/>
                <w:szCs w:val="14"/>
                <w:color w:val="231F20"/>
              </w:rPr>
              <w:t>14%</w:t>
            </w:r>
          </w:p>
        </w:tc>
        <w:tc>
          <w:tcPr>
            <w:tcW w:w="1160" w:type="dxa"/>
            <w:vAlign w:val="bottom"/>
            <w:tcBorders>
              <w:bottom w:val="single" w:sz="8" w:color="231F20"/>
            </w:tcBorders>
          </w:tcPr>
          <w:p>
            <w:pPr>
              <w:jc w:val="right"/>
              <w:ind w:right="170"/>
              <w:spacing w:after="0"/>
              <w:rPr>
                <w:sz w:val="20"/>
                <w:szCs w:val="20"/>
                <w:color w:val="auto"/>
              </w:rPr>
            </w:pPr>
            <w:r>
              <w:rPr>
                <w:rFonts w:ascii="Arial" w:cs="Arial" w:eastAsia="Arial" w:hAnsi="Arial"/>
                <w:sz w:val="14"/>
                <w:szCs w:val="14"/>
                <w:color w:val="231F20"/>
              </w:rPr>
              <w:t>141.10%</w:t>
            </w:r>
          </w:p>
        </w:tc>
        <w:tc>
          <w:tcPr>
            <w:tcW w:w="520" w:type="dxa"/>
            <w:vAlign w:val="bottom"/>
            <w:tcBorders>
              <w:bottom w:val="single" w:sz="8" w:color="231F20"/>
            </w:tcBorders>
          </w:tcPr>
          <w:p>
            <w:pPr>
              <w:jc w:val="right"/>
              <w:spacing w:after="0"/>
              <w:rPr>
                <w:sz w:val="20"/>
                <w:szCs w:val="20"/>
                <w:color w:val="auto"/>
              </w:rPr>
            </w:pPr>
            <w:r>
              <w:rPr>
                <w:rFonts w:ascii="Arial" w:cs="Arial" w:eastAsia="Arial" w:hAnsi="Arial"/>
                <w:sz w:val="14"/>
                <w:szCs w:val="14"/>
                <w:color w:val="231F20"/>
              </w:rPr>
              <w:t>$</w:t>
            </w:r>
          </w:p>
        </w:tc>
        <w:tc>
          <w:tcPr>
            <w:tcW w:w="580" w:type="dxa"/>
            <w:vAlign w:val="bottom"/>
            <w:tcBorders>
              <w:bottom w:val="single" w:sz="8" w:color="231F20"/>
            </w:tcBorders>
          </w:tcPr>
          <w:p>
            <w:pPr>
              <w:jc w:val="right"/>
              <w:spacing w:after="0"/>
              <w:rPr>
                <w:sz w:val="20"/>
                <w:szCs w:val="20"/>
                <w:color w:val="auto"/>
              </w:rPr>
            </w:pPr>
            <w:r>
              <w:rPr>
                <w:rFonts w:ascii="Arial" w:cs="Arial" w:eastAsia="Arial" w:hAnsi="Arial"/>
                <w:sz w:val="14"/>
                <w:szCs w:val="14"/>
                <w:color w:val="231F20"/>
              </w:rPr>
              <w:t>396,991</w:t>
            </w:r>
          </w:p>
        </w:tc>
        <w:tc>
          <w:tcPr>
            <w:tcW w:w="0" w:type="dxa"/>
            <w:vAlign w:val="bottom"/>
          </w:tcPr>
          <w:p>
            <w:pPr>
              <w:spacing w:after="0"/>
              <w:rPr>
                <w:sz w:val="1"/>
                <w:szCs w:val="1"/>
                <w:color w:val="auto"/>
              </w:rPr>
            </w:pPr>
          </w:p>
        </w:tc>
      </w:tr>
      <w:tr>
        <w:trPr>
          <w:trHeight w:val="197"/>
        </w:trPr>
        <w:tc>
          <w:tcPr>
            <w:tcW w:w="2800" w:type="dxa"/>
            <w:vAlign w:val="bottom"/>
            <w:tcBorders>
              <w:bottom w:val="single" w:sz="8" w:color="231F20"/>
            </w:tcBorders>
          </w:tcPr>
          <w:p>
            <w:pPr>
              <w:spacing w:after="0"/>
              <w:rPr>
                <w:sz w:val="20"/>
                <w:szCs w:val="20"/>
                <w:color w:val="auto"/>
              </w:rPr>
            </w:pPr>
            <w:r>
              <w:rPr>
                <w:rFonts w:ascii="Arial" w:cs="Arial" w:eastAsia="Arial" w:hAnsi="Arial"/>
                <w:sz w:val="14"/>
                <w:szCs w:val="14"/>
                <w:b w:val="1"/>
                <w:bCs w:val="1"/>
                <w:color w:val="455986"/>
              </w:rPr>
              <w:t>Matthew Rhodes</w:t>
            </w:r>
          </w:p>
        </w:tc>
        <w:tc>
          <w:tcPr>
            <w:tcW w:w="2120" w:type="dxa"/>
            <w:vAlign w:val="bottom"/>
            <w:tcBorders>
              <w:bottom w:val="single" w:sz="8" w:color="231F20"/>
            </w:tcBorders>
          </w:tcPr>
          <w:p>
            <w:pPr>
              <w:jc w:val="right"/>
              <w:ind w:right="231"/>
              <w:spacing w:after="0"/>
              <w:rPr>
                <w:sz w:val="20"/>
                <w:szCs w:val="20"/>
                <w:color w:val="auto"/>
              </w:rPr>
            </w:pPr>
            <w:r>
              <w:rPr>
                <w:rFonts w:ascii="Arial" w:cs="Arial" w:eastAsia="Arial" w:hAnsi="Arial"/>
                <w:sz w:val="14"/>
                <w:szCs w:val="14"/>
                <w:color w:val="231F20"/>
              </w:rPr>
              <w:t>$430,921</w:t>
            </w:r>
          </w:p>
        </w:tc>
        <w:tc>
          <w:tcPr>
            <w:tcW w:w="1160" w:type="dxa"/>
            <w:vAlign w:val="bottom"/>
            <w:tcBorders>
              <w:bottom w:val="single" w:sz="8" w:color="231F20"/>
            </w:tcBorders>
          </w:tcPr>
          <w:p>
            <w:pPr>
              <w:jc w:val="right"/>
              <w:ind w:right="151"/>
              <w:spacing w:after="0"/>
              <w:rPr>
                <w:sz w:val="20"/>
                <w:szCs w:val="20"/>
                <w:color w:val="auto"/>
              </w:rPr>
            </w:pPr>
            <w:r>
              <w:rPr>
                <w:rFonts w:ascii="Arial" w:cs="Arial" w:eastAsia="Arial" w:hAnsi="Arial"/>
                <w:sz w:val="14"/>
                <w:szCs w:val="14"/>
                <w:color w:val="231F20"/>
              </w:rPr>
              <w:t>60%</w:t>
            </w:r>
          </w:p>
        </w:tc>
        <w:tc>
          <w:tcPr>
            <w:tcW w:w="1460" w:type="dxa"/>
            <w:vAlign w:val="bottom"/>
            <w:tcBorders>
              <w:bottom w:val="single" w:sz="8" w:color="231F20"/>
            </w:tcBorders>
          </w:tcPr>
          <w:p>
            <w:pPr>
              <w:jc w:val="right"/>
              <w:ind w:right="252"/>
              <w:spacing w:after="0"/>
              <w:rPr>
                <w:sz w:val="20"/>
                <w:szCs w:val="20"/>
                <w:color w:val="auto"/>
              </w:rPr>
            </w:pPr>
            <w:r>
              <w:rPr>
                <w:rFonts w:ascii="Arial" w:cs="Arial" w:eastAsia="Arial" w:hAnsi="Arial"/>
                <w:sz w:val="14"/>
                <w:szCs w:val="14"/>
                <w:color w:val="231F20"/>
              </w:rPr>
              <w:t>127.10%</w:t>
            </w:r>
          </w:p>
        </w:tc>
        <w:tc>
          <w:tcPr>
            <w:tcW w:w="1440" w:type="dxa"/>
            <w:vAlign w:val="bottom"/>
            <w:tcBorders>
              <w:bottom w:val="single" w:sz="8" w:color="231F20"/>
            </w:tcBorders>
          </w:tcPr>
          <w:p>
            <w:pPr>
              <w:jc w:val="right"/>
              <w:ind w:right="231"/>
              <w:spacing w:after="0"/>
              <w:rPr>
                <w:sz w:val="20"/>
                <w:szCs w:val="20"/>
                <w:color w:val="auto"/>
              </w:rPr>
            </w:pPr>
            <w:r>
              <w:rPr>
                <w:rFonts w:ascii="Arial" w:cs="Arial" w:eastAsia="Arial" w:hAnsi="Arial"/>
                <w:sz w:val="14"/>
                <w:szCs w:val="14"/>
                <w:color w:val="231F20"/>
              </w:rPr>
              <w:t>14%</w:t>
            </w:r>
          </w:p>
        </w:tc>
        <w:tc>
          <w:tcPr>
            <w:tcW w:w="1160" w:type="dxa"/>
            <w:vAlign w:val="bottom"/>
            <w:tcBorders>
              <w:bottom w:val="single" w:sz="8" w:color="231F20"/>
            </w:tcBorders>
          </w:tcPr>
          <w:p>
            <w:pPr>
              <w:jc w:val="right"/>
              <w:ind w:right="170"/>
              <w:spacing w:after="0"/>
              <w:rPr>
                <w:sz w:val="20"/>
                <w:szCs w:val="20"/>
                <w:color w:val="auto"/>
              </w:rPr>
            </w:pPr>
            <w:r>
              <w:rPr>
                <w:rFonts w:ascii="Arial" w:cs="Arial" w:eastAsia="Arial" w:hAnsi="Arial"/>
                <w:sz w:val="14"/>
                <w:szCs w:val="14"/>
                <w:color w:val="231F20"/>
              </w:rPr>
              <w:t>141.10%</w:t>
            </w:r>
          </w:p>
        </w:tc>
        <w:tc>
          <w:tcPr>
            <w:tcW w:w="520" w:type="dxa"/>
            <w:vAlign w:val="bottom"/>
            <w:tcBorders>
              <w:bottom w:val="single" w:sz="8" w:color="231F20"/>
            </w:tcBorders>
          </w:tcPr>
          <w:p>
            <w:pPr>
              <w:jc w:val="right"/>
              <w:spacing w:after="0"/>
              <w:rPr>
                <w:sz w:val="20"/>
                <w:szCs w:val="20"/>
                <w:color w:val="auto"/>
              </w:rPr>
            </w:pPr>
            <w:r>
              <w:rPr>
                <w:rFonts w:ascii="Arial" w:cs="Arial" w:eastAsia="Arial" w:hAnsi="Arial"/>
                <w:sz w:val="14"/>
                <w:szCs w:val="14"/>
                <w:color w:val="231F20"/>
              </w:rPr>
              <w:t>$</w:t>
            </w:r>
          </w:p>
        </w:tc>
        <w:tc>
          <w:tcPr>
            <w:tcW w:w="580" w:type="dxa"/>
            <w:vAlign w:val="bottom"/>
            <w:tcBorders>
              <w:bottom w:val="single" w:sz="8" w:color="231F20"/>
            </w:tcBorders>
          </w:tcPr>
          <w:p>
            <w:pPr>
              <w:jc w:val="right"/>
              <w:spacing w:after="0"/>
              <w:rPr>
                <w:sz w:val="20"/>
                <w:szCs w:val="20"/>
                <w:color w:val="auto"/>
              </w:rPr>
            </w:pPr>
            <w:r>
              <w:rPr>
                <w:rFonts w:ascii="Arial" w:cs="Arial" w:eastAsia="Arial" w:hAnsi="Arial"/>
                <w:sz w:val="14"/>
                <w:szCs w:val="14"/>
                <w:color w:val="231F20"/>
              </w:rPr>
              <w:t>364,818</w:t>
            </w:r>
          </w:p>
        </w:tc>
        <w:tc>
          <w:tcPr>
            <w:tcW w:w="0" w:type="dxa"/>
            <w:vAlign w:val="bottom"/>
          </w:tcPr>
          <w:p>
            <w:pPr>
              <w:spacing w:after="0"/>
              <w:rPr>
                <w:sz w:val="1"/>
                <w:szCs w:val="1"/>
                <w:color w:val="auto"/>
              </w:rPr>
            </w:pPr>
          </w:p>
        </w:tc>
      </w:tr>
      <w:tr>
        <w:trPr>
          <w:trHeight w:val="197"/>
        </w:trPr>
        <w:tc>
          <w:tcPr>
            <w:tcW w:w="2800" w:type="dxa"/>
            <w:vAlign w:val="bottom"/>
            <w:tcBorders>
              <w:bottom w:val="single" w:sz="8" w:color="455986"/>
            </w:tcBorders>
          </w:tcPr>
          <w:p>
            <w:pPr>
              <w:spacing w:after="0"/>
              <w:rPr>
                <w:sz w:val="20"/>
                <w:szCs w:val="20"/>
                <w:color w:val="auto"/>
              </w:rPr>
            </w:pPr>
            <w:r>
              <w:rPr>
                <w:rFonts w:ascii="Arial" w:cs="Arial" w:eastAsia="Arial" w:hAnsi="Arial"/>
                <w:sz w:val="14"/>
                <w:szCs w:val="14"/>
                <w:b w:val="1"/>
                <w:bCs w:val="1"/>
                <w:color w:val="455986"/>
              </w:rPr>
              <w:t>Christopher P. Luning</w:t>
            </w:r>
          </w:p>
        </w:tc>
        <w:tc>
          <w:tcPr>
            <w:tcW w:w="2120" w:type="dxa"/>
            <w:vAlign w:val="bottom"/>
            <w:tcBorders>
              <w:bottom w:val="single" w:sz="8" w:color="455986"/>
            </w:tcBorders>
          </w:tcPr>
          <w:p>
            <w:pPr>
              <w:jc w:val="right"/>
              <w:ind w:right="231"/>
              <w:spacing w:after="0"/>
              <w:rPr>
                <w:sz w:val="20"/>
                <w:szCs w:val="20"/>
                <w:color w:val="auto"/>
              </w:rPr>
            </w:pPr>
            <w:r>
              <w:rPr>
                <w:rFonts w:ascii="Arial" w:cs="Arial" w:eastAsia="Arial" w:hAnsi="Arial"/>
                <w:sz w:val="14"/>
                <w:szCs w:val="14"/>
                <w:color w:val="231F20"/>
              </w:rPr>
              <w:t>$385,683</w:t>
            </w:r>
          </w:p>
        </w:tc>
        <w:tc>
          <w:tcPr>
            <w:tcW w:w="1160" w:type="dxa"/>
            <w:vAlign w:val="bottom"/>
            <w:tcBorders>
              <w:bottom w:val="single" w:sz="8" w:color="455986"/>
            </w:tcBorders>
          </w:tcPr>
          <w:p>
            <w:pPr>
              <w:jc w:val="right"/>
              <w:ind w:right="151"/>
              <w:spacing w:after="0"/>
              <w:rPr>
                <w:sz w:val="20"/>
                <w:szCs w:val="20"/>
                <w:color w:val="auto"/>
              </w:rPr>
            </w:pPr>
            <w:r>
              <w:rPr>
                <w:rFonts w:ascii="Arial" w:cs="Arial" w:eastAsia="Arial" w:hAnsi="Arial"/>
                <w:sz w:val="14"/>
                <w:szCs w:val="14"/>
                <w:color w:val="231F20"/>
              </w:rPr>
              <w:t>60%</w:t>
            </w:r>
          </w:p>
        </w:tc>
        <w:tc>
          <w:tcPr>
            <w:tcW w:w="1460" w:type="dxa"/>
            <w:vAlign w:val="bottom"/>
            <w:tcBorders>
              <w:bottom w:val="single" w:sz="8" w:color="455986"/>
            </w:tcBorders>
          </w:tcPr>
          <w:p>
            <w:pPr>
              <w:jc w:val="right"/>
              <w:ind w:right="252"/>
              <w:spacing w:after="0"/>
              <w:rPr>
                <w:sz w:val="20"/>
                <w:szCs w:val="20"/>
                <w:color w:val="auto"/>
              </w:rPr>
            </w:pPr>
            <w:r>
              <w:rPr>
                <w:rFonts w:ascii="Arial" w:cs="Arial" w:eastAsia="Arial" w:hAnsi="Arial"/>
                <w:sz w:val="14"/>
                <w:szCs w:val="14"/>
                <w:color w:val="231F20"/>
              </w:rPr>
              <w:t>127.10%</w:t>
            </w:r>
          </w:p>
        </w:tc>
        <w:tc>
          <w:tcPr>
            <w:tcW w:w="1440" w:type="dxa"/>
            <w:vAlign w:val="bottom"/>
            <w:tcBorders>
              <w:bottom w:val="single" w:sz="8" w:color="455986"/>
            </w:tcBorders>
          </w:tcPr>
          <w:p>
            <w:pPr>
              <w:jc w:val="right"/>
              <w:ind w:right="231"/>
              <w:spacing w:after="0"/>
              <w:rPr>
                <w:sz w:val="20"/>
                <w:szCs w:val="20"/>
                <w:color w:val="auto"/>
              </w:rPr>
            </w:pPr>
            <w:r>
              <w:rPr>
                <w:rFonts w:ascii="Arial" w:cs="Arial" w:eastAsia="Arial" w:hAnsi="Arial"/>
                <w:sz w:val="14"/>
                <w:szCs w:val="14"/>
                <w:color w:val="231F20"/>
              </w:rPr>
              <w:t>14%</w:t>
            </w:r>
          </w:p>
        </w:tc>
        <w:tc>
          <w:tcPr>
            <w:tcW w:w="1160" w:type="dxa"/>
            <w:vAlign w:val="bottom"/>
            <w:tcBorders>
              <w:bottom w:val="single" w:sz="8" w:color="455986"/>
            </w:tcBorders>
          </w:tcPr>
          <w:p>
            <w:pPr>
              <w:jc w:val="right"/>
              <w:ind w:right="170"/>
              <w:spacing w:after="0"/>
              <w:rPr>
                <w:sz w:val="20"/>
                <w:szCs w:val="20"/>
                <w:color w:val="auto"/>
              </w:rPr>
            </w:pPr>
            <w:r>
              <w:rPr>
                <w:rFonts w:ascii="Arial" w:cs="Arial" w:eastAsia="Arial" w:hAnsi="Arial"/>
                <w:sz w:val="14"/>
                <w:szCs w:val="14"/>
                <w:color w:val="231F20"/>
              </w:rPr>
              <w:t>141.10%</w:t>
            </w:r>
          </w:p>
        </w:tc>
        <w:tc>
          <w:tcPr>
            <w:tcW w:w="520" w:type="dxa"/>
            <w:vAlign w:val="bottom"/>
            <w:tcBorders>
              <w:bottom w:val="single" w:sz="8" w:color="455986"/>
            </w:tcBorders>
          </w:tcPr>
          <w:p>
            <w:pPr>
              <w:jc w:val="right"/>
              <w:spacing w:after="0"/>
              <w:rPr>
                <w:sz w:val="20"/>
                <w:szCs w:val="20"/>
                <w:color w:val="auto"/>
              </w:rPr>
            </w:pPr>
            <w:r>
              <w:rPr>
                <w:rFonts w:ascii="Arial" w:cs="Arial" w:eastAsia="Arial" w:hAnsi="Arial"/>
                <w:sz w:val="14"/>
                <w:szCs w:val="14"/>
                <w:color w:val="231F20"/>
              </w:rPr>
              <w:t>$</w:t>
            </w:r>
          </w:p>
        </w:tc>
        <w:tc>
          <w:tcPr>
            <w:tcW w:w="580" w:type="dxa"/>
            <w:vAlign w:val="bottom"/>
            <w:tcBorders>
              <w:bottom w:val="single" w:sz="8" w:color="455986"/>
            </w:tcBorders>
          </w:tcPr>
          <w:p>
            <w:pPr>
              <w:jc w:val="right"/>
              <w:spacing w:after="0"/>
              <w:rPr>
                <w:sz w:val="20"/>
                <w:szCs w:val="20"/>
                <w:color w:val="auto"/>
              </w:rPr>
            </w:pPr>
            <w:r>
              <w:rPr>
                <w:rFonts w:ascii="Arial" w:cs="Arial" w:eastAsia="Arial" w:hAnsi="Arial"/>
                <w:sz w:val="14"/>
                <w:szCs w:val="14"/>
                <w:color w:val="231F20"/>
              </w:rPr>
              <w:t>326,519</w:t>
            </w:r>
          </w:p>
        </w:tc>
        <w:tc>
          <w:tcPr>
            <w:tcW w:w="0" w:type="dxa"/>
            <w:vAlign w:val="bottom"/>
          </w:tcPr>
          <w:p>
            <w:pPr>
              <w:spacing w:after="0"/>
              <w:rPr>
                <w:sz w:val="1"/>
                <w:szCs w:val="1"/>
                <w:color w:val="auto"/>
              </w:rPr>
            </w:pPr>
          </w:p>
        </w:tc>
      </w:tr>
    </w:tbl>
    <w:p>
      <w:pPr>
        <w:spacing w:after="0" w:line="137" w:lineRule="exact"/>
        <w:rPr>
          <w:sz w:val="20"/>
          <w:szCs w:val="20"/>
          <w:color w:val="auto"/>
        </w:rPr>
      </w:pPr>
    </w:p>
    <w:p>
      <w:pPr>
        <w:spacing w:after="0"/>
        <w:rPr>
          <w:sz w:val="20"/>
          <w:szCs w:val="20"/>
          <w:color w:val="auto"/>
        </w:rPr>
      </w:pPr>
      <w:r>
        <w:rPr>
          <w:rFonts w:ascii="Arial" w:cs="Arial" w:eastAsia="Arial" w:hAnsi="Arial"/>
          <w:sz w:val="13"/>
          <w:szCs w:val="13"/>
          <w:color w:val="231F20"/>
        </w:rPr>
        <w:t>* The 2020 Salary Rate is an annualized rate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118110</wp:posOffset>
            </wp:positionV>
            <wp:extent cx="7139940" cy="825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139940" cy="8255"/>
                    </a:xfrm>
                    <a:prstGeom prst="rect">
                      <a:avLst/>
                    </a:prstGeom>
                    <a:noFill/>
                  </pic:spPr>
                </pic:pic>
              </a:graphicData>
            </a:graphic>
          </wp:anchor>
        </w:drawing>
      </w:r>
    </w:p>
    <w:p>
      <w:pPr>
        <w:spacing w:after="0" w:line="236" w:lineRule="exact"/>
        <w:rPr>
          <w:sz w:val="20"/>
          <w:szCs w:val="20"/>
          <w:color w:val="auto"/>
        </w:rPr>
      </w:pPr>
    </w:p>
    <w:p>
      <w:pPr>
        <w:ind w:left="300" w:hanging="298"/>
        <w:spacing w:after="0"/>
        <w:tabs>
          <w:tab w:leader="none" w:pos="300" w:val="left"/>
        </w:tabs>
        <w:numPr>
          <w:ilvl w:val="0"/>
          <w:numId w:val="100"/>
        </w:numPr>
        <w:rPr>
          <w:rFonts w:ascii="Arial" w:cs="Arial" w:eastAsia="Arial" w:hAnsi="Arial"/>
          <w:sz w:val="15"/>
          <w:szCs w:val="15"/>
          <w:color w:val="455986"/>
        </w:rPr>
      </w:pPr>
      <w:r>
        <w:rPr>
          <w:rFonts w:ascii="Arial" w:cs="Arial" w:eastAsia="Arial" w:hAnsi="Arial"/>
          <w:sz w:val="12"/>
          <w:szCs w:val="12"/>
          <w:color w:val="4395D4"/>
        </w:rPr>
        <w:t xml:space="preserve">ESSENTIAL UTILITIES, INC. </w:t>
      </w:r>
      <w:r>
        <w:rPr>
          <w:rFonts w:ascii="Arial" w:cs="Arial" w:eastAsia="Arial" w:hAnsi="Arial"/>
          <w:sz w:val="12"/>
          <w:szCs w:val="12"/>
          <w:color w:val="455986"/>
        </w:rPr>
        <w:t>2021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316230</wp:posOffset>
            </wp:positionV>
            <wp:extent cx="7139940" cy="2413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139940" cy="24130"/>
                    </a:xfrm>
                    <a:prstGeom prst="rect">
                      <a:avLst/>
                    </a:prstGeom>
                    <a:noFill/>
                  </pic:spPr>
                </pic:pic>
              </a:graphicData>
            </a:graphic>
          </wp:anchor>
        </w:drawing>
      </w:r>
    </w:p>
    <w:p>
      <w:pPr>
        <w:sectPr>
          <w:pgSz w:w="11900" w:h="16838" w:orient="portrait"/>
          <w:cols w:equalWidth="0" w:num="1">
            <w:col w:w="11240"/>
          </w:cols>
          <w:pgMar w:left="320" w:top="636" w:right="339" w:bottom="1440" w:gutter="0" w:footer="0" w:header="0"/>
          <w:type w:val="continuous"/>
        </w:sectPr>
      </w:pPr>
    </w:p>
    <w:bookmarkStart w:id="57" w:name="page58"/>
    <w:bookmarkEnd w:id="57"/>
    <w:p>
      <w:pPr>
        <w:spacing w:after="0"/>
        <w:rPr>
          <w:sz w:val="20"/>
          <w:szCs w:val="20"/>
          <w:color w:val="auto"/>
        </w:rPr>
      </w:pPr>
      <w:r>
        <w:rPr>
          <w:rFonts w:ascii="Arial" w:cs="Arial" w:eastAsia="Arial" w:hAnsi="Arial"/>
          <w:sz w:val="14"/>
          <w:szCs w:val="14"/>
          <w:b w:val="1"/>
          <w:bCs w:val="1"/>
          <w:color w:val="455986"/>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27940</wp:posOffset>
            </wp:positionV>
            <wp:extent cx="7139940" cy="825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139940" cy="8255"/>
                    </a:xfrm>
                    <a:prstGeom prst="rect">
                      <a:avLst/>
                    </a:prstGeom>
                    <a:noFill/>
                  </pic:spPr>
                </pic:pic>
              </a:graphicData>
            </a:graphic>
          </wp:anchor>
        </w:drawing>
      </w:r>
    </w:p>
    <w:p>
      <w:pPr>
        <w:spacing w:after="0" w:line="76" w:lineRule="exact"/>
        <w:rPr>
          <w:sz w:val="20"/>
          <w:szCs w:val="20"/>
          <w:color w:val="auto"/>
        </w:rPr>
      </w:pPr>
    </w:p>
    <w:p>
      <w:pPr>
        <w:spacing w:after="0"/>
        <w:rPr>
          <w:sz w:val="20"/>
          <w:szCs w:val="20"/>
          <w:color w:val="auto"/>
        </w:rPr>
      </w:pPr>
      <w:r>
        <w:rPr>
          <w:rFonts w:ascii="Arial" w:cs="Arial" w:eastAsia="Arial" w:hAnsi="Arial"/>
          <w:sz w:val="14"/>
          <w:szCs w:val="14"/>
          <w:color w:val="4395D4"/>
        </w:rPr>
        <w:t xml:space="preserve">Section 3 </w:t>
      </w:r>
      <w:r>
        <w:rPr>
          <w:rFonts w:ascii="Arial" w:cs="Arial" w:eastAsia="Arial" w:hAnsi="Arial"/>
          <w:sz w:val="14"/>
          <w:szCs w:val="14"/>
          <w:color w:val="231F20"/>
        </w:rPr>
        <w:t>2020 Executive Compensation Program</w:t>
      </w:r>
    </w:p>
    <w:p>
      <w:pPr>
        <w:spacing w:after="0" w:line="161" w:lineRule="exact"/>
        <w:rPr>
          <w:sz w:val="20"/>
          <w:szCs w:val="20"/>
          <w:color w:val="auto"/>
        </w:rPr>
      </w:pPr>
    </w:p>
    <w:p>
      <w:pPr>
        <w:spacing w:after="0"/>
        <w:rPr>
          <w:sz w:val="20"/>
          <w:szCs w:val="20"/>
          <w:color w:val="auto"/>
        </w:rPr>
      </w:pPr>
      <w:r>
        <w:rPr>
          <w:rFonts w:ascii="Arial" w:cs="Arial" w:eastAsia="Arial" w:hAnsi="Arial"/>
          <w:sz w:val="20"/>
          <w:szCs w:val="20"/>
          <w:b w:val="1"/>
          <w:bCs w:val="1"/>
          <w:color w:val="231F20"/>
        </w:rPr>
        <w:t>Long-Term Equity Incentive Awards</w:t>
      </w:r>
    </w:p>
    <w:p>
      <w:pPr>
        <w:spacing w:after="0" w:line="166" w:lineRule="exact"/>
        <w:rPr>
          <w:sz w:val="20"/>
          <w:szCs w:val="20"/>
          <w:color w:val="auto"/>
        </w:rPr>
      </w:pPr>
    </w:p>
    <w:p>
      <w:pPr>
        <w:spacing w:after="0"/>
        <w:rPr>
          <w:sz w:val="20"/>
          <w:szCs w:val="20"/>
          <w:color w:val="auto"/>
        </w:rPr>
      </w:pPr>
      <w:r>
        <w:rPr>
          <w:rFonts w:ascii="Arial" w:cs="Arial" w:eastAsia="Arial" w:hAnsi="Arial"/>
          <w:sz w:val="14"/>
          <w:szCs w:val="14"/>
          <w:color w:val="231F20"/>
        </w:rPr>
        <w:t>Our use of equity incentive awards is intended to reward our named executive officers for:</w:t>
      </w:r>
    </w:p>
    <w:p>
      <w:pPr>
        <w:spacing w:after="0" w:line="145" w:lineRule="exact"/>
        <w:rPr>
          <w:sz w:val="20"/>
          <w:szCs w:val="20"/>
          <w:color w:val="auto"/>
        </w:rPr>
      </w:pPr>
    </w:p>
    <w:p>
      <w:pPr>
        <w:ind w:left="200" w:hanging="198"/>
        <w:spacing w:after="0"/>
        <w:tabs>
          <w:tab w:leader="none" w:pos="200" w:val="left"/>
        </w:tabs>
        <w:numPr>
          <w:ilvl w:val="0"/>
          <w:numId w:val="101"/>
        </w:numPr>
        <w:rPr>
          <w:rFonts w:ascii="Arial" w:cs="Arial" w:eastAsia="Arial" w:hAnsi="Arial"/>
          <w:sz w:val="14"/>
          <w:szCs w:val="14"/>
          <w:color w:val="4395D4"/>
        </w:rPr>
      </w:pPr>
      <w:r>
        <w:rPr>
          <w:rFonts w:ascii="Arial" w:cs="Arial" w:eastAsia="Arial" w:hAnsi="Arial"/>
          <w:sz w:val="14"/>
          <w:szCs w:val="14"/>
          <w:color w:val="231F20"/>
        </w:rPr>
        <w:t>Enhancing the Company’s financial health, which also benefits our customers;</w:t>
      </w:r>
    </w:p>
    <w:p>
      <w:pPr>
        <w:spacing w:after="0" w:line="68" w:lineRule="exact"/>
        <w:rPr>
          <w:rFonts w:ascii="Arial" w:cs="Arial" w:eastAsia="Arial" w:hAnsi="Arial"/>
          <w:sz w:val="14"/>
          <w:szCs w:val="14"/>
          <w:color w:val="4395D4"/>
        </w:rPr>
      </w:pPr>
    </w:p>
    <w:p>
      <w:pPr>
        <w:ind w:left="200" w:hanging="198"/>
        <w:spacing w:after="0"/>
        <w:tabs>
          <w:tab w:leader="none" w:pos="200" w:val="left"/>
        </w:tabs>
        <w:numPr>
          <w:ilvl w:val="0"/>
          <w:numId w:val="101"/>
        </w:numPr>
        <w:rPr>
          <w:rFonts w:ascii="Arial" w:cs="Arial" w:eastAsia="Arial" w:hAnsi="Arial"/>
          <w:sz w:val="14"/>
          <w:szCs w:val="14"/>
          <w:color w:val="4395D4"/>
        </w:rPr>
      </w:pPr>
      <w:r>
        <w:rPr>
          <w:rFonts w:ascii="Arial" w:cs="Arial" w:eastAsia="Arial" w:hAnsi="Arial"/>
          <w:sz w:val="14"/>
          <w:szCs w:val="14"/>
          <w:color w:val="231F20"/>
        </w:rPr>
        <w:t>Improving our long-term performance through both revenue increases and cost control; and</w:t>
      </w:r>
    </w:p>
    <w:p>
      <w:pPr>
        <w:spacing w:after="0" w:line="81" w:lineRule="exact"/>
        <w:rPr>
          <w:rFonts w:ascii="Arial" w:cs="Arial" w:eastAsia="Arial" w:hAnsi="Arial"/>
          <w:sz w:val="14"/>
          <w:szCs w:val="14"/>
          <w:color w:val="4395D4"/>
        </w:rPr>
      </w:pPr>
    </w:p>
    <w:p>
      <w:pPr>
        <w:ind w:left="200" w:hanging="198"/>
        <w:spacing w:after="0"/>
        <w:tabs>
          <w:tab w:leader="none" w:pos="200" w:val="left"/>
        </w:tabs>
        <w:numPr>
          <w:ilvl w:val="0"/>
          <w:numId w:val="101"/>
        </w:numPr>
        <w:rPr>
          <w:rFonts w:ascii="Arial" w:cs="Arial" w:eastAsia="Arial" w:hAnsi="Arial"/>
          <w:sz w:val="14"/>
          <w:szCs w:val="14"/>
          <w:color w:val="4395D4"/>
        </w:rPr>
      </w:pPr>
      <w:r>
        <w:rPr>
          <w:rFonts w:ascii="Arial" w:cs="Arial" w:eastAsia="Arial" w:hAnsi="Arial"/>
          <w:sz w:val="14"/>
          <w:szCs w:val="14"/>
          <w:color w:val="231F20"/>
        </w:rPr>
        <w:t>Achieving increases in the Company’s equity and shareholder value, as well as helping to retain these executives due to the longer-term nature of these awards.</w:t>
      </w:r>
    </w:p>
    <w:p>
      <w:pPr>
        <w:spacing w:after="0" w:line="81" w:lineRule="exact"/>
        <w:rPr>
          <w:sz w:val="20"/>
          <w:szCs w:val="20"/>
          <w:color w:val="auto"/>
        </w:rPr>
      </w:pPr>
    </w:p>
    <w:p>
      <w:pPr>
        <w:ind w:right="120"/>
        <w:spacing w:after="0" w:line="245" w:lineRule="auto"/>
        <w:rPr>
          <w:sz w:val="20"/>
          <w:szCs w:val="20"/>
          <w:color w:val="auto"/>
        </w:rPr>
      </w:pPr>
      <w:r>
        <w:rPr>
          <w:rFonts w:ascii="Arial" w:cs="Arial" w:eastAsia="Arial" w:hAnsi="Arial"/>
          <w:sz w:val="14"/>
          <w:szCs w:val="14"/>
          <w:color w:val="231F20"/>
        </w:rPr>
        <w:t>We make these equity incentive awards under our Amended and Restated Omnibus Equity Compensation Plan (the Plan). Under the Plan, the Compensation Committee and the Board of Directors may grant stock options, dividend equivalents, performance- based or service-based stock units and stock awards, stock appreciation rights and other stock-based awards to officers, directors, key employees and key consultants of the Company and its subsidiaries who are in a position to contribute materially to the successful operation of our business.</w:t>
      </w:r>
    </w:p>
    <w:p>
      <w:pPr>
        <w:spacing w:after="0" w:line="108" w:lineRule="exact"/>
        <w:rPr>
          <w:sz w:val="20"/>
          <w:szCs w:val="20"/>
          <w:color w:val="auto"/>
        </w:rPr>
      </w:pPr>
    </w:p>
    <w:p>
      <w:pPr>
        <w:ind w:right="200"/>
        <w:spacing w:after="0" w:line="245" w:lineRule="auto"/>
        <w:rPr>
          <w:sz w:val="20"/>
          <w:szCs w:val="20"/>
          <w:color w:val="auto"/>
        </w:rPr>
      </w:pPr>
      <w:r>
        <w:rPr>
          <w:rFonts w:ascii="Arial" w:cs="Arial" w:eastAsia="Arial" w:hAnsi="Arial"/>
          <w:sz w:val="14"/>
          <w:szCs w:val="14"/>
          <w:color w:val="231F20"/>
        </w:rPr>
        <w:t>Starting in 2011, the Compensation Committee began using a combination of performance share units and restricted stock units to better link the named executive officers’ long-term incentive compensation to performance results that led to increased shareholder value and enhanced our long-term financial stability, which also benefits our customers. As noted, previously, however, the Compensation Committee did not make performance share units awards in 2019 due to the uncertainties associated with the pending Peoples Natural Gas acquisition. In 2020, the long-term incentive program returned to awarding a combination of performance share units and restricted stock units.</w:t>
      </w:r>
    </w:p>
    <w:p>
      <w:pPr>
        <w:sectPr>
          <w:pgSz w:w="11900" w:h="16838" w:orient="portrait"/>
          <w:cols w:equalWidth="0" w:num="1">
            <w:col w:w="11240"/>
          </w:cols>
          <w:pgMar w:left="320" w:top="637" w:right="339" w:bottom="1440" w:gutter="0" w:footer="0" w:header="0"/>
        </w:sectPr>
      </w:pPr>
    </w:p>
    <w:p>
      <w:pPr>
        <w:spacing w:after="0" w:line="108" w:lineRule="exact"/>
        <w:rPr>
          <w:sz w:val="20"/>
          <w:szCs w:val="20"/>
          <w:color w:val="auto"/>
        </w:rPr>
      </w:pPr>
    </w:p>
    <w:p>
      <w:pPr>
        <w:spacing w:after="0"/>
        <w:rPr>
          <w:sz w:val="20"/>
          <w:szCs w:val="20"/>
          <w:color w:val="auto"/>
        </w:rPr>
      </w:pPr>
      <w:r>
        <w:rPr>
          <w:rFonts w:ascii="Arial" w:cs="Arial" w:eastAsia="Arial" w:hAnsi="Arial"/>
          <w:sz w:val="14"/>
          <w:szCs w:val="14"/>
          <w:color w:val="231F20"/>
        </w:rPr>
        <w:t>We aim to strike a balance between the incentive and retention goals of our equity grants:</w:t>
      </w:r>
    </w:p>
    <w:p>
      <w:pPr>
        <w:spacing w:after="0" w:line="145" w:lineRule="exact"/>
        <w:rPr>
          <w:sz w:val="20"/>
          <w:szCs w:val="20"/>
          <w:color w:val="auto"/>
        </w:rPr>
      </w:pPr>
    </w:p>
    <w:p>
      <w:pPr>
        <w:ind w:left="180" w:right="440" w:hanging="178"/>
        <w:spacing w:after="0" w:line="278" w:lineRule="auto"/>
        <w:tabs>
          <w:tab w:leader="none" w:pos="181" w:val="left"/>
        </w:tabs>
        <w:numPr>
          <w:ilvl w:val="0"/>
          <w:numId w:val="102"/>
        </w:numPr>
        <w:rPr>
          <w:rFonts w:ascii="Arial" w:cs="Arial" w:eastAsia="Arial" w:hAnsi="Arial"/>
          <w:sz w:val="14"/>
          <w:szCs w:val="14"/>
          <w:color w:val="4395D4"/>
        </w:rPr>
      </w:pPr>
      <w:r>
        <w:rPr>
          <w:rFonts w:ascii="Arial" w:cs="Arial" w:eastAsia="Arial" w:hAnsi="Arial"/>
          <w:sz w:val="14"/>
          <w:szCs w:val="14"/>
          <w:color w:val="231F20"/>
        </w:rPr>
        <w:t>All of the equity grants to our Chief Executive Officer are subject to performance goals.</w:t>
      </w:r>
    </w:p>
    <w:p>
      <w:pPr>
        <w:spacing w:after="0" w:line="20" w:lineRule="exact"/>
        <w:rPr>
          <w:sz w:val="20"/>
          <w:szCs w:val="20"/>
          <w:color w:val="auto"/>
        </w:rPr>
      </w:pPr>
      <w:r>
        <w:rPr>
          <w:sz w:val="20"/>
          <w:szCs w:val="20"/>
          <w:color w:val="auto"/>
        </w:rPr>
        <w:br w:type="column"/>
      </w:r>
    </w:p>
    <w:p>
      <w:pPr>
        <w:spacing w:after="0" w:line="395" w:lineRule="exact"/>
        <w:rPr>
          <w:sz w:val="20"/>
          <w:szCs w:val="20"/>
          <w:color w:val="auto"/>
        </w:rPr>
      </w:pPr>
    </w:p>
    <w:p>
      <w:pPr>
        <w:ind w:left="180" w:right="160" w:hanging="180"/>
        <w:spacing w:after="0" w:line="253" w:lineRule="auto"/>
        <w:tabs>
          <w:tab w:leader="none" w:pos="181" w:val="left"/>
        </w:tabs>
        <w:numPr>
          <w:ilvl w:val="0"/>
          <w:numId w:val="103"/>
        </w:numPr>
        <w:rPr>
          <w:rFonts w:ascii="Arial" w:cs="Arial" w:eastAsia="Arial" w:hAnsi="Arial"/>
          <w:sz w:val="14"/>
          <w:szCs w:val="14"/>
          <w:color w:val="4395D4"/>
        </w:rPr>
      </w:pPr>
      <w:r>
        <w:rPr>
          <w:rFonts w:ascii="Arial" w:cs="Arial" w:eastAsia="Arial" w:hAnsi="Arial"/>
          <w:sz w:val="14"/>
          <w:szCs w:val="14"/>
          <w:color w:val="231F20"/>
        </w:rPr>
        <w:t>For our other named executive officers, seventy percent of the equity grant is performance-based, and thirty percent is in the form of service-based restricted stock units.</w:t>
      </w:r>
    </w:p>
    <w:p>
      <w:pPr>
        <w:spacing w:after="0" w:line="103" w:lineRule="exact"/>
        <w:rPr>
          <w:sz w:val="20"/>
          <w:szCs w:val="20"/>
          <w:color w:val="auto"/>
        </w:rPr>
      </w:pPr>
    </w:p>
    <w:p>
      <w:pPr>
        <w:sectPr>
          <w:pgSz w:w="11900" w:h="16838" w:orient="portrait"/>
          <w:cols w:equalWidth="0" w:num="2">
            <w:col w:w="5720" w:space="140"/>
            <w:col w:w="5380"/>
          </w:cols>
          <w:pgMar w:left="320" w:top="637" w:right="339" w:bottom="1440" w:gutter="0" w:footer="0" w:header="0"/>
          <w:type w:val="continuous"/>
        </w:sectPr>
      </w:pPr>
    </w:p>
    <w:p>
      <w:pPr>
        <w:ind w:right="140"/>
        <w:spacing w:after="0" w:line="253" w:lineRule="auto"/>
        <w:rPr>
          <w:sz w:val="20"/>
          <w:szCs w:val="20"/>
          <w:color w:val="auto"/>
        </w:rPr>
      </w:pPr>
      <w:r>
        <w:rPr>
          <w:rFonts w:ascii="Arial" w:cs="Arial" w:eastAsia="Arial" w:hAnsi="Arial"/>
          <w:sz w:val="14"/>
          <w:szCs w:val="14"/>
          <w:color w:val="231F20"/>
        </w:rPr>
        <w:t>Using the market median rates developed by Pay Governance, the Compensation Committee evaluates the annual equity incentive awards made to the named executive officers as part of the total compensation package designed to be competitive with the benchmarked group and our industry. The Compensation Committee does not consider any increase or decrease in the value of past equity incentive awards in making these annual decisions.</w:t>
      </w:r>
    </w:p>
    <w:p>
      <w:pPr>
        <w:spacing w:after="0" w:line="103" w:lineRule="exact"/>
        <w:rPr>
          <w:sz w:val="20"/>
          <w:szCs w:val="20"/>
          <w:color w:val="auto"/>
        </w:rPr>
      </w:pPr>
    </w:p>
    <w:p>
      <w:pPr>
        <w:ind w:right="140"/>
        <w:spacing w:after="0" w:line="278" w:lineRule="auto"/>
        <w:rPr>
          <w:sz w:val="20"/>
          <w:szCs w:val="20"/>
          <w:color w:val="auto"/>
        </w:rPr>
      </w:pPr>
      <w:r>
        <w:rPr>
          <w:rFonts w:ascii="Arial" w:cs="Arial" w:eastAsia="Arial" w:hAnsi="Arial"/>
          <w:sz w:val="14"/>
          <w:szCs w:val="14"/>
          <w:color w:val="231F20"/>
        </w:rPr>
        <w:t>In considering the number of equity incentive awards to be granted in total to all employees each year, the Compensation Committee considers the number of equity incentive awards outstanding and the number of equity incentive awards to be awarded as a percentage of Essential’s total shares outstanding.</w:t>
      </w:r>
    </w:p>
    <w:p>
      <w:pPr>
        <w:spacing w:after="0" w:line="84" w:lineRule="exact"/>
        <w:rPr>
          <w:sz w:val="20"/>
          <w:szCs w:val="20"/>
          <w:color w:val="auto"/>
        </w:rPr>
      </w:pPr>
    </w:p>
    <w:p>
      <w:pPr>
        <w:ind w:right="500"/>
        <w:spacing w:after="0" w:line="293" w:lineRule="auto"/>
        <w:rPr>
          <w:sz w:val="20"/>
          <w:szCs w:val="20"/>
          <w:color w:val="auto"/>
        </w:rPr>
      </w:pPr>
      <w:r>
        <w:rPr>
          <w:rFonts w:ascii="Arial" w:cs="Arial" w:eastAsia="Arial" w:hAnsi="Arial"/>
          <w:sz w:val="14"/>
          <w:szCs w:val="14"/>
          <w:b w:val="1"/>
          <w:bCs w:val="1"/>
          <w:color w:val="231F20"/>
        </w:rPr>
        <w:t>The number of equity incentive awards granted annually to all employees has been less than 1% of Essential’s total shares outstanding per year for the past several years. It is our equity granting policy to make all equity incentive awards on the same grant date.</w:t>
      </w:r>
    </w:p>
    <w:p>
      <w:pPr>
        <w:spacing w:after="0" w:line="65" w:lineRule="exact"/>
        <w:rPr>
          <w:sz w:val="20"/>
          <w:szCs w:val="20"/>
          <w:color w:val="auto"/>
        </w:rPr>
      </w:pPr>
    </w:p>
    <w:p>
      <w:pPr>
        <w:spacing w:after="0"/>
        <w:rPr>
          <w:sz w:val="20"/>
          <w:szCs w:val="20"/>
          <w:color w:val="auto"/>
        </w:rPr>
      </w:pPr>
      <w:r>
        <w:rPr>
          <w:rFonts w:ascii="Arial" w:cs="Arial" w:eastAsia="Arial" w:hAnsi="Arial"/>
          <w:sz w:val="17"/>
          <w:szCs w:val="17"/>
          <w:b w:val="1"/>
          <w:bCs w:val="1"/>
          <w:color w:val="4395D4"/>
        </w:rPr>
        <w:t>Long Term Equity Incentive Awards Mix</w:t>
      </w:r>
    </w:p>
    <w:p>
      <w:pPr>
        <w:spacing w:after="0" w:line="153" w:lineRule="exact"/>
        <w:rPr>
          <w:sz w:val="20"/>
          <w:szCs w:val="20"/>
          <w:color w:val="auto"/>
        </w:rPr>
      </w:pPr>
    </w:p>
    <w:p>
      <w:pPr>
        <w:ind w:right="40"/>
        <w:spacing w:after="0" w:line="253" w:lineRule="auto"/>
        <w:rPr>
          <w:sz w:val="20"/>
          <w:szCs w:val="20"/>
          <w:color w:val="auto"/>
        </w:rPr>
      </w:pPr>
      <w:r>
        <w:rPr>
          <w:rFonts w:ascii="Arial" w:cs="Arial" w:eastAsia="Arial" w:hAnsi="Arial"/>
          <w:sz w:val="14"/>
          <w:szCs w:val="14"/>
          <w:color w:val="231F20"/>
        </w:rPr>
        <w:t>Performance-based equity awards provide guidance and incentives to management for building shareholder growth, while restricted share units provide retention benefits while closely aligning management with the shareholders. The Compensation Committee is also focused on tying the awards to the appropriate metric. Below are charts describing the balance between the performance share units’ metrics, performance-based options, and restricted stock units’ payouts for 2018-2021:</w:t>
      </w:r>
    </w:p>
    <w:p>
      <w:pPr>
        <w:spacing w:after="0" w:line="106" w:lineRule="exact"/>
        <w:rPr>
          <w:sz w:val="20"/>
          <w:szCs w:val="20"/>
          <w:color w:val="auto"/>
        </w:rPr>
      </w:pPr>
    </w:p>
    <w:p>
      <w:pPr>
        <w:spacing w:after="0"/>
        <w:rPr>
          <w:sz w:val="20"/>
          <w:szCs w:val="20"/>
          <w:color w:val="auto"/>
        </w:rPr>
      </w:pPr>
      <w:r>
        <w:rPr>
          <w:rFonts w:ascii="Arial" w:cs="Arial" w:eastAsia="Arial" w:hAnsi="Arial"/>
          <w:sz w:val="15"/>
          <w:szCs w:val="15"/>
          <w:b w:val="1"/>
          <w:bCs w:val="1"/>
          <w:color w:val="231F20"/>
        </w:rPr>
        <w:t>Long-Term Equity Mix for 2018-2021</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2040" w:type="dxa"/>
            <w:vAlign w:val="bottom"/>
            <w:vMerge w:val="restart"/>
          </w:tcPr>
          <w:p>
            <w:pPr>
              <w:spacing w:after="0"/>
              <w:rPr>
                <w:sz w:val="20"/>
                <w:szCs w:val="20"/>
                <w:color w:val="auto"/>
              </w:rPr>
            </w:pPr>
            <w:r>
              <w:rPr>
                <w:rFonts w:ascii="Arial" w:cs="Arial" w:eastAsia="Arial" w:hAnsi="Arial"/>
                <w:sz w:val="12"/>
                <w:szCs w:val="12"/>
                <w:color w:val="455986"/>
              </w:rPr>
              <w:t>Award Year</w:t>
            </w:r>
          </w:p>
        </w:tc>
        <w:tc>
          <w:tcPr>
            <w:tcW w:w="2740" w:type="dxa"/>
            <w:vAlign w:val="bottom"/>
          </w:tcPr>
          <w:p>
            <w:pPr>
              <w:jc w:val="right"/>
              <w:ind w:right="532"/>
              <w:spacing w:after="0"/>
              <w:rPr>
                <w:sz w:val="20"/>
                <w:szCs w:val="20"/>
                <w:color w:val="auto"/>
              </w:rPr>
            </w:pPr>
            <w:r>
              <w:rPr>
                <w:rFonts w:ascii="Arial" w:cs="Arial" w:eastAsia="Arial" w:hAnsi="Arial"/>
                <w:sz w:val="12"/>
                <w:szCs w:val="12"/>
                <w:color w:val="455986"/>
              </w:rPr>
              <w:t>Performance</w:t>
            </w:r>
          </w:p>
        </w:tc>
        <w:tc>
          <w:tcPr>
            <w:tcW w:w="1500" w:type="dxa"/>
            <w:vAlign w:val="bottom"/>
          </w:tcPr>
          <w:p>
            <w:pPr>
              <w:jc w:val="right"/>
              <w:ind w:right="352"/>
              <w:spacing w:after="0"/>
              <w:rPr>
                <w:sz w:val="20"/>
                <w:szCs w:val="20"/>
                <w:color w:val="auto"/>
              </w:rPr>
            </w:pPr>
            <w:r>
              <w:rPr>
                <w:rFonts w:ascii="Arial" w:cs="Arial" w:eastAsia="Arial" w:hAnsi="Arial"/>
                <w:sz w:val="12"/>
                <w:szCs w:val="12"/>
                <w:color w:val="455986"/>
              </w:rPr>
              <w:t>Payment</w:t>
            </w:r>
          </w:p>
        </w:tc>
        <w:tc>
          <w:tcPr>
            <w:tcW w:w="1740" w:type="dxa"/>
            <w:vAlign w:val="bottom"/>
          </w:tcPr>
          <w:p>
            <w:pPr>
              <w:jc w:val="right"/>
              <w:ind w:right="552"/>
              <w:spacing w:after="0"/>
              <w:rPr>
                <w:sz w:val="20"/>
                <w:szCs w:val="20"/>
                <w:color w:val="auto"/>
              </w:rPr>
            </w:pPr>
            <w:r>
              <w:rPr>
                <w:rFonts w:ascii="Arial" w:cs="Arial" w:eastAsia="Arial" w:hAnsi="Arial"/>
                <w:sz w:val="12"/>
                <w:szCs w:val="12"/>
                <w:color w:val="455986"/>
              </w:rPr>
              <w:t>Performance</w:t>
            </w:r>
          </w:p>
        </w:tc>
        <w:tc>
          <w:tcPr>
            <w:tcW w:w="2140" w:type="dxa"/>
            <w:vAlign w:val="bottom"/>
          </w:tcPr>
          <w:p>
            <w:pPr>
              <w:jc w:val="right"/>
              <w:ind w:right="452"/>
              <w:spacing w:after="0"/>
              <w:rPr>
                <w:sz w:val="20"/>
                <w:szCs w:val="20"/>
                <w:color w:val="auto"/>
              </w:rPr>
            </w:pPr>
            <w:r>
              <w:rPr>
                <w:rFonts w:ascii="Arial" w:cs="Arial" w:eastAsia="Arial" w:hAnsi="Arial"/>
                <w:sz w:val="12"/>
                <w:szCs w:val="12"/>
                <w:color w:val="455986"/>
              </w:rPr>
              <w:t>Performance Based</w:t>
            </w:r>
          </w:p>
        </w:tc>
        <w:tc>
          <w:tcPr>
            <w:tcW w:w="1080" w:type="dxa"/>
            <w:vAlign w:val="bottom"/>
          </w:tcPr>
          <w:p>
            <w:pPr>
              <w:jc w:val="right"/>
              <w:spacing w:after="0"/>
              <w:rPr>
                <w:sz w:val="20"/>
                <w:szCs w:val="20"/>
                <w:color w:val="auto"/>
              </w:rPr>
            </w:pPr>
            <w:r>
              <w:rPr>
                <w:rFonts w:ascii="Arial" w:cs="Arial" w:eastAsia="Arial" w:hAnsi="Arial"/>
                <w:sz w:val="12"/>
                <w:szCs w:val="12"/>
                <w:color w:val="455986"/>
              </w:rPr>
              <w:t>Restricted</w:t>
            </w:r>
          </w:p>
        </w:tc>
        <w:tc>
          <w:tcPr>
            <w:tcW w:w="0" w:type="dxa"/>
            <w:vAlign w:val="bottom"/>
          </w:tcPr>
          <w:p>
            <w:pPr>
              <w:spacing w:after="0"/>
              <w:rPr>
                <w:sz w:val="1"/>
                <w:szCs w:val="1"/>
                <w:color w:val="auto"/>
              </w:rPr>
            </w:pPr>
          </w:p>
        </w:tc>
      </w:tr>
      <w:tr>
        <w:trPr>
          <w:trHeight w:val="166"/>
        </w:trPr>
        <w:tc>
          <w:tcPr>
            <w:tcW w:w="2040" w:type="dxa"/>
            <w:vAlign w:val="bottom"/>
            <w:tcBorders>
              <w:bottom w:val="single" w:sz="8" w:color="4395D4"/>
            </w:tcBorders>
            <w:vMerge w:val="continue"/>
          </w:tcPr>
          <w:p>
            <w:pPr>
              <w:spacing w:after="0"/>
              <w:rPr>
                <w:sz w:val="14"/>
                <w:szCs w:val="14"/>
                <w:color w:val="auto"/>
              </w:rPr>
            </w:pPr>
          </w:p>
        </w:tc>
        <w:tc>
          <w:tcPr>
            <w:tcW w:w="2740" w:type="dxa"/>
            <w:vAlign w:val="bottom"/>
            <w:tcBorders>
              <w:bottom w:val="single" w:sz="8" w:color="4395D4"/>
            </w:tcBorders>
          </w:tcPr>
          <w:p>
            <w:pPr>
              <w:jc w:val="right"/>
              <w:ind w:right="532"/>
              <w:spacing w:after="0"/>
              <w:rPr>
                <w:sz w:val="20"/>
                <w:szCs w:val="20"/>
                <w:color w:val="auto"/>
              </w:rPr>
            </w:pPr>
            <w:r>
              <w:rPr>
                <w:rFonts w:ascii="Arial" w:cs="Arial" w:eastAsia="Arial" w:hAnsi="Arial"/>
                <w:sz w:val="12"/>
                <w:szCs w:val="12"/>
                <w:color w:val="455986"/>
              </w:rPr>
              <w:t>Period</w:t>
            </w:r>
          </w:p>
        </w:tc>
        <w:tc>
          <w:tcPr>
            <w:tcW w:w="1500" w:type="dxa"/>
            <w:vAlign w:val="bottom"/>
            <w:tcBorders>
              <w:bottom w:val="single" w:sz="8" w:color="4395D4"/>
            </w:tcBorders>
          </w:tcPr>
          <w:p>
            <w:pPr>
              <w:jc w:val="right"/>
              <w:ind w:right="352"/>
              <w:spacing w:after="0"/>
              <w:rPr>
                <w:sz w:val="20"/>
                <w:szCs w:val="20"/>
                <w:color w:val="auto"/>
              </w:rPr>
            </w:pPr>
            <w:r>
              <w:rPr>
                <w:rFonts w:ascii="Arial" w:cs="Arial" w:eastAsia="Arial" w:hAnsi="Arial"/>
                <w:sz w:val="12"/>
                <w:szCs w:val="12"/>
                <w:color w:val="455986"/>
              </w:rPr>
              <w:t>Year</w:t>
            </w:r>
          </w:p>
        </w:tc>
        <w:tc>
          <w:tcPr>
            <w:tcW w:w="1740" w:type="dxa"/>
            <w:vAlign w:val="bottom"/>
            <w:tcBorders>
              <w:bottom w:val="single" w:sz="8" w:color="4395D4"/>
            </w:tcBorders>
          </w:tcPr>
          <w:p>
            <w:pPr>
              <w:jc w:val="right"/>
              <w:ind w:right="512"/>
              <w:spacing w:after="0"/>
              <w:rPr>
                <w:sz w:val="20"/>
                <w:szCs w:val="20"/>
                <w:color w:val="auto"/>
              </w:rPr>
            </w:pPr>
            <w:r>
              <w:rPr>
                <w:rFonts w:ascii="Arial" w:cs="Arial" w:eastAsia="Arial" w:hAnsi="Arial"/>
                <w:sz w:val="12"/>
                <w:szCs w:val="12"/>
                <w:color w:val="455986"/>
              </w:rPr>
              <w:t>Share Units</w:t>
            </w:r>
          </w:p>
        </w:tc>
        <w:tc>
          <w:tcPr>
            <w:tcW w:w="2140" w:type="dxa"/>
            <w:vAlign w:val="bottom"/>
            <w:tcBorders>
              <w:bottom w:val="single" w:sz="8" w:color="4395D4"/>
            </w:tcBorders>
          </w:tcPr>
          <w:p>
            <w:pPr>
              <w:jc w:val="right"/>
              <w:ind w:right="412"/>
              <w:spacing w:after="0"/>
              <w:rPr>
                <w:sz w:val="20"/>
                <w:szCs w:val="20"/>
                <w:color w:val="auto"/>
              </w:rPr>
            </w:pPr>
            <w:r>
              <w:rPr>
                <w:rFonts w:ascii="Arial" w:cs="Arial" w:eastAsia="Arial" w:hAnsi="Arial"/>
                <w:sz w:val="12"/>
                <w:szCs w:val="12"/>
                <w:color w:val="455986"/>
              </w:rPr>
              <w:t>Stock Options</w:t>
            </w:r>
          </w:p>
        </w:tc>
        <w:tc>
          <w:tcPr>
            <w:tcW w:w="1080" w:type="dxa"/>
            <w:vAlign w:val="bottom"/>
            <w:tcBorders>
              <w:bottom w:val="single" w:sz="8" w:color="4395D4"/>
            </w:tcBorders>
          </w:tcPr>
          <w:p>
            <w:pPr>
              <w:jc w:val="right"/>
              <w:spacing w:after="0"/>
              <w:rPr>
                <w:sz w:val="20"/>
                <w:szCs w:val="20"/>
                <w:color w:val="auto"/>
              </w:rPr>
            </w:pPr>
            <w:r>
              <w:rPr>
                <w:rFonts w:ascii="Arial" w:cs="Arial" w:eastAsia="Arial" w:hAnsi="Arial"/>
                <w:sz w:val="12"/>
                <w:szCs w:val="12"/>
                <w:color w:val="455986"/>
              </w:rPr>
              <w:t>Stock Units</w:t>
            </w:r>
          </w:p>
        </w:tc>
        <w:tc>
          <w:tcPr>
            <w:tcW w:w="0" w:type="dxa"/>
            <w:vAlign w:val="bottom"/>
          </w:tcPr>
          <w:p>
            <w:pPr>
              <w:spacing w:after="0"/>
              <w:rPr>
                <w:sz w:val="1"/>
                <w:szCs w:val="1"/>
                <w:color w:val="auto"/>
              </w:rPr>
            </w:pPr>
          </w:p>
        </w:tc>
      </w:tr>
      <w:tr>
        <w:trPr>
          <w:trHeight w:val="203"/>
        </w:trPr>
        <w:tc>
          <w:tcPr>
            <w:tcW w:w="2040" w:type="dxa"/>
            <w:vAlign w:val="bottom"/>
            <w:tcBorders>
              <w:bottom w:val="single" w:sz="8" w:color="231F20"/>
            </w:tcBorders>
          </w:tcPr>
          <w:p>
            <w:pPr>
              <w:spacing w:after="0"/>
              <w:rPr>
                <w:sz w:val="20"/>
                <w:szCs w:val="20"/>
                <w:color w:val="auto"/>
              </w:rPr>
            </w:pPr>
            <w:r>
              <w:rPr>
                <w:rFonts w:ascii="Arial" w:cs="Arial" w:eastAsia="Arial" w:hAnsi="Arial"/>
                <w:sz w:val="14"/>
                <w:szCs w:val="14"/>
                <w:b w:val="1"/>
                <w:bCs w:val="1"/>
                <w:color w:val="455986"/>
              </w:rPr>
              <w:t>2018</w:t>
            </w:r>
          </w:p>
        </w:tc>
        <w:tc>
          <w:tcPr>
            <w:tcW w:w="2740" w:type="dxa"/>
            <w:vAlign w:val="bottom"/>
            <w:tcBorders>
              <w:bottom w:val="single" w:sz="8" w:color="231F20"/>
            </w:tcBorders>
          </w:tcPr>
          <w:p>
            <w:pPr>
              <w:jc w:val="right"/>
              <w:ind w:right="532"/>
              <w:spacing w:after="0"/>
              <w:rPr>
                <w:sz w:val="20"/>
                <w:szCs w:val="20"/>
                <w:color w:val="auto"/>
              </w:rPr>
            </w:pPr>
            <w:r>
              <w:rPr>
                <w:rFonts w:ascii="Arial" w:cs="Arial" w:eastAsia="Arial" w:hAnsi="Arial"/>
                <w:sz w:val="14"/>
                <w:szCs w:val="14"/>
                <w:b w:val="1"/>
                <w:bCs w:val="1"/>
                <w:color w:val="455986"/>
              </w:rPr>
              <w:t>2018-2020</w:t>
            </w:r>
          </w:p>
        </w:tc>
        <w:tc>
          <w:tcPr>
            <w:tcW w:w="1500" w:type="dxa"/>
            <w:vAlign w:val="bottom"/>
            <w:tcBorders>
              <w:bottom w:val="single" w:sz="8" w:color="231F20"/>
            </w:tcBorders>
          </w:tcPr>
          <w:p>
            <w:pPr>
              <w:jc w:val="right"/>
              <w:ind w:right="352"/>
              <w:spacing w:after="0"/>
              <w:rPr>
                <w:sz w:val="20"/>
                <w:szCs w:val="20"/>
                <w:color w:val="auto"/>
              </w:rPr>
            </w:pPr>
            <w:r>
              <w:rPr>
                <w:rFonts w:ascii="Arial" w:cs="Arial" w:eastAsia="Arial" w:hAnsi="Arial"/>
                <w:sz w:val="14"/>
                <w:szCs w:val="14"/>
                <w:b w:val="1"/>
                <w:bCs w:val="1"/>
                <w:color w:val="455986"/>
              </w:rPr>
              <w:t>2021</w:t>
            </w:r>
          </w:p>
        </w:tc>
        <w:tc>
          <w:tcPr>
            <w:tcW w:w="1740" w:type="dxa"/>
            <w:vAlign w:val="bottom"/>
            <w:tcBorders>
              <w:bottom w:val="single" w:sz="8" w:color="231F20"/>
            </w:tcBorders>
          </w:tcPr>
          <w:p>
            <w:pPr>
              <w:jc w:val="right"/>
              <w:ind w:right="512"/>
              <w:spacing w:after="0"/>
              <w:rPr>
                <w:sz w:val="20"/>
                <w:szCs w:val="20"/>
                <w:color w:val="auto"/>
              </w:rPr>
            </w:pPr>
            <w:r>
              <w:rPr>
                <w:rFonts w:ascii="Arial" w:cs="Arial" w:eastAsia="Arial" w:hAnsi="Arial"/>
                <w:sz w:val="14"/>
                <w:szCs w:val="14"/>
                <w:color w:val="231F20"/>
              </w:rPr>
              <w:t>53%</w:t>
            </w:r>
          </w:p>
        </w:tc>
        <w:tc>
          <w:tcPr>
            <w:tcW w:w="2140" w:type="dxa"/>
            <w:vAlign w:val="bottom"/>
            <w:tcBorders>
              <w:bottom w:val="single" w:sz="8" w:color="231F20"/>
            </w:tcBorders>
          </w:tcPr>
          <w:p>
            <w:pPr>
              <w:jc w:val="right"/>
              <w:ind w:right="412"/>
              <w:spacing w:after="0"/>
              <w:rPr>
                <w:sz w:val="20"/>
                <w:szCs w:val="20"/>
                <w:color w:val="auto"/>
              </w:rPr>
            </w:pPr>
            <w:r>
              <w:rPr>
                <w:rFonts w:ascii="Arial" w:cs="Arial" w:eastAsia="Arial" w:hAnsi="Arial"/>
                <w:sz w:val="14"/>
                <w:szCs w:val="14"/>
                <w:color w:val="231F20"/>
              </w:rPr>
              <w:t>13%</w:t>
            </w:r>
          </w:p>
        </w:tc>
        <w:tc>
          <w:tcPr>
            <w:tcW w:w="1080" w:type="dxa"/>
            <w:vAlign w:val="bottom"/>
            <w:tcBorders>
              <w:bottom w:val="single" w:sz="8" w:color="231F20"/>
            </w:tcBorders>
          </w:tcPr>
          <w:p>
            <w:pPr>
              <w:jc w:val="right"/>
              <w:spacing w:after="0"/>
              <w:rPr>
                <w:sz w:val="20"/>
                <w:szCs w:val="20"/>
                <w:color w:val="auto"/>
              </w:rPr>
            </w:pPr>
            <w:r>
              <w:rPr>
                <w:rFonts w:ascii="Arial" w:cs="Arial" w:eastAsia="Arial" w:hAnsi="Arial"/>
                <w:sz w:val="14"/>
                <w:szCs w:val="14"/>
                <w:color w:val="231F20"/>
              </w:rPr>
              <w:t>33%</w:t>
            </w:r>
          </w:p>
        </w:tc>
        <w:tc>
          <w:tcPr>
            <w:tcW w:w="0" w:type="dxa"/>
            <w:vAlign w:val="bottom"/>
          </w:tcPr>
          <w:p>
            <w:pPr>
              <w:spacing w:after="0"/>
              <w:rPr>
                <w:sz w:val="1"/>
                <w:szCs w:val="1"/>
                <w:color w:val="auto"/>
              </w:rPr>
            </w:pPr>
          </w:p>
        </w:tc>
      </w:tr>
      <w:tr>
        <w:trPr>
          <w:trHeight w:val="197"/>
        </w:trPr>
        <w:tc>
          <w:tcPr>
            <w:tcW w:w="2040" w:type="dxa"/>
            <w:vAlign w:val="bottom"/>
            <w:tcBorders>
              <w:bottom w:val="single" w:sz="8" w:color="231F20"/>
            </w:tcBorders>
          </w:tcPr>
          <w:p>
            <w:pPr>
              <w:spacing w:after="0"/>
              <w:rPr>
                <w:sz w:val="20"/>
                <w:szCs w:val="20"/>
                <w:color w:val="auto"/>
              </w:rPr>
            </w:pPr>
            <w:r>
              <w:rPr>
                <w:rFonts w:ascii="Arial" w:cs="Arial" w:eastAsia="Arial" w:hAnsi="Arial"/>
                <w:sz w:val="14"/>
                <w:szCs w:val="14"/>
                <w:b w:val="1"/>
                <w:bCs w:val="1"/>
                <w:color w:val="455986"/>
              </w:rPr>
              <w:t>2019</w:t>
            </w:r>
          </w:p>
        </w:tc>
        <w:tc>
          <w:tcPr>
            <w:tcW w:w="2740" w:type="dxa"/>
            <w:vAlign w:val="bottom"/>
            <w:tcBorders>
              <w:bottom w:val="single" w:sz="8" w:color="231F20"/>
            </w:tcBorders>
          </w:tcPr>
          <w:p>
            <w:pPr>
              <w:jc w:val="right"/>
              <w:ind w:right="532"/>
              <w:spacing w:after="0"/>
              <w:rPr>
                <w:sz w:val="20"/>
                <w:szCs w:val="20"/>
                <w:color w:val="auto"/>
              </w:rPr>
            </w:pPr>
            <w:r>
              <w:rPr>
                <w:rFonts w:ascii="Arial" w:cs="Arial" w:eastAsia="Arial" w:hAnsi="Arial"/>
                <w:sz w:val="14"/>
                <w:szCs w:val="14"/>
                <w:b w:val="1"/>
                <w:bCs w:val="1"/>
                <w:color w:val="455986"/>
              </w:rPr>
              <w:t>2019-2021</w:t>
            </w:r>
          </w:p>
        </w:tc>
        <w:tc>
          <w:tcPr>
            <w:tcW w:w="1500" w:type="dxa"/>
            <w:vAlign w:val="bottom"/>
            <w:tcBorders>
              <w:bottom w:val="single" w:sz="8" w:color="231F20"/>
            </w:tcBorders>
          </w:tcPr>
          <w:p>
            <w:pPr>
              <w:jc w:val="right"/>
              <w:ind w:right="352"/>
              <w:spacing w:after="0"/>
              <w:rPr>
                <w:sz w:val="20"/>
                <w:szCs w:val="20"/>
                <w:color w:val="auto"/>
              </w:rPr>
            </w:pPr>
            <w:r>
              <w:rPr>
                <w:rFonts w:ascii="Arial" w:cs="Arial" w:eastAsia="Arial" w:hAnsi="Arial"/>
                <w:sz w:val="14"/>
                <w:szCs w:val="14"/>
                <w:b w:val="1"/>
                <w:bCs w:val="1"/>
                <w:color w:val="455986"/>
              </w:rPr>
              <w:t>2022</w:t>
            </w:r>
          </w:p>
        </w:tc>
        <w:tc>
          <w:tcPr>
            <w:tcW w:w="1740" w:type="dxa"/>
            <w:vAlign w:val="bottom"/>
            <w:tcBorders>
              <w:bottom w:val="single" w:sz="8" w:color="231F20"/>
            </w:tcBorders>
          </w:tcPr>
          <w:p>
            <w:pPr>
              <w:jc w:val="right"/>
              <w:ind w:right="512"/>
              <w:spacing w:after="0"/>
              <w:rPr>
                <w:sz w:val="20"/>
                <w:szCs w:val="20"/>
                <w:color w:val="auto"/>
              </w:rPr>
            </w:pPr>
            <w:r>
              <w:rPr>
                <w:rFonts w:ascii="Arial" w:cs="Arial" w:eastAsia="Arial" w:hAnsi="Arial"/>
                <w:sz w:val="14"/>
                <w:szCs w:val="14"/>
                <w:color w:val="231F20"/>
              </w:rPr>
              <w:t>N/A</w:t>
            </w:r>
          </w:p>
        </w:tc>
        <w:tc>
          <w:tcPr>
            <w:tcW w:w="2140" w:type="dxa"/>
            <w:vAlign w:val="bottom"/>
            <w:tcBorders>
              <w:bottom w:val="single" w:sz="8" w:color="231F20"/>
            </w:tcBorders>
          </w:tcPr>
          <w:p>
            <w:pPr>
              <w:jc w:val="right"/>
              <w:ind w:right="412"/>
              <w:spacing w:after="0"/>
              <w:rPr>
                <w:sz w:val="20"/>
                <w:szCs w:val="20"/>
                <w:color w:val="auto"/>
              </w:rPr>
            </w:pPr>
            <w:r>
              <w:rPr>
                <w:rFonts w:ascii="Arial" w:cs="Arial" w:eastAsia="Arial" w:hAnsi="Arial"/>
                <w:sz w:val="14"/>
                <w:szCs w:val="14"/>
                <w:color w:val="231F20"/>
              </w:rPr>
              <w:t>70%</w:t>
            </w:r>
          </w:p>
        </w:tc>
        <w:tc>
          <w:tcPr>
            <w:tcW w:w="1080" w:type="dxa"/>
            <w:vAlign w:val="bottom"/>
            <w:tcBorders>
              <w:bottom w:val="single" w:sz="8" w:color="231F20"/>
            </w:tcBorders>
          </w:tcPr>
          <w:p>
            <w:pPr>
              <w:jc w:val="right"/>
              <w:spacing w:after="0"/>
              <w:rPr>
                <w:sz w:val="20"/>
                <w:szCs w:val="20"/>
                <w:color w:val="auto"/>
              </w:rPr>
            </w:pPr>
            <w:r>
              <w:rPr>
                <w:rFonts w:ascii="Arial" w:cs="Arial" w:eastAsia="Arial" w:hAnsi="Arial"/>
                <w:sz w:val="14"/>
                <w:szCs w:val="14"/>
                <w:color w:val="231F20"/>
              </w:rPr>
              <w:t>30%</w:t>
            </w:r>
          </w:p>
        </w:tc>
        <w:tc>
          <w:tcPr>
            <w:tcW w:w="0" w:type="dxa"/>
            <w:vAlign w:val="bottom"/>
          </w:tcPr>
          <w:p>
            <w:pPr>
              <w:spacing w:after="0"/>
              <w:rPr>
                <w:sz w:val="1"/>
                <w:szCs w:val="1"/>
                <w:color w:val="auto"/>
              </w:rPr>
            </w:pPr>
          </w:p>
        </w:tc>
      </w:tr>
      <w:tr>
        <w:trPr>
          <w:trHeight w:val="197"/>
        </w:trPr>
        <w:tc>
          <w:tcPr>
            <w:tcW w:w="2040" w:type="dxa"/>
            <w:vAlign w:val="bottom"/>
            <w:tcBorders>
              <w:bottom w:val="single" w:sz="8" w:color="231F20"/>
            </w:tcBorders>
          </w:tcPr>
          <w:p>
            <w:pPr>
              <w:spacing w:after="0"/>
              <w:rPr>
                <w:sz w:val="20"/>
                <w:szCs w:val="20"/>
                <w:color w:val="auto"/>
              </w:rPr>
            </w:pPr>
            <w:r>
              <w:rPr>
                <w:rFonts w:ascii="Arial" w:cs="Arial" w:eastAsia="Arial" w:hAnsi="Arial"/>
                <w:sz w:val="14"/>
                <w:szCs w:val="14"/>
                <w:b w:val="1"/>
                <w:bCs w:val="1"/>
                <w:color w:val="455986"/>
              </w:rPr>
              <w:t>2020</w:t>
            </w:r>
          </w:p>
        </w:tc>
        <w:tc>
          <w:tcPr>
            <w:tcW w:w="2740" w:type="dxa"/>
            <w:vAlign w:val="bottom"/>
            <w:tcBorders>
              <w:bottom w:val="single" w:sz="8" w:color="231F20"/>
            </w:tcBorders>
          </w:tcPr>
          <w:p>
            <w:pPr>
              <w:jc w:val="right"/>
              <w:ind w:right="532"/>
              <w:spacing w:after="0"/>
              <w:rPr>
                <w:sz w:val="20"/>
                <w:szCs w:val="20"/>
                <w:color w:val="auto"/>
              </w:rPr>
            </w:pPr>
            <w:r>
              <w:rPr>
                <w:rFonts w:ascii="Arial" w:cs="Arial" w:eastAsia="Arial" w:hAnsi="Arial"/>
                <w:sz w:val="14"/>
                <w:szCs w:val="14"/>
                <w:b w:val="1"/>
                <w:bCs w:val="1"/>
                <w:color w:val="455986"/>
              </w:rPr>
              <w:t>2020-2022</w:t>
            </w:r>
          </w:p>
        </w:tc>
        <w:tc>
          <w:tcPr>
            <w:tcW w:w="1500" w:type="dxa"/>
            <w:vAlign w:val="bottom"/>
            <w:tcBorders>
              <w:bottom w:val="single" w:sz="8" w:color="231F20"/>
            </w:tcBorders>
          </w:tcPr>
          <w:p>
            <w:pPr>
              <w:jc w:val="right"/>
              <w:ind w:right="352"/>
              <w:spacing w:after="0"/>
              <w:rPr>
                <w:sz w:val="20"/>
                <w:szCs w:val="20"/>
                <w:color w:val="auto"/>
              </w:rPr>
            </w:pPr>
            <w:r>
              <w:rPr>
                <w:rFonts w:ascii="Arial" w:cs="Arial" w:eastAsia="Arial" w:hAnsi="Arial"/>
                <w:sz w:val="14"/>
                <w:szCs w:val="14"/>
                <w:b w:val="1"/>
                <w:bCs w:val="1"/>
                <w:color w:val="455986"/>
              </w:rPr>
              <w:t>2023</w:t>
            </w:r>
          </w:p>
        </w:tc>
        <w:tc>
          <w:tcPr>
            <w:tcW w:w="1740" w:type="dxa"/>
            <w:vAlign w:val="bottom"/>
            <w:tcBorders>
              <w:bottom w:val="single" w:sz="8" w:color="231F20"/>
            </w:tcBorders>
          </w:tcPr>
          <w:p>
            <w:pPr>
              <w:jc w:val="right"/>
              <w:ind w:right="512"/>
              <w:spacing w:after="0"/>
              <w:rPr>
                <w:sz w:val="20"/>
                <w:szCs w:val="20"/>
                <w:color w:val="auto"/>
              </w:rPr>
            </w:pPr>
            <w:r>
              <w:rPr>
                <w:rFonts w:ascii="Arial" w:cs="Arial" w:eastAsia="Arial" w:hAnsi="Arial"/>
                <w:sz w:val="14"/>
                <w:szCs w:val="14"/>
                <w:color w:val="231F20"/>
              </w:rPr>
              <w:t>65%</w:t>
            </w:r>
          </w:p>
        </w:tc>
        <w:tc>
          <w:tcPr>
            <w:tcW w:w="2140" w:type="dxa"/>
            <w:vAlign w:val="bottom"/>
            <w:tcBorders>
              <w:bottom w:val="single" w:sz="8" w:color="231F20"/>
            </w:tcBorders>
          </w:tcPr>
          <w:p>
            <w:pPr>
              <w:jc w:val="right"/>
              <w:ind w:right="412"/>
              <w:spacing w:after="0"/>
              <w:rPr>
                <w:sz w:val="20"/>
                <w:szCs w:val="20"/>
                <w:color w:val="auto"/>
              </w:rPr>
            </w:pPr>
            <w:r>
              <w:rPr>
                <w:rFonts w:ascii="Arial" w:cs="Arial" w:eastAsia="Arial" w:hAnsi="Arial"/>
                <w:sz w:val="14"/>
                <w:szCs w:val="14"/>
                <w:color w:val="231F20"/>
              </w:rPr>
              <w:t>N/A</w:t>
            </w:r>
          </w:p>
        </w:tc>
        <w:tc>
          <w:tcPr>
            <w:tcW w:w="1080" w:type="dxa"/>
            <w:vAlign w:val="bottom"/>
            <w:tcBorders>
              <w:bottom w:val="single" w:sz="8" w:color="231F20"/>
            </w:tcBorders>
          </w:tcPr>
          <w:p>
            <w:pPr>
              <w:jc w:val="right"/>
              <w:spacing w:after="0"/>
              <w:rPr>
                <w:sz w:val="20"/>
                <w:szCs w:val="20"/>
                <w:color w:val="auto"/>
              </w:rPr>
            </w:pPr>
            <w:r>
              <w:rPr>
                <w:rFonts w:ascii="Arial" w:cs="Arial" w:eastAsia="Arial" w:hAnsi="Arial"/>
                <w:sz w:val="14"/>
                <w:szCs w:val="14"/>
                <w:color w:val="231F20"/>
              </w:rPr>
              <w:t>35%</w:t>
            </w:r>
          </w:p>
        </w:tc>
        <w:tc>
          <w:tcPr>
            <w:tcW w:w="0" w:type="dxa"/>
            <w:vAlign w:val="bottom"/>
          </w:tcPr>
          <w:p>
            <w:pPr>
              <w:spacing w:after="0"/>
              <w:rPr>
                <w:sz w:val="1"/>
                <w:szCs w:val="1"/>
                <w:color w:val="auto"/>
              </w:rPr>
            </w:pPr>
          </w:p>
        </w:tc>
      </w:tr>
      <w:tr>
        <w:trPr>
          <w:trHeight w:val="197"/>
        </w:trPr>
        <w:tc>
          <w:tcPr>
            <w:tcW w:w="2040" w:type="dxa"/>
            <w:vAlign w:val="bottom"/>
            <w:tcBorders>
              <w:bottom w:val="single" w:sz="8" w:color="455986"/>
            </w:tcBorders>
          </w:tcPr>
          <w:p>
            <w:pPr>
              <w:spacing w:after="0"/>
              <w:rPr>
                <w:sz w:val="20"/>
                <w:szCs w:val="20"/>
                <w:color w:val="auto"/>
              </w:rPr>
            </w:pPr>
            <w:r>
              <w:rPr>
                <w:rFonts w:ascii="Arial" w:cs="Arial" w:eastAsia="Arial" w:hAnsi="Arial"/>
                <w:sz w:val="14"/>
                <w:szCs w:val="14"/>
                <w:b w:val="1"/>
                <w:bCs w:val="1"/>
                <w:color w:val="455986"/>
              </w:rPr>
              <w:t>2021</w:t>
            </w:r>
          </w:p>
        </w:tc>
        <w:tc>
          <w:tcPr>
            <w:tcW w:w="2740" w:type="dxa"/>
            <w:vAlign w:val="bottom"/>
            <w:tcBorders>
              <w:bottom w:val="single" w:sz="8" w:color="455986"/>
            </w:tcBorders>
          </w:tcPr>
          <w:p>
            <w:pPr>
              <w:jc w:val="right"/>
              <w:ind w:right="532"/>
              <w:spacing w:after="0"/>
              <w:rPr>
                <w:sz w:val="20"/>
                <w:szCs w:val="20"/>
                <w:color w:val="auto"/>
              </w:rPr>
            </w:pPr>
            <w:r>
              <w:rPr>
                <w:rFonts w:ascii="Arial" w:cs="Arial" w:eastAsia="Arial" w:hAnsi="Arial"/>
                <w:sz w:val="14"/>
                <w:szCs w:val="14"/>
                <w:b w:val="1"/>
                <w:bCs w:val="1"/>
                <w:color w:val="455986"/>
              </w:rPr>
              <w:t>2021-2023</w:t>
            </w:r>
          </w:p>
        </w:tc>
        <w:tc>
          <w:tcPr>
            <w:tcW w:w="1500" w:type="dxa"/>
            <w:vAlign w:val="bottom"/>
            <w:tcBorders>
              <w:bottom w:val="single" w:sz="8" w:color="455986"/>
            </w:tcBorders>
          </w:tcPr>
          <w:p>
            <w:pPr>
              <w:jc w:val="right"/>
              <w:ind w:right="352"/>
              <w:spacing w:after="0"/>
              <w:rPr>
                <w:sz w:val="20"/>
                <w:szCs w:val="20"/>
                <w:color w:val="auto"/>
              </w:rPr>
            </w:pPr>
            <w:r>
              <w:rPr>
                <w:rFonts w:ascii="Arial" w:cs="Arial" w:eastAsia="Arial" w:hAnsi="Arial"/>
                <w:sz w:val="14"/>
                <w:szCs w:val="14"/>
                <w:b w:val="1"/>
                <w:bCs w:val="1"/>
                <w:color w:val="455986"/>
              </w:rPr>
              <w:t>2024</w:t>
            </w:r>
          </w:p>
        </w:tc>
        <w:tc>
          <w:tcPr>
            <w:tcW w:w="1740" w:type="dxa"/>
            <w:vAlign w:val="bottom"/>
            <w:tcBorders>
              <w:bottom w:val="single" w:sz="8" w:color="455986"/>
            </w:tcBorders>
          </w:tcPr>
          <w:p>
            <w:pPr>
              <w:jc w:val="right"/>
              <w:ind w:right="512"/>
              <w:spacing w:after="0"/>
              <w:rPr>
                <w:sz w:val="20"/>
                <w:szCs w:val="20"/>
                <w:color w:val="auto"/>
              </w:rPr>
            </w:pPr>
            <w:r>
              <w:rPr>
                <w:rFonts w:ascii="Arial" w:cs="Arial" w:eastAsia="Arial" w:hAnsi="Arial"/>
                <w:sz w:val="14"/>
                <w:szCs w:val="14"/>
                <w:color w:val="231F20"/>
              </w:rPr>
              <w:t>65%</w:t>
            </w:r>
          </w:p>
        </w:tc>
        <w:tc>
          <w:tcPr>
            <w:tcW w:w="2140" w:type="dxa"/>
            <w:vAlign w:val="bottom"/>
            <w:tcBorders>
              <w:bottom w:val="single" w:sz="8" w:color="455986"/>
            </w:tcBorders>
          </w:tcPr>
          <w:p>
            <w:pPr>
              <w:jc w:val="right"/>
              <w:ind w:right="412"/>
              <w:spacing w:after="0"/>
              <w:rPr>
                <w:sz w:val="20"/>
                <w:szCs w:val="20"/>
                <w:color w:val="auto"/>
              </w:rPr>
            </w:pPr>
            <w:r>
              <w:rPr>
                <w:rFonts w:ascii="Arial" w:cs="Arial" w:eastAsia="Arial" w:hAnsi="Arial"/>
                <w:sz w:val="14"/>
                <w:szCs w:val="14"/>
                <w:color w:val="231F20"/>
              </w:rPr>
              <w:t>N/A</w:t>
            </w:r>
          </w:p>
        </w:tc>
        <w:tc>
          <w:tcPr>
            <w:tcW w:w="1080" w:type="dxa"/>
            <w:vAlign w:val="bottom"/>
            <w:tcBorders>
              <w:bottom w:val="single" w:sz="8" w:color="455986"/>
            </w:tcBorders>
          </w:tcPr>
          <w:p>
            <w:pPr>
              <w:jc w:val="right"/>
              <w:spacing w:after="0"/>
              <w:rPr>
                <w:sz w:val="20"/>
                <w:szCs w:val="20"/>
                <w:color w:val="auto"/>
              </w:rPr>
            </w:pPr>
            <w:r>
              <w:rPr>
                <w:rFonts w:ascii="Arial" w:cs="Arial" w:eastAsia="Arial" w:hAnsi="Arial"/>
                <w:sz w:val="14"/>
                <w:szCs w:val="14"/>
                <w:color w:val="231F20"/>
              </w:rPr>
              <w:t>35%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121285</wp:posOffset>
            </wp:positionV>
            <wp:extent cx="7139940" cy="825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139940" cy="8255"/>
                    </a:xfrm>
                    <a:prstGeom prst="rect">
                      <a:avLst/>
                    </a:prstGeom>
                    <a:noFill/>
                  </pic:spPr>
                </pic:pic>
              </a:graphicData>
            </a:graphic>
          </wp:anchor>
        </w:drawing>
      </w:r>
    </w:p>
    <w:p>
      <w:pPr>
        <w:spacing w:after="0" w:line="217" w:lineRule="exact"/>
        <w:rPr>
          <w:sz w:val="20"/>
          <w:szCs w:val="20"/>
          <w:color w:val="auto"/>
        </w:rPr>
      </w:pPr>
    </w:p>
    <w:p>
      <w:pPr>
        <w:jc w:val="right"/>
        <w:spacing w:after="0"/>
        <w:tabs>
          <w:tab w:leader="none" w:pos="140" w:val="left"/>
        </w:tabs>
        <w:rPr>
          <w:sz w:val="20"/>
          <w:szCs w:val="20"/>
          <w:color w:val="auto"/>
        </w:rPr>
      </w:pPr>
      <w:r>
        <w:rPr>
          <w:rFonts w:ascii="Arial" w:cs="Arial" w:eastAsia="Arial" w:hAnsi="Arial"/>
          <w:sz w:val="12"/>
          <w:szCs w:val="12"/>
          <w:color w:val="4395D4"/>
        </w:rPr>
        <w:t xml:space="preserve">ESSENTIAL UTILITIES, INC. </w:t>
      </w:r>
      <w:r>
        <w:rPr>
          <w:rFonts w:ascii="Arial" w:cs="Arial" w:eastAsia="Arial" w:hAnsi="Arial"/>
          <w:sz w:val="12"/>
          <w:szCs w:val="12"/>
          <w:color w:val="455986"/>
        </w:rPr>
        <w:t>2021 PROXY STATEMENT</w:t>
      </w:r>
      <w:r>
        <w:rPr>
          <w:sz w:val="20"/>
          <w:szCs w:val="20"/>
          <w:color w:val="auto"/>
        </w:rPr>
        <w:tab/>
      </w:r>
      <w:r>
        <w:rPr>
          <w:rFonts w:ascii="Arial" w:cs="Arial" w:eastAsia="Arial" w:hAnsi="Arial"/>
          <w:sz w:val="14"/>
          <w:szCs w:val="14"/>
          <w:color w:val="455986"/>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339090</wp:posOffset>
            </wp:positionV>
            <wp:extent cx="7139940" cy="2413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139940" cy="24130"/>
                    </a:xfrm>
                    <a:prstGeom prst="rect">
                      <a:avLst/>
                    </a:prstGeom>
                    <a:noFill/>
                  </pic:spPr>
                </pic:pic>
              </a:graphicData>
            </a:graphic>
          </wp:anchor>
        </w:drawing>
      </w:r>
    </w:p>
    <w:p>
      <w:pPr>
        <w:sectPr>
          <w:pgSz w:w="11900" w:h="16838" w:orient="portrait"/>
          <w:cols w:equalWidth="0" w:num="1">
            <w:col w:w="11240"/>
          </w:cols>
          <w:pgMar w:left="320" w:top="637" w:right="339" w:bottom="1440" w:gutter="0" w:footer="0" w:header="0"/>
          <w:type w:val="continuous"/>
        </w:sectPr>
      </w:pPr>
    </w:p>
    <w:bookmarkStart w:id="58" w:name="page59"/>
    <w:bookmarkEnd w:id="58"/>
    <w:p>
      <w:pPr>
        <w:spacing w:after="0"/>
        <w:rPr>
          <w:sz w:val="20"/>
          <w:szCs w:val="20"/>
          <w:color w:val="auto"/>
        </w:rPr>
      </w:pPr>
      <w:r>
        <w:rPr>
          <w:rFonts w:ascii="Arial" w:cs="Arial" w:eastAsia="Arial" w:hAnsi="Arial"/>
          <w:sz w:val="12"/>
          <w:szCs w:val="12"/>
          <w:b w:val="1"/>
          <w:bCs w:val="1"/>
          <w:color w:val="455986"/>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42545</wp:posOffset>
            </wp:positionV>
            <wp:extent cx="7139940" cy="825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139940" cy="8255"/>
                    </a:xfrm>
                    <a:prstGeom prst="rect">
                      <a:avLst/>
                    </a:prstGeom>
                    <a:noFill/>
                  </pic:spPr>
                </pic:pic>
              </a:graphicData>
            </a:graphic>
          </wp:anchor>
        </w:drawing>
      </w:r>
    </w:p>
    <w:p>
      <w:pPr>
        <w:sectPr>
          <w:pgSz w:w="11900" w:h="16838" w:orient="portrait"/>
          <w:cols w:equalWidth="0" w:num="1">
            <w:col w:w="11240"/>
          </w:cols>
          <w:pgMar w:left="320" w:top="637" w:right="339" w:bottom="1440" w:gutter="0" w:footer="0" w:header="0"/>
        </w:sectPr>
      </w:pPr>
    </w:p>
    <w:p>
      <w:pPr>
        <w:spacing w:after="0" w:line="119" w:lineRule="exact"/>
        <w:rPr>
          <w:sz w:val="20"/>
          <w:szCs w:val="20"/>
          <w:color w:val="auto"/>
        </w:rPr>
      </w:pPr>
    </w:p>
    <w:p>
      <w:pPr>
        <w:spacing w:after="0"/>
        <w:rPr>
          <w:sz w:val="20"/>
          <w:szCs w:val="20"/>
          <w:color w:val="auto"/>
        </w:rPr>
      </w:pPr>
      <w:r>
        <w:rPr>
          <w:rFonts w:ascii="Arial" w:cs="Arial" w:eastAsia="Arial" w:hAnsi="Arial"/>
          <w:sz w:val="14"/>
          <w:szCs w:val="14"/>
          <w:color w:val="4395D4"/>
        </w:rPr>
        <w:t xml:space="preserve">Section 3 </w:t>
      </w:r>
      <w:r>
        <w:rPr>
          <w:rFonts w:ascii="Arial" w:cs="Arial" w:eastAsia="Arial" w:hAnsi="Arial"/>
          <w:sz w:val="14"/>
          <w:szCs w:val="14"/>
          <w:color w:val="231F20"/>
        </w:rPr>
        <w:t>2020 Executive Compensation Program</w:t>
      </w:r>
    </w:p>
    <w:p>
      <w:pPr>
        <w:spacing w:after="0" w:line="174" w:lineRule="exact"/>
        <w:rPr>
          <w:sz w:val="20"/>
          <w:szCs w:val="20"/>
          <w:color w:val="auto"/>
        </w:rPr>
      </w:pPr>
    </w:p>
    <w:p>
      <w:pPr>
        <w:ind w:right="80"/>
        <w:spacing w:after="0" w:line="278" w:lineRule="auto"/>
        <w:rPr>
          <w:sz w:val="20"/>
          <w:szCs w:val="20"/>
          <w:color w:val="auto"/>
        </w:rPr>
      </w:pPr>
      <w:r>
        <w:rPr>
          <w:rFonts w:ascii="Arial" w:cs="Arial" w:eastAsia="Arial" w:hAnsi="Arial"/>
          <w:sz w:val="14"/>
          <w:szCs w:val="14"/>
          <w:color w:val="231F20"/>
        </w:rPr>
        <w:t>As a result of the Compensation Committee’s analysis, it established the target percentages of base salary for each named executive officer: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6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6"/>
        </w:trPr>
        <w:tc>
          <w:tcPr>
            <w:tcW w:w="2980" w:type="dxa"/>
            <w:vAlign w:val="bottom"/>
            <w:tcBorders>
              <w:bottom w:val="single" w:sz="8" w:color="4395D4"/>
            </w:tcBorders>
          </w:tcPr>
          <w:p>
            <w:pPr>
              <w:spacing w:after="0"/>
              <w:rPr>
                <w:sz w:val="14"/>
                <w:szCs w:val="14"/>
                <w:color w:val="auto"/>
              </w:rPr>
            </w:pPr>
          </w:p>
        </w:tc>
        <w:tc>
          <w:tcPr>
            <w:tcW w:w="2420" w:type="dxa"/>
            <w:vAlign w:val="bottom"/>
            <w:tcBorders>
              <w:bottom w:val="single" w:sz="8" w:color="4395D4"/>
            </w:tcBorders>
          </w:tcPr>
          <w:p>
            <w:pPr>
              <w:jc w:val="right"/>
              <w:spacing w:after="0"/>
              <w:rPr>
                <w:sz w:val="20"/>
                <w:szCs w:val="20"/>
                <w:color w:val="auto"/>
              </w:rPr>
            </w:pPr>
            <w:r>
              <w:rPr>
                <w:rFonts w:ascii="Arial" w:cs="Arial" w:eastAsia="Arial" w:hAnsi="Arial"/>
                <w:sz w:val="12"/>
                <w:szCs w:val="12"/>
                <w:color w:val="455986"/>
              </w:rPr>
              <w:t>2020 Target LTI (%)</w:t>
            </w:r>
          </w:p>
        </w:tc>
      </w:tr>
      <w:tr>
        <w:trPr>
          <w:trHeight w:val="203"/>
        </w:trPr>
        <w:tc>
          <w:tcPr>
            <w:tcW w:w="2980" w:type="dxa"/>
            <w:vAlign w:val="bottom"/>
            <w:tcBorders>
              <w:bottom w:val="single" w:sz="8" w:color="231F20"/>
            </w:tcBorders>
          </w:tcPr>
          <w:p>
            <w:pPr>
              <w:spacing w:after="0"/>
              <w:rPr>
                <w:sz w:val="20"/>
                <w:szCs w:val="20"/>
                <w:color w:val="auto"/>
              </w:rPr>
            </w:pPr>
            <w:r>
              <w:rPr>
                <w:rFonts w:ascii="Arial" w:cs="Arial" w:eastAsia="Arial" w:hAnsi="Arial"/>
                <w:sz w:val="14"/>
                <w:szCs w:val="14"/>
                <w:b w:val="1"/>
                <w:bCs w:val="1"/>
                <w:color w:val="455986"/>
              </w:rPr>
              <w:t>Christopher H. Franklin</w:t>
            </w:r>
          </w:p>
        </w:tc>
        <w:tc>
          <w:tcPr>
            <w:tcW w:w="2420" w:type="dxa"/>
            <w:vAlign w:val="bottom"/>
            <w:tcBorders>
              <w:bottom w:val="single" w:sz="8" w:color="231F20"/>
            </w:tcBorders>
          </w:tcPr>
          <w:p>
            <w:pPr>
              <w:jc w:val="right"/>
              <w:spacing w:after="0"/>
              <w:rPr>
                <w:sz w:val="20"/>
                <w:szCs w:val="20"/>
                <w:color w:val="auto"/>
              </w:rPr>
            </w:pPr>
            <w:r>
              <w:rPr>
                <w:rFonts w:ascii="Arial" w:cs="Arial" w:eastAsia="Arial" w:hAnsi="Arial"/>
                <w:sz w:val="14"/>
                <w:szCs w:val="14"/>
                <w:color w:val="231F20"/>
              </w:rPr>
              <w:t>230</w:t>
            </w:r>
          </w:p>
        </w:tc>
      </w:tr>
      <w:tr>
        <w:trPr>
          <w:trHeight w:val="197"/>
        </w:trPr>
        <w:tc>
          <w:tcPr>
            <w:tcW w:w="2980" w:type="dxa"/>
            <w:vAlign w:val="bottom"/>
            <w:tcBorders>
              <w:bottom w:val="single" w:sz="8" w:color="231F20"/>
            </w:tcBorders>
          </w:tcPr>
          <w:p>
            <w:pPr>
              <w:spacing w:after="0"/>
              <w:rPr>
                <w:sz w:val="20"/>
                <w:szCs w:val="20"/>
                <w:color w:val="auto"/>
              </w:rPr>
            </w:pPr>
            <w:r>
              <w:rPr>
                <w:rFonts w:ascii="Arial" w:cs="Arial" w:eastAsia="Arial" w:hAnsi="Arial"/>
                <w:sz w:val="14"/>
                <w:szCs w:val="14"/>
                <w:b w:val="1"/>
                <w:bCs w:val="1"/>
                <w:color w:val="455986"/>
              </w:rPr>
              <w:t>Daniel J. Schuller</w:t>
            </w:r>
          </w:p>
        </w:tc>
        <w:tc>
          <w:tcPr>
            <w:tcW w:w="2420" w:type="dxa"/>
            <w:vAlign w:val="bottom"/>
            <w:tcBorders>
              <w:bottom w:val="single" w:sz="8" w:color="231F20"/>
            </w:tcBorders>
          </w:tcPr>
          <w:p>
            <w:pPr>
              <w:jc w:val="right"/>
              <w:spacing w:after="0"/>
              <w:rPr>
                <w:sz w:val="20"/>
                <w:szCs w:val="20"/>
                <w:color w:val="auto"/>
              </w:rPr>
            </w:pPr>
            <w:r>
              <w:rPr>
                <w:rFonts w:ascii="Arial" w:cs="Arial" w:eastAsia="Arial" w:hAnsi="Arial"/>
                <w:sz w:val="14"/>
                <w:szCs w:val="14"/>
                <w:color w:val="231F20"/>
              </w:rPr>
              <w:t>130</w:t>
            </w:r>
          </w:p>
        </w:tc>
      </w:tr>
      <w:tr>
        <w:trPr>
          <w:trHeight w:val="197"/>
        </w:trPr>
        <w:tc>
          <w:tcPr>
            <w:tcW w:w="2980" w:type="dxa"/>
            <w:vAlign w:val="bottom"/>
            <w:tcBorders>
              <w:bottom w:val="single" w:sz="8" w:color="231F20"/>
            </w:tcBorders>
          </w:tcPr>
          <w:p>
            <w:pPr>
              <w:spacing w:after="0"/>
              <w:rPr>
                <w:sz w:val="20"/>
                <w:szCs w:val="20"/>
                <w:color w:val="auto"/>
              </w:rPr>
            </w:pPr>
            <w:r>
              <w:rPr>
                <w:rFonts w:ascii="Arial" w:cs="Arial" w:eastAsia="Arial" w:hAnsi="Arial"/>
                <w:sz w:val="14"/>
                <w:szCs w:val="14"/>
                <w:b w:val="1"/>
                <w:bCs w:val="1"/>
                <w:color w:val="455986"/>
              </w:rPr>
              <w:t>Richard S. Fox</w:t>
            </w:r>
          </w:p>
        </w:tc>
        <w:tc>
          <w:tcPr>
            <w:tcW w:w="2420" w:type="dxa"/>
            <w:vAlign w:val="bottom"/>
            <w:tcBorders>
              <w:bottom w:val="single" w:sz="8" w:color="231F20"/>
            </w:tcBorders>
          </w:tcPr>
          <w:p>
            <w:pPr>
              <w:jc w:val="right"/>
              <w:spacing w:after="0"/>
              <w:rPr>
                <w:sz w:val="20"/>
                <w:szCs w:val="20"/>
                <w:color w:val="auto"/>
              </w:rPr>
            </w:pPr>
            <w:r>
              <w:rPr>
                <w:rFonts w:ascii="Arial" w:cs="Arial" w:eastAsia="Arial" w:hAnsi="Arial"/>
                <w:sz w:val="14"/>
                <w:szCs w:val="14"/>
                <w:color w:val="231F20"/>
              </w:rPr>
              <w:t>135</w:t>
            </w:r>
          </w:p>
        </w:tc>
      </w:tr>
      <w:tr>
        <w:trPr>
          <w:trHeight w:val="197"/>
        </w:trPr>
        <w:tc>
          <w:tcPr>
            <w:tcW w:w="2980" w:type="dxa"/>
            <w:vAlign w:val="bottom"/>
            <w:tcBorders>
              <w:bottom w:val="single" w:sz="8" w:color="231F20"/>
            </w:tcBorders>
          </w:tcPr>
          <w:p>
            <w:pPr>
              <w:spacing w:after="0"/>
              <w:rPr>
                <w:sz w:val="20"/>
                <w:szCs w:val="20"/>
                <w:color w:val="auto"/>
              </w:rPr>
            </w:pPr>
            <w:r>
              <w:rPr>
                <w:rFonts w:ascii="Arial" w:cs="Arial" w:eastAsia="Arial" w:hAnsi="Arial"/>
                <w:sz w:val="14"/>
                <w:szCs w:val="14"/>
                <w:b w:val="1"/>
                <w:bCs w:val="1"/>
                <w:color w:val="455986"/>
              </w:rPr>
              <w:t>Matthew Rhodes</w:t>
            </w:r>
          </w:p>
        </w:tc>
        <w:tc>
          <w:tcPr>
            <w:tcW w:w="2420" w:type="dxa"/>
            <w:vAlign w:val="bottom"/>
            <w:tcBorders>
              <w:bottom w:val="single" w:sz="8" w:color="231F20"/>
            </w:tcBorders>
          </w:tcPr>
          <w:p>
            <w:pPr>
              <w:jc w:val="right"/>
              <w:spacing w:after="0"/>
              <w:rPr>
                <w:sz w:val="20"/>
                <w:szCs w:val="20"/>
                <w:color w:val="auto"/>
              </w:rPr>
            </w:pPr>
            <w:r>
              <w:rPr>
                <w:rFonts w:ascii="Arial" w:cs="Arial" w:eastAsia="Arial" w:hAnsi="Arial"/>
                <w:sz w:val="14"/>
                <w:szCs w:val="14"/>
                <w:color w:val="231F20"/>
              </w:rPr>
              <w:t>105</w:t>
            </w:r>
          </w:p>
        </w:tc>
      </w:tr>
      <w:tr>
        <w:trPr>
          <w:trHeight w:val="197"/>
        </w:trPr>
        <w:tc>
          <w:tcPr>
            <w:tcW w:w="2980" w:type="dxa"/>
            <w:vAlign w:val="bottom"/>
            <w:tcBorders>
              <w:bottom w:val="single" w:sz="8" w:color="455986"/>
            </w:tcBorders>
          </w:tcPr>
          <w:p>
            <w:pPr>
              <w:spacing w:after="0"/>
              <w:rPr>
                <w:sz w:val="20"/>
                <w:szCs w:val="20"/>
                <w:color w:val="auto"/>
              </w:rPr>
            </w:pPr>
            <w:r>
              <w:rPr>
                <w:rFonts w:ascii="Arial" w:cs="Arial" w:eastAsia="Arial" w:hAnsi="Arial"/>
                <w:sz w:val="14"/>
                <w:szCs w:val="14"/>
                <w:b w:val="1"/>
                <w:bCs w:val="1"/>
                <w:color w:val="455986"/>
              </w:rPr>
              <w:t>Christopher P. Luning</w:t>
            </w:r>
          </w:p>
        </w:tc>
        <w:tc>
          <w:tcPr>
            <w:tcW w:w="2420" w:type="dxa"/>
            <w:vAlign w:val="bottom"/>
            <w:tcBorders>
              <w:bottom w:val="single" w:sz="8" w:color="455986"/>
            </w:tcBorders>
          </w:tcPr>
          <w:p>
            <w:pPr>
              <w:jc w:val="right"/>
              <w:spacing w:after="0"/>
              <w:rPr>
                <w:sz w:val="20"/>
                <w:szCs w:val="20"/>
                <w:color w:val="auto"/>
              </w:rPr>
            </w:pPr>
            <w:r>
              <w:rPr>
                <w:rFonts w:ascii="Arial" w:cs="Arial" w:eastAsia="Arial" w:hAnsi="Arial"/>
                <w:sz w:val="14"/>
                <w:szCs w:val="14"/>
                <w:color w:val="231F20"/>
              </w:rPr>
              <w:t>105</w:t>
            </w:r>
          </w:p>
        </w:tc>
      </w:tr>
    </w:tbl>
    <w:p>
      <w:pPr>
        <w:spacing w:after="0" w:line="196" w:lineRule="exact"/>
        <w:rPr>
          <w:sz w:val="20"/>
          <w:szCs w:val="20"/>
          <w:color w:val="auto"/>
        </w:rPr>
      </w:pPr>
    </w:p>
    <w:p>
      <w:pPr>
        <w:sectPr>
          <w:pgSz w:w="11900" w:h="16838" w:orient="portrait"/>
          <w:cols w:equalWidth="0" w:num="2">
            <w:col w:w="5120" w:space="720"/>
            <w:col w:w="5400"/>
          </w:cols>
          <w:pgMar w:left="320" w:top="637" w:right="339" w:bottom="1440" w:gutter="0" w:footer="0" w:header="0"/>
          <w:type w:val="continuous"/>
        </w:sectPr>
      </w:pPr>
    </w:p>
    <w:p>
      <w:pPr>
        <w:spacing w:after="0"/>
        <w:rPr>
          <w:sz w:val="20"/>
          <w:szCs w:val="20"/>
          <w:color w:val="auto"/>
        </w:rPr>
      </w:pPr>
      <w:r>
        <w:rPr>
          <w:rFonts w:ascii="Arial" w:cs="Arial" w:eastAsia="Arial" w:hAnsi="Arial"/>
          <w:sz w:val="20"/>
          <w:szCs w:val="20"/>
          <w:b w:val="1"/>
          <w:bCs w:val="1"/>
          <w:color w:val="231F20"/>
        </w:rPr>
        <w:t>Vested Performance Share Awards and Status of Outstanding Performance Share Awards</w:t>
      </w:r>
    </w:p>
    <w:p>
      <w:pPr>
        <w:spacing w:after="0" w:line="166" w:lineRule="exact"/>
        <w:rPr>
          <w:sz w:val="20"/>
          <w:szCs w:val="20"/>
          <w:color w:val="auto"/>
        </w:rPr>
      </w:pPr>
    </w:p>
    <w:p>
      <w:pPr>
        <w:ind w:right="180"/>
        <w:spacing w:after="0"/>
        <w:rPr>
          <w:sz w:val="20"/>
          <w:szCs w:val="20"/>
          <w:color w:val="auto"/>
        </w:rPr>
      </w:pPr>
      <w:r>
        <w:rPr>
          <w:rFonts w:ascii="Arial" w:cs="Arial" w:eastAsia="Arial" w:hAnsi="Arial"/>
          <w:sz w:val="14"/>
          <w:szCs w:val="14"/>
          <w:color w:val="231F20"/>
        </w:rPr>
        <w:t>Performance share or performance share unit grants (PSU) (together referred to as performance shares) provide the named executive officer with the opportunity to earn awards of shares based on Company performance against designated pre-determined, objective metrics. Participants are granted a target number of shares or units that can increase to 200% of the target or decrease to zero based on the Company’s actual performance compared to the designated metrics. Dividends or dividend equivalents, as applicable, on the performance shares accrue and will be paid when the performance shares are earned and paid based on the number of shares actually earned, if any. Performance shares vest three years after the grant date.</w:t>
      </w:r>
    </w:p>
    <w:p>
      <w:pPr>
        <w:spacing w:after="0" w:line="101" w:lineRule="exact"/>
        <w:rPr>
          <w:sz w:val="20"/>
          <w:szCs w:val="20"/>
          <w:color w:val="auto"/>
        </w:rPr>
      </w:pPr>
    </w:p>
    <w:p>
      <w:pPr>
        <w:spacing w:after="0"/>
        <w:rPr>
          <w:sz w:val="20"/>
          <w:szCs w:val="20"/>
          <w:color w:val="auto"/>
        </w:rPr>
      </w:pPr>
      <w:r>
        <w:rPr>
          <w:rFonts w:ascii="Arial" w:cs="Arial" w:eastAsia="Arial" w:hAnsi="Arial"/>
          <w:sz w:val="20"/>
          <w:szCs w:val="20"/>
          <w:b w:val="1"/>
          <w:bCs w:val="1"/>
          <w:color w:val="231F20"/>
        </w:rPr>
        <w:t>Performance Goals for 2018 PSUs</w:t>
      </w:r>
    </w:p>
    <w:p>
      <w:pPr>
        <w:spacing w:after="0" w:line="166" w:lineRule="exact"/>
        <w:rPr>
          <w:sz w:val="20"/>
          <w:szCs w:val="20"/>
          <w:color w:val="auto"/>
        </w:rPr>
      </w:pPr>
    </w:p>
    <w:p>
      <w:pPr>
        <w:spacing w:after="0"/>
        <w:rPr>
          <w:sz w:val="20"/>
          <w:szCs w:val="20"/>
          <w:color w:val="auto"/>
        </w:rPr>
      </w:pPr>
      <w:r>
        <w:rPr>
          <w:rFonts w:ascii="Arial" w:cs="Arial" w:eastAsia="Arial" w:hAnsi="Arial"/>
          <w:sz w:val="14"/>
          <w:szCs w:val="14"/>
          <w:color w:val="231F20"/>
        </w:rPr>
        <w:t>The performance goals to be achieved under the PSU awards have been based on the following performance goals, with the weighting of each goal assessed each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106045</wp:posOffset>
            </wp:positionV>
            <wp:extent cx="7139940" cy="451421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139940" cy="45142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ind w:left="300" w:hanging="298"/>
        <w:spacing w:after="0"/>
        <w:tabs>
          <w:tab w:leader="none" w:pos="300" w:val="left"/>
        </w:tabs>
        <w:numPr>
          <w:ilvl w:val="0"/>
          <w:numId w:val="104"/>
        </w:numPr>
        <w:rPr>
          <w:rFonts w:ascii="Arial" w:cs="Arial" w:eastAsia="Arial" w:hAnsi="Arial"/>
          <w:sz w:val="15"/>
          <w:szCs w:val="15"/>
          <w:color w:val="455986"/>
        </w:rPr>
      </w:pPr>
      <w:r>
        <w:rPr>
          <w:rFonts w:ascii="Arial" w:cs="Arial" w:eastAsia="Arial" w:hAnsi="Arial"/>
          <w:sz w:val="12"/>
          <w:szCs w:val="12"/>
          <w:color w:val="4395D4"/>
        </w:rPr>
        <w:t xml:space="preserve">ESSENTIAL UTILITIES, INC. </w:t>
      </w:r>
      <w:r>
        <w:rPr>
          <w:rFonts w:ascii="Arial" w:cs="Arial" w:eastAsia="Arial" w:hAnsi="Arial"/>
          <w:sz w:val="12"/>
          <w:szCs w:val="12"/>
          <w:color w:val="455986"/>
        </w:rPr>
        <w:t>2021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316230</wp:posOffset>
            </wp:positionV>
            <wp:extent cx="7139940" cy="2413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139940" cy="24130"/>
                    </a:xfrm>
                    <a:prstGeom prst="rect">
                      <a:avLst/>
                    </a:prstGeom>
                    <a:noFill/>
                  </pic:spPr>
                </pic:pic>
              </a:graphicData>
            </a:graphic>
          </wp:anchor>
        </w:drawing>
      </w:r>
    </w:p>
    <w:p>
      <w:pPr>
        <w:sectPr>
          <w:pgSz w:w="11900" w:h="16838" w:orient="portrait"/>
          <w:cols w:equalWidth="0" w:num="1">
            <w:col w:w="11240"/>
          </w:cols>
          <w:pgMar w:left="320" w:top="637" w:right="339" w:bottom="1440" w:gutter="0" w:footer="0" w:header="0"/>
          <w:type w:val="continuous"/>
        </w:sectPr>
      </w:pPr>
    </w:p>
    <w:bookmarkStart w:id="59" w:name="page60"/>
    <w:bookmarkEnd w:id="59"/>
    <w:p>
      <w:pPr>
        <w:spacing w:after="0"/>
        <w:rPr>
          <w:sz w:val="20"/>
          <w:szCs w:val="20"/>
          <w:color w:val="auto"/>
        </w:rPr>
      </w:pPr>
      <w:r>
        <w:rPr>
          <w:rFonts w:ascii="Arial" w:cs="Arial" w:eastAsia="Arial" w:hAnsi="Arial"/>
          <w:sz w:val="14"/>
          <w:szCs w:val="14"/>
          <w:b w:val="1"/>
          <w:bCs w:val="1"/>
          <w:color w:val="455986"/>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27940</wp:posOffset>
            </wp:positionV>
            <wp:extent cx="7139940" cy="825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139940" cy="8255"/>
                    </a:xfrm>
                    <a:prstGeom prst="rect">
                      <a:avLst/>
                    </a:prstGeom>
                    <a:noFill/>
                  </pic:spPr>
                </pic:pic>
              </a:graphicData>
            </a:graphic>
          </wp:anchor>
        </w:drawing>
      </w:r>
    </w:p>
    <w:p>
      <w:pPr>
        <w:spacing w:after="0" w:line="76" w:lineRule="exact"/>
        <w:rPr>
          <w:sz w:val="20"/>
          <w:szCs w:val="20"/>
          <w:color w:val="auto"/>
        </w:rPr>
      </w:pPr>
    </w:p>
    <w:p>
      <w:pPr>
        <w:spacing w:after="0"/>
        <w:rPr>
          <w:sz w:val="20"/>
          <w:szCs w:val="20"/>
          <w:color w:val="auto"/>
        </w:rPr>
      </w:pPr>
      <w:r>
        <w:rPr>
          <w:rFonts w:ascii="Arial" w:cs="Arial" w:eastAsia="Arial" w:hAnsi="Arial"/>
          <w:sz w:val="12"/>
          <w:szCs w:val="12"/>
          <w:color w:val="4395D4"/>
        </w:rPr>
        <w:t xml:space="preserve">Section 3 </w:t>
      </w:r>
      <w:r>
        <w:rPr>
          <w:rFonts w:ascii="Arial" w:cs="Arial" w:eastAsia="Arial" w:hAnsi="Arial"/>
          <w:sz w:val="12"/>
          <w:szCs w:val="12"/>
          <w:color w:val="231F20"/>
        </w:rPr>
        <w:t>2020 Executive Compensation Program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138430</wp:posOffset>
            </wp:positionV>
            <wp:extent cx="5948680" cy="427926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5948680" cy="4279265"/>
                    </a:xfrm>
                    <a:prstGeom prst="rect">
                      <a:avLst/>
                    </a:prstGeom>
                    <a:noFill/>
                  </pic:spPr>
                </pic:pic>
              </a:graphicData>
            </a:graphic>
          </wp:anchor>
        </w:drawing>
      </w:r>
    </w:p>
    <w:p>
      <w:pPr>
        <w:sectPr>
          <w:pgSz w:w="11900" w:h="16838" w:orient="portrait"/>
          <w:cols w:equalWidth="0" w:num="1">
            <w:col w:w="11240"/>
          </w:cols>
          <w:pgMar w:left="320" w:top="63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Arial" w:cs="Arial" w:eastAsia="Arial" w:hAnsi="Arial"/>
          <w:sz w:val="17"/>
          <w:szCs w:val="17"/>
          <w:b w:val="1"/>
          <w:bCs w:val="1"/>
          <w:color w:val="4395D4"/>
        </w:rPr>
        <w:t>2018-2020 PSU Awards Achievement</w:t>
      </w:r>
    </w:p>
    <w:p>
      <w:pPr>
        <w:spacing w:after="0" w:line="153" w:lineRule="exact"/>
        <w:rPr>
          <w:sz w:val="20"/>
          <w:szCs w:val="20"/>
          <w:color w:val="auto"/>
        </w:rPr>
      </w:pPr>
    </w:p>
    <w:p>
      <w:pPr>
        <w:spacing w:after="0" w:line="245" w:lineRule="auto"/>
        <w:rPr>
          <w:sz w:val="20"/>
          <w:szCs w:val="20"/>
          <w:color w:val="auto"/>
        </w:rPr>
      </w:pPr>
      <w:r>
        <w:rPr>
          <w:rFonts w:ascii="Arial" w:cs="Arial" w:eastAsia="Arial" w:hAnsi="Arial"/>
          <w:sz w:val="14"/>
          <w:szCs w:val="14"/>
          <w:color w:val="231F20"/>
        </w:rPr>
        <w:t>The three-year performance period for the PSU awards made by the Compensation Committee in 2018 ended on December 31, 2020. In February 2020, the Compensation Committee determined the achievement of performance goals for the 2018 PSUs.</w:t>
      </w:r>
    </w:p>
    <w:p>
      <w:pPr>
        <w:spacing w:after="0" w:line="108" w:lineRule="exact"/>
        <w:rPr>
          <w:sz w:val="20"/>
          <w:szCs w:val="20"/>
          <w:color w:val="auto"/>
        </w:rPr>
      </w:pPr>
    </w:p>
    <w:p>
      <w:pPr>
        <w:jc w:val="both"/>
        <w:ind w:right="80"/>
        <w:spacing w:after="0" w:line="253" w:lineRule="auto"/>
        <w:rPr>
          <w:sz w:val="20"/>
          <w:szCs w:val="20"/>
          <w:color w:val="auto"/>
        </w:rPr>
      </w:pPr>
      <w:r>
        <w:rPr>
          <w:rFonts w:ascii="Arial" w:cs="Arial" w:eastAsia="Arial" w:hAnsi="Arial"/>
          <w:sz w:val="14"/>
          <w:szCs w:val="14"/>
          <w:color w:val="auto"/>
        </w:rPr>
        <w:t xml:space="preserve">As a result, the Compensation Committee certified </w:t>
      </w:r>
      <w:r>
        <w:rPr>
          <w:rFonts w:ascii="Arial" w:cs="Arial" w:eastAsia="Arial" w:hAnsi="Arial"/>
          <w:sz w:val="14"/>
          <w:szCs w:val="14"/>
          <w:color w:val="231F20"/>
        </w:rPr>
        <w:t>that a 175.00%</w:t>
      </w:r>
      <w:r>
        <w:rPr>
          <w:rFonts w:ascii="Arial" w:cs="Arial" w:eastAsia="Arial" w:hAnsi="Arial"/>
          <w:sz w:val="14"/>
          <w:szCs w:val="14"/>
          <w:color w:val="auto"/>
        </w:rPr>
        <w:t xml:space="preserve"> </w:t>
      </w:r>
      <w:r>
        <w:rPr>
          <w:rFonts w:ascii="Arial" w:cs="Arial" w:eastAsia="Arial" w:hAnsi="Arial"/>
          <w:sz w:val="14"/>
          <w:szCs w:val="14"/>
          <w:color w:val="231F20"/>
        </w:rPr>
        <w:t>payout of the 2018 PSU awards was earned in accordance with the following results and weightings:</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right="120"/>
        <w:spacing w:after="0" w:line="253" w:lineRule="auto"/>
        <w:rPr>
          <w:sz w:val="20"/>
          <w:szCs w:val="20"/>
          <w:color w:val="auto"/>
        </w:rPr>
      </w:pPr>
      <w:r>
        <w:rPr>
          <w:rFonts w:ascii="Arial" w:cs="Arial" w:eastAsia="Arial" w:hAnsi="Arial"/>
          <w:sz w:val="14"/>
          <w:szCs w:val="14"/>
          <w:color w:val="231F20"/>
        </w:rPr>
        <w:t>Applying this performance, the table at right shows the Target PSU award and the Actual PSU award approved by the Compensation Committee for the NEOs.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2"/>
        </w:trPr>
        <w:tc>
          <w:tcPr>
            <w:tcW w:w="2820" w:type="dxa"/>
            <w:vAlign w:val="bottom"/>
            <w:tcBorders>
              <w:bottom w:val="single" w:sz="8" w:color="4395D4"/>
            </w:tcBorders>
            <w:gridSpan w:val="2"/>
          </w:tcPr>
          <w:p>
            <w:pPr>
              <w:spacing w:after="0"/>
              <w:rPr>
                <w:sz w:val="20"/>
                <w:szCs w:val="20"/>
                <w:color w:val="auto"/>
              </w:rPr>
            </w:pPr>
            <w:r>
              <w:rPr>
                <w:rFonts w:ascii="Arial" w:cs="Arial" w:eastAsia="Arial" w:hAnsi="Arial"/>
                <w:sz w:val="14"/>
                <w:szCs w:val="14"/>
                <w:b w:val="1"/>
                <w:bCs w:val="1"/>
                <w:color w:val="455986"/>
              </w:rPr>
              <w:t>2018 PSU Metrics</w:t>
            </w:r>
          </w:p>
        </w:tc>
        <w:tc>
          <w:tcPr>
            <w:tcW w:w="1260" w:type="dxa"/>
            <w:vAlign w:val="bottom"/>
            <w:tcBorders>
              <w:bottom w:val="single" w:sz="8" w:color="4395D4"/>
            </w:tcBorders>
          </w:tcPr>
          <w:p>
            <w:pPr>
              <w:jc w:val="right"/>
              <w:ind w:right="210"/>
              <w:spacing w:after="0"/>
              <w:rPr>
                <w:sz w:val="20"/>
                <w:szCs w:val="20"/>
                <w:color w:val="auto"/>
              </w:rPr>
            </w:pPr>
            <w:r>
              <w:rPr>
                <w:rFonts w:ascii="Arial" w:cs="Arial" w:eastAsia="Arial" w:hAnsi="Arial"/>
                <w:sz w:val="12"/>
                <w:szCs w:val="12"/>
                <w:color w:val="455986"/>
              </w:rPr>
              <w:t>Payout</w:t>
            </w:r>
          </w:p>
        </w:tc>
        <w:tc>
          <w:tcPr>
            <w:tcW w:w="980" w:type="dxa"/>
            <w:vAlign w:val="bottom"/>
            <w:tcBorders>
              <w:bottom w:val="single" w:sz="8" w:color="4395D4"/>
            </w:tcBorders>
          </w:tcPr>
          <w:p>
            <w:pPr>
              <w:jc w:val="right"/>
              <w:spacing w:after="0"/>
              <w:rPr>
                <w:sz w:val="20"/>
                <w:szCs w:val="20"/>
                <w:color w:val="auto"/>
              </w:rPr>
            </w:pPr>
            <w:r>
              <w:rPr>
                <w:rFonts w:ascii="Arial" w:cs="Arial" w:eastAsia="Arial" w:hAnsi="Arial"/>
                <w:sz w:val="12"/>
                <w:szCs w:val="12"/>
                <w:color w:val="455986"/>
              </w:rPr>
              <w:t>Weight</w:t>
            </w:r>
          </w:p>
        </w:tc>
        <w:tc>
          <w:tcPr>
            <w:tcW w:w="1240" w:type="dxa"/>
            <w:vAlign w:val="bottom"/>
            <w:tcBorders>
              <w:bottom w:val="single" w:sz="8" w:color="4395D4"/>
            </w:tcBorders>
          </w:tcPr>
          <w:p>
            <w:pPr>
              <w:jc w:val="right"/>
              <w:spacing w:after="0"/>
              <w:rPr>
                <w:sz w:val="20"/>
                <w:szCs w:val="20"/>
                <w:color w:val="auto"/>
              </w:rPr>
            </w:pPr>
            <w:r>
              <w:rPr>
                <w:rFonts w:ascii="Arial" w:cs="Arial" w:eastAsia="Arial" w:hAnsi="Arial"/>
                <w:sz w:val="12"/>
                <w:szCs w:val="12"/>
                <w:color w:val="455986"/>
              </w:rPr>
              <w:t>Product</w:t>
            </w:r>
          </w:p>
        </w:tc>
        <w:tc>
          <w:tcPr>
            <w:tcW w:w="0" w:type="dxa"/>
            <w:vAlign w:val="bottom"/>
          </w:tcPr>
          <w:p>
            <w:pPr>
              <w:spacing w:after="0"/>
              <w:rPr>
                <w:sz w:val="1"/>
                <w:szCs w:val="1"/>
                <w:color w:val="auto"/>
              </w:rPr>
            </w:pPr>
          </w:p>
        </w:tc>
      </w:tr>
      <w:tr>
        <w:trPr>
          <w:trHeight w:val="150"/>
        </w:trPr>
        <w:tc>
          <w:tcPr>
            <w:tcW w:w="2820" w:type="dxa"/>
            <w:vAlign w:val="bottom"/>
            <w:gridSpan w:val="2"/>
          </w:tcPr>
          <w:p>
            <w:pPr>
              <w:spacing w:after="0" w:line="150" w:lineRule="exact"/>
              <w:rPr>
                <w:sz w:val="20"/>
                <w:szCs w:val="20"/>
                <w:color w:val="auto"/>
              </w:rPr>
            </w:pPr>
            <w:r>
              <w:rPr>
                <w:rFonts w:ascii="Arial" w:cs="Arial" w:eastAsia="Arial" w:hAnsi="Arial"/>
                <w:sz w:val="14"/>
                <w:szCs w:val="14"/>
                <w:b w:val="1"/>
                <w:bCs w:val="1"/>
                <w:color w:val="455986"/>
              </w:rPr>
              <w:t xml:space="preserve">Metric 1: </w:t>
            </w:r>
            <w:r>
              <w:rPr>
                <w:rFonts w:ascii="Arial" w:cs="Arial" w:eastAsia="Arial" w:hAnsi="Arial"/>
                <w:sz w:val="14"/>
                <w:szCs w:val="14"/>
                <w:color w:val="455986"/>
              </w:rPr>
              <w:t>TSR Large Investor Owned</w:t>
            </w:r>
          </w:p>
        </w:tc>
        <w:tc>
          <w:tcPr>
            <w:tcW w:w="1260" w:type="dxa"/>
            <w:vAlign w:val="bottom"/>
          </w:tcPr>
          <w:p>
            <w:pPr>
              <w:jc w:val="right"/>
              <w:ind w:right="210"/>
              <w:spacing w:after="0" w:line="150" w:lineRule="exact"/>
              <w:rPr>
                <w:sz w:val="20"/>
                <w:szCs w:val="20"/>
                <w:color w:val="auto"/>
              </w:rPr>
            </w:pPr>
            <w:r>
              <w:rPr>
                <w:rFonts w:ascii="Arial" w:cs="Arial" w:eastAsia="Arial" w:hAnsi="Arial"/>
                <w:sz w:val="14"/>
                <w:szCs w:val="14"/>
                <w:color w:val="231F20"/>
              </w:rPr>
              <w:t>100.00%</w:t>
            </w:r>
          </w:p>
        </w:tc>
        <w:tc>
          <w:tcPr>
            <w:tcW w:w="980" w:type="dxa"/>
            <w:vAlign w:val="bottom"/>
          </w:tcPr>
          <w:p>
            <w:pPr>
              <w:jc w:val="right"/>
              <w:spacing w:after="0" w:line="150" w:lineRule="exact"/>
              <w:rPr>
                <w:sz w:val="20"/>
                <w:szCs w:val="20"/>
                <w:color w:val="auto"/>
              </w:rPr>
            </w:pPr>
            <w:r>
              <w:rPr>
                <w:rFonts w:ascii="Arial" w:cs="Arial" w:eastAsia="Arial" w:hAnsi="Arial"/>
                <w:sz w:val="14"/>
                <w:szCs w:val="14"/>
                <w:color w:val="231F20"/>
              </w:rPr>
              <w:t>25.0%</w:t>
            </w:r>
          </w:p>
        </w:tc>
        <w:tc>
          <w:tcPr>
            <w:tcW w:w="1240" w:type="dxa"/>
            <w:vAlign w:val="bottom"/>
          </w:tcPr>
          <w:p>
            <w:pPr>
              <w:jc w:val="right"/>
              <w:spacing w:after="0" w:line="150" w:lineRule="exact"/>
              <w:rPr>
                <w:sz w:val="20"/>
                <w:szCs w:val="20"/>
                <w:color w:val="auto"/>
              </w:rPr>
            </w:pPr>
            <w:r>
              <w:rPr>
                <w:rFonts w:ascii="Arial" w:cs="Arial" w:eastAsia="Arial" w:hAnsi="Arial"/>
                <w:sz w:val="14"/>
                <w:szCs w:val="14"/>
                <w:color w:val="231F20"/>
              </w:rPr>
              <w:t>25.00%</w:t>
            </w:r>
          </w:p>
        </w:tc>
        <w:tc>
          <w:tcPr>
            <w:tcW w:w="0" w:type="dxa"/>
            <w:vAlign w:val="bottom"/>
          </w:tcPr>
          <w:p>
            <w:pPr>
              <w:spacing w:after="0"/>
              <w:rPr>
                <w:sz w:val="1"/>
                <w:szCs w:val="1"/>
                <w:color w:val="auto"/>
              </w:rPr>
            </w:pPr>
          </w:p>
        </w:tc>
      </w:tr>
      <w:tr>
        <w:trPr>
          <w:trHeight w:val="197"/>
        </w:trPr>
        <w:tc>
          <w:tcPr>
            <w:tcW w:w="2820" w:type="dxa"/>
            <w:vAlign w:val="bottom"/>
            <w:tcBorders>
              <w:bottom w:val="single" w:sz="8" w:color="231F20"/>
            </w:tcBorders>
            <w:gridSpan w:val="2"/>
          </w:tcPr>
          <w:p>
            <w:pPr>
              <w:spacing w:after="0"/>
              <w:rPr>
                <w:sz w:val="20"/>
                <w:szCs w:val="20"/>
                <w:color w:val="auto"/>
              </w:rPr>
            </w:pPr>
            <w:r>
              <w:rPr>
                <w:rFonts w:ascii="Arial" w:cs="Arial" w:eastAsia="Arial" w:hAnsi="Arial"/>
                <w:sz w:val="14"/>
                <w:szCs w:val="14"/>
                <w:color w:val="455986"/>
              </w:rPr>
              <w:t>Water Utilities</w:t>
            </w:r>
          </w:p>
        </w:tc>
        <w:tc>
          <w:tcPr>
            <w:tcW w:w="1260" w:type="dxa"/>
            <w:vAlign w:val="bottom"/>
            <w:tcBorders>
              <w:bottom w:val="single" w:sz="8" w:color="231F20"/>
            </w:tcBorders>
          </w:tcPr>
          <w:p>
            <w:pPr>
              <w:spacing w:after="0"/>
              <w:rPr>
                <w:sz w:val="17"/>
                <w:szCs w:val="17"/>
                <w:color w:val="auto"/>
              </w:rPr>
            </w:pPr>
          </w:p>
        </w:tc>
        <w:tc>
          <w:tcPr>
            <w:tcW w:w="980" w:type="dxa"/>
            <w:vAlign w:val="bottom"/>
            <w:tcBorders>
              <w:bottom w:val="single" w:sz="8" w:color="231F20"/>
            </w:tcBorders>
          </w:tcPr>
          <w:p>
            <w:pPr>
              <w:spacing w:after="0"/>
              <w:rPr>
                <w:sz w:val="17"/>
                <w:szCs w:val="17"/>
                <w:color w:val="auto"/>
              </w:rPr>
            </w:pPr>
          </w:p>
        </w:tc>
        <w:tc>
          <w:tcPr>
            <w:tcW w:w="1240" w:type="dxa"/>
            <w:vAlign w:val="bottom"/>
            <w:tcBorders>
              <w:bottom w:val="single" w:sz="8" w:color="231F20"/>
            </w:tcBorders>
          </w:tcPr>
          <w:p>
            <w:pPr>
              <w:spacing w:after="0"/>
              <w:rPr>
                <w:sz w:val="17"/>
                <w:szCs w:val="17"/>
                <w:color w:val="auto"/>
              </w:rPr>
            </w:pPr>
          </w:p>
        </w:tc>
        <w:tc>
          <w:tcPr>
            <w:tcW w:w="0" w:type="dxa"/>
            <w:vAlign w:val="bottom"/>
          </w:tcPr>
          <w:p>
            <w:pPr>
              <w:spacing w:after="0"/>
              <w:rPr>
                <w:sz w:val="1"/>
                <w:szCs w:val="1"/>
                <w:color w:val="auto"/>
              </w:rPr>
            </w:pPr>
          </w:p>
        </w:tc>
      </w:tr>
      <w:tr>
        <w:trPr>
          <w:trHeight w:val="153"/>
        </w:trPr>
        <w:tc>
          <w:tcPr>
            <w:tcW w:w="2820" w:type="dxa"/>
            <w:vAlign w:val="bottom"/>
            <w:gridSpan w:val="2"/>
          </w:tcPr>
          <w:p>
            <w:pPr>
              <w:spacing w:after="0" w:line="153" w:lineRule="exact"/>
              <w:rPr>
                <w:sz w:val="20"/>
                <w:szCs w:val="20"/>
                <w:color w:val="auto"/>
              </w:rPr>
            </w:pPr>
            <w:r>
              <w:rPr>
                <w:rFonts w:ascii="Arial" w:cs="Arial" w:eastAsia="Arial" w:hAnsi="Arial"/>
                <w:sz w:val="14"/>
                <w:szCs w:val="14"/>
                <w:b w:val="1"/>
                <w:bCs w:val="1"/>
                <w:color w:val="455986"/>
              </w:rPr>
              <w:t xml:space="preserve">Metric 2: </w:t>
            </w:r>
            <w:r>
              <w:rPr>
                <w:rFonts w:ascii="Arial" w:cs="Arial" w:eastAsia="Arial" w:hAnsi="Arial"/>
                <w:sz w:val="14"/>
                <w:szCs w:val="14"/>
                <w:color w:val="455986"/>
              </w:rPr>
              <w:t>TSR S&amp;P Mid-Cap Utilities</w:t>
            </w:r>
          </w:p>
        </w:tc>
        <w:tc>
          <w:tcPr>
            <w:tcW w:w="1260" w:type="dxa"/>
            <w:vAlign w:val="bottom"/>
          </w:tcPr>
          <w:p>
            <w:pPr>
              <w:jc w:val="right"/>
              <w:ind w:right="210"/>
              <w:spacing w:after="0" w:line="153" w:lineRule="exact"/>
              <w:rPr>
                <w:sz w:val="20"/>
                <w:szCs w:val="20"/>
                <w:color w:val="auto"/>
              </w:rPr>
            </w:pPr>
            <w:r>
              <w:rPr>
                <w:rFonts w:ascii="Arial" w:cs="Arial" w:eastAsia="Arial" w:hAnsi="Arial"/>
                <w:sz w:val="14"/>
                <w:szCs w:val="14"/>
                <w:color w:val="231F20"/>
              </w:rPr>
              <w:t>200.00%</w:t>
            </w:r>
          </w:p>
        </w:tc>
        <w:tc>
          <w:tcPr>
            <w:tcW w:w="980" w:type="dxa"/>
            <w:vAlign w:val="bottom"/>
          </w:tcPr>
          <w:p>
            <w:pPr>
              <w:jc w:val="right"/>
              <w:spacing w:after="0" w:line="153" w:lineRule="exact"/>
              <w:rPr>
                <w:sz w:val="20"/>
                <w:szCs w:val="20"/>
                <w:color w:val="auto"/>
              </w:rPr>
            </w:pPr>
            <w:r>
              <w:rPr>
                <w:rFonts w:ascii="Arial" w:cs="Arial" w:eastAsia="Arial" w:hAnsi="Arial"/>
                <w:sz w:val="14"/>
                <w:szCs w:val="14"/>
                <w:color w:val="231F20"/>
              </w:rPr>
              <w:t>25.0%</w:t>
            </w:r>
          </w:p>
        </w:tc>
        <w:tc>
          <w:tcPr>
            <w:tcW w:w="1240" w:type="dxa"/>
            <w:vAlign w:val="bottom"/>
          </w:tcPr>
          <w:p>
            <w:pPr>
              <w:jc w:val="right"/>
              <w:spacing w:after="0" w:line="153" w:lineRule="exact"/>
              <w:rPr>
                <w:sz w:val="20"/>
                <w:szCs w:val="20"/>
                <w:color w:val="auto"/>
              </w:rPr>
            </w:pPr>
            <w:r>
              <w:rPr>
                <w:rFonts w:ascii="Arial" w:cs="Arial" w:eastAsia="Arial" w:hAnsi="Arial"/>
                <w:sz w:val="14"/>
                <w:szCs w:val="14"/>
                <w:color w:val="231F20"/>
              </w:rPr>
              <w:t>50.00%</w:t>
            </w:r>
          </w:p>
        </w:tc>
        <w:tc>
          <w:tcPr>
            <w:tcW w:w="0" w:type="dxa"/>
            <w:vAlign w:val="bottom"/>
          </w:tcPr>
          <w:p>
            <w:pPr>
              <w:spacing w:after="0"/>
              <w:rPr>
                <w:sz w:val="1"/>
                <w:szCs w:val="1"/>
                <w:color w:val="auto"/>
              </w:rPr>
            </w:pPr>
          </w:p>
        </w:tc>
      </w:tr>
      <w:tr>
        <w:trPr>
          <w:trHeight w:val="197"/>
        </w:trPr>
        <w:tc>
          <w:tcPr>
            <w:tcW w:w="2820" w:type="dxa"/>
            <w:vAlign w:val="bottom"/>
            <w:tcBorders>
              <w:bottom w:val="single" w:sz="8" w:color="231F20"/>
            </w:tcBorders>
            <w:gridSpan w:val="2"/>
          </w:tcPr>
          <w:p>
            <w:pPr>
              <w:spacing w:after="0"/>
              <w:rPr>
                <w:sz w:val="20"/>
                <w:szCs w:val="20"/>
                <w:color w:val="auto"/>
              </w:rPr>
            </w:pPr>
            <w:r>
              <w:rPr>
                <w:rFonts w:ascii="Arial" w:cs="Arial" w:eastAsia="Arial" w:hAnsi="Arial"/>
                <w:sz w:val="14"/>
                <w:szCs w:val="14"/>
                <w:color w:val="455986"/>
              </w:rPr>
              <w:t>index</w:t>
            </w:r>
          </w:p>
        </w:tc>
        <w:tc>
          <w:tcPr>
            <w:tcW w:w="1260" w:type="dxa"/>
            <w:vAlign w:val="bottom"/>
            <w:tcBorders>
              <w:bottom w:val="single" w:sz="8" w:color="231F20"/>
            </w:tcBorders>
          </w:tcPr>
          <w:p>
            <w:pPr>
              <w:spacing w:after="0"/>
              <w:rPr>
                <w:sz w:val="17"/>
                <w:szCs w:val="17"/>
                <w:color w:val="auto"/>
              </w:rPr>
            </w:pPr>
          </w:p>
        </w:tc>
        <w:tc>
          <w:tcPr>
            <w:tcW w:w="980" w:type="dxa"/>
            <w:vAlign w:val="bottom"/>
            <w:tcBorders>
              <w:bottom w:val="single" w:sz="8" w:color="231F20"/>
            </w:tcBorders>
          </w:tcPr>
          <w:p>
            <w:pPr>
              <w:spacing w:after="0"/>
              <w:rPr>
                <w:sz w:val="17"/>
                <w:szCs w:val="17"/>
                <w:color w:val="auto"/>
              </w:rPr>
            </w:pPr>
          </w:p>
        </w:tc>
        <w:tc>
          <w:tcPr>
            <w:tcW w:w="1240" w:type="dxa"/>
            <w:vAlign w:val="bottom"/>
            <w:tcBorders>
              <w:bottom w:val="single" w:sz="8" w:color="231F20"/>
            </w:tcBorders>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820" w:type="dxa"/>
            <w:vAlign w:val="bottom"/>
            <w:tcBorders>
              <w:bottom w:val="single" w:sz="8" w:color="231F20"/>
            </w:tcBorders>
            <w:gridSpan w:val="2"/>
          </w:tcPr>
          <w:p>
            <w:pPr>
              <w:spacing w:after="0"/>
              <w:rPr>
                <w:sz w:val="20"/>
                <w:szCs w:val="20"/>
                <w:color w:val="auto"/>
              </w:rPr>
            </w:pPr>
            <w:r>
              <w:rPr>
                <w:rFonts w:ascii="Arial" w:cs="Arial" w:eastAsia="Arial" w:hAnsi="Arial"/>
                <w:sz w:val="14"/>
                <w:szCs w:val="14"/>
                <w:b w:val="1"/>
                <w:bCs w:val="1"/>
                <w:color w:val="455986"/>
              </w:rPr>
              <w:t xml:space="preserve">Metric 3: </w:t>
            </w:r>
            <w:r>
              <w:rPr>
                <w:rFonts w:ascii="Arial" w:cs="Arial" w:eastAsia="Arial" w:hAnsi="Arial"/>
                <w:sz w:val="14"/>
                <w:szCs w:val="14"/>
                <w:color w:val="455986"/>
              </w:rPr>
              <w:t>3 Year O&amp;M Management</w:t>
            </w:r>
          </w:p>
        </w:tc>
        <w:tc>
          <w:tcPr>
            <w:tcW w:w="1260" w:type="dxa"/>
            <w:vAlign w:val="bottom"/>
            <w:tcBorders>
              <w:bottom w:val="single" w:sz="8" w:color="231F20"/>
            </w:tcBorders>
          </w:tcPr>
          <w:p>
            <w:pPr>
              <w:jc w:val="right"/>
              <w:ind w:right="210"/>
              <w:spacing w:after="0"/>
              <w:rPr>
                <w:sz w:val="20"/>
                <w:szCs w:val="20"/>
                <w:color w:val="auto"/>
              </w:rPr>
            </w:pPr>
            <w:r>
              <w:rPr>
                <w:rFonts w:ascii="Arial" w:cs="Arial" w:eastAsia="Arial" w:hAnsi="Arial"/>
                <w:sz w:val="14"/>
                <w:szCs w:val="14"/>
                <w:color w:val="231F20"/>
              </w:rPr>
              <w:t>200.00%</w:t>
            </w:r>
          </w:p>
        </w:tc>
        <w:tc>
          <w:tcPr>
            <w:tcW w:w="980" w:type="dxa"/>
            <w:vAlign w:val="bottom"/>
            <w:tcBorders>
              <w:bottom w:val="single" w:sz="8" w:color="231F20"/>
            </w:tcBorders>
          </w:tcPr>
          <w:p>
            <w:pPr>
              <w:jc w:val="right"/>
              <w:spacing w:after="0"/>
              <w:rPr>
                <w:sz w:val="20"/>
                <w:szCs w:val="20"/>
                <w:color w:val="auto"/>
              </w:rPr>
            </w:pPr>
            <w:r>
              <w:rPr>
                <w:rFonts w:ascii="Arial" w:cs="Arial" w:eastAsia="Arial" w:hAnsi="Arial"/>
                <w:sz w:val="14"/>
                <w:szCs w:val="14"/>
                <w:color w:val="231F20"/>
              </w:rPr>
              <w:t>25.0%</w:t>
            </w:r>
          </w:p>
        </w:tc>
        <w:tc>
          <w:tcPr>
            <w:tcW w:w="1240" w:type="dxa"/>
            <w:vAlign w:val="bottom"/>
            <w:tcBorders>
              <w:bottom w:val="single" w:sz="8" w:color="231F20"/>
            </w:tcBorders>
          </w:tcPr>
          <w:p>
            <w:pPr>
              <w:jc w:val="right"/>
              <w:spacing w:after="0"/>
              <w:rPr>
                <w:sz w:val="20"/>
                <w:szCs w:val="20"/>
                <w:color w:val="auto"/>
              </w:rPr>
            </w:pPr>
            <w:r>
              <w:rPr>
                <w:rFonts w:ascii="Arial" w:cs="Arial" w:eastAsia="Arial" w:hAnsi="Arial"/>
                <w:sz w:val="14"/>
                <w:szCs w:val="14"/>
                <w:color w:val="231F20"/>
              </w:rPr>
              <w:t>50.00%</w:t>
            </w:r>
          </w:p>
        </w:tc>
        <w:tc>
          <w:tcPr>
            <w:tcW w:w="0" w:type="dxa"/>
            <w:vAlign w:val="bottom"/>
          </w:tcPr>
          <w:p>
            <w:pPr>
              <w:spacing w:after="0"/>
              <w:rPr>
                <w:sz w:val="1"/>
                <w:szCs w:val="1"/>
                <w:color w:val="auto"/>
              </w:rPr>
            </w:pPr>
          </w:p>
        </w:tc>
      </w:tr>
      <w:tr>
        <w:trPr>
          <w:trHeight w:val="197"/>
        </w:trPr>
        <w:tc>
          <w:tcPr>
            <w:tcW w:w="2820" w:type="dxa"/>
            <w:vAlign w:val="bottom"/>
            <w:tcBorders>
              <w:bottom w:val="single" w:sz="8" w:color="231F20"/>
            </w:tcBorders>
            <w:gridSpan w:val="2"/>
          </w:tcPr>
          <w:p>
            <w:pPr>
              <w:spacing w:after="0"/>
              <w:rPr>
                <w:sz w:val="20"/>
                <w:szCs w:val="20"/>
                <w:color w:val="auto"/>
              </w:rPr>
            </w:pPr>
            <w:r>
              <w:rPr>
                <w:rFonts w:ascii="Arial" w:cs="Arial" w:eastAsia="Arial" w:hAnsi="Arial"/>
                <w:sz w:val="14"/>
                <w:szCs w:val="14"/>
                <w:b w:val="1"/>
                <w:bCs w:val="1"/>
                <w:color w:val="455986"/>
              </w:rPr>
              <w:t xml:space="preserve">Metric 4: </w:t>
            </w:r>
            <w:r>
              <w:rPr>
                <w:rFonts w:ascii="Arial" w:cs="Arial" w:eastAsia="Arial" w:hAnsi="Arial"/>
                <w:sz w:val="14"/>
                <w:szCs w:val="14"/>
                <w:color w:val="455986"/>
              </w:rPr>
              <w:t>3 Year Rate Base Growth</w:t>
            </w:r>
          </w:p>
        </w:tc>
        <w:tc>
          <w:tcPr>
            <w:tcW w:w="1260" w:type="dxa"/>
            <w:vAlign w:val="bottom"/>
            <w:tcBorders>
              <w:bottom w:val="single" w:sz="8" w:color="231F20"/>
            </w:tcBorders>
          </w:tcPr>
          <w:p>
            <w:pPr>
              <w:jc w:val="right"/>
              <w:ind w:right="210"/>
              <w:spacing w:after="0"/>
              <w:rPr>
                <w:sz w:val="20"/>
                <w:szCs w:val="20"/>
                <w:color w:val="auto"/>
              </w:rPr>
            </w:pPr>
            <w:r>
              <w:rPr>
                <w:rFonts w:ascii="Arial" w:cs="Arial" w:eastAsia="Arial" w:hAnsi="Arial"/>
                <w:sz w:val="14"/>
                <w:szCs w:val="14"/>
                <w:color w:val="231F20"/>
              </w:rPr>
              <w:t>200.00%</w:t>
            </w:r>
          </w:p>
        </w:tc>
        <w:tc>
          <w:tcPr>
            <w:tcW w:w="980" w:type="dxa"/>
            <w:vAlign w:val="bottom"/>
            <w:tcBorders>
              <w:bottom w:val="single" w:sz="8" w:color="231F20"/>
            </w:tcBorders>
          </w:tcPr>
          <w:p>
            <w:pPr>
              <w:jc w:val="right"/>
              <w:spacing w:after="0"/>
              <w:rPr>
                <w:sz w:val="20"/>
                <w:szCs w:val="20"/>
                <w:color w:val="auto"/>
              </w:rPr>
            </w:pPr>
            <w:r>
              <w:rPr>
                <w:rFonts w:ascii="Arial" w:cs="Arial" w:eastAsia="Arial" w:hAnsi="Arial"/>
                <w:sz w:val="14"/>
                <w:szCs w:val="14"/>
                <w:color w:val="231F20"/>
              </w:rPr>
              <w:t>25.0%</w:t>
            </w:r>
          </w:p>
        </w:tc>
        <w:tc>
          <w:tcPr>
            <w:tcW w:w="1240" w:type="dxa"/>
            <w:vAlign w:val="bottom"/>
            <w:tcBorders>
              <w:bottom w:val="single" w:sz="8" w:color="231F20"/>
            </w:tcBorders>
          </w:tcPr>
          <w:p>
            <w:pPr>
              <w:jc w:val="right"/>
              <w:spacing w:after="0"/>
              <w:rPr>
                <w:sz w:val="20"/>
                <w:szCs w:val="20"/>
                <w:color w:val="auto"/>
              </w:rPr>
            </w:pPr>
            <w:r>
              <w:rPr>
                <w:rFonts w:ascii="Arial" w:cs="Arial" w:eastAsia="Arial" w:hAnsi="Arial"/>
                <w:sz w:val="14"/>
                <w:szCs w:val="14"/>
                <w:color w:val="231F20"/>
              </w:rPr>
              <w:t>50.00%</w:t>
            </w:r>
          </w:p>
        </w:tc>
        <w:tc>
          <w:tcPr>
            <w:tcW w:w="0" w:type="dxa"/>
            <w:vAlign w:val="bottom"/>
          </w:tcPr>
          <w:p>
            <w:pPr>
              <w:spacing w:after="0"/>
              <w:rPr>
                <w:sz w:val="1"/>
                <w:szCs w:val="1"/>
                <w:color w:val="auto"/>
              </w:rPr>
            </w:pPr>
          </w:p>
        </w:tc>
      </w:tr>
      <w:tr>
        <w:trPr>
          <w:trHeight w:val="197"/>
        </w:trPr>
        <w:tc>
          <w:tcPr>
            <w:tcW w:w="2820" w:type="dxa"/>
            <w:vAlign w:val="bottom"/>
            <w:gridSpan w:val="2"/>
          </w:tcPr>
          <w:p>
            <w:pPr>
              <w:spacing w:after="0"/>
              <w:rPr>
                <w:sz w:val="20"/>
                <w:szCs w:val="20"/>
                <w:color w:val="auto"/>
              </w:rPr>
            </w:pPr>
            <w:r>
              <w:rPr>
                <w:rFonts w:ascii="Arial" w:cs="Arial" w:eastAsia="Arial" w:hAnsi="Arial"/>
                <w:sz w:val="14"/>
                <w:szCs w:val="14"/>
                <w:b w:val="1"/>
                <w:bCs w:val="1"/>
                <w:color w:val="455986"/>
              </w:rPr>
              <w:t>Total</w:t>
            </w:r>
          </w:p>
        </w:tc>
        <w:tc>
          <w:tcPr>
            <w:tcW w:w="1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4"/>
                <w:szCs w:val="14"/>
                <w:b w:val="1"/>
                <w:bCs w:val="1"/>
                <w:color w:val="231F20"/>
              </w:rPr>
              <w:t>175.00%</w:t>
            </w:r>
          </w:p>
        </w:tc>
        <w:tc>
          <w:tcPr>
            <w:tcW w:w="0" w:type="dxa"/>
            <w:vAlign w:val="bottom"/>
          </w:tcPr>
          <w:p>
            <w:pPr>
              <w:spacing w:after="0"/>
              <w:rPr>
                <w:sz w:val="1"/>
                <w:szCs w:val="1"/>
                <w:color w:val="auto"/>
              </w:rPr>
            </w:pPr>
          </w:p>
        </w:tc>
      </w:tr>
      <w:tr>
        <w:trPr>
          <w:trHeight w:val="356"/>
        </w:trPr>
        <w:tc>
          <w:tcPr>
            <w:tcW w:w="20" w:type="dxa"/>
            <w:vAlign w:val="bottom"/>
          </w:tcPr>
          <w:p>
            <w:pPr>
              <w:spacing w:after="0"/>
              <w:rPr>
                <w:sz w:val="24"/>
                <w:szCs w:val="24"/>
                <w:color w:val="auto"/>
              </w:rPr>
            </w:pPr>
          </w:p>
        </w:tc>
        <w:tc>
          <w:tcPr>
            <w:tcW w:w="2800" w:type="dxa"/>
            <w:vAlign w:val="bottom"/>
            <w:tcBorders>
              <w:top w:val="single" w:sz="8" w:color="455986"/>
            </w:tcBorders>
          </w:tcPr>
          <w:p>
            <w:pPr>
              <w:spacing w:after="0"/>
              <w:rPr>
                <w:sz w:val="24"/>
                <w:szCs w:val="24"/>
                <w:color w:val="auto"/>
              </w:rPr>
            </w:pPr>
          </w:p>
        </w:tc>
        <w:tc>
          <w:tcPr>
            <w:tcW w:w="1260" w:type="dxa"/>
            <w:vAlign w:val="bottom"/>
            <w:tcBorders>
              <w:top w:val="single" w:sz="8" w:color="455986"/>
            </w:tcBorders>
          </w:tcPr>
          <w:p>
            <w:pPr>
              <w:spacing w:after="0"/>
              <w:rPr>
                <w:sz w:val="24"/>
                <w:szCs w:val="24"/>
                <w:color w:val="auto"/>
              </w:rPr>
            </w:pPr>
          </w:p>
        </w:tc>
        <w:tc>
          <w:tcPr>
            <w:tcW w:w="980" w:type="dxa"/>
            <w:vAlign w:val="bottom"/>
            <w:tcBorders>
              <w:top w:val="single" w:sz="8" w:color="455986"/>
            </w:tcBorders>
          </w:tcPr>
          <w:p>
            <w:pPr>
              <w:jc w:val="right"/>
              <w:spacing w:after="0"/>
              <w:rPr>
                <w:sz w:val="20"/>
                <w:szCs w:val="20"/>
                <w:color w:val="auto"/>
              </w:rPr>
            </w:pPr>
            <w:r>
              <w:rPr>
                <w:rFonts w:ascii="Arial" w:cs="Arial" w:eastAsia="Arial" w:hAnsi="Arial"/>
                <w:sz w:val="12"/>
                <w:szCs w:val="12"/>
                <w:color w:val="455986"/>
              </w:rPr>
              <w:t>Target PSUs</w:t>
            </w:r>
          </w:p>
        </w:tc>
        <w:tc>
          <w:tcPr>
            <w:tcW w:w="1240" w:type="dxa"/>
            <w:vAlign w:val="bottom"/>
            <w:tcBorders>
              <w:top w:val="single" w:sz="8" w:color="455986"/>
            </w:tcBorders>
            <w:vMerge w:val="restart"/>
          </w:tcPr>
          <w:p>
            <w:pPr>
              <w:jc w:val="right"/>
              <w:spacing w:after="0"/>
              <w:rPr>
                <w:sz w:val="20"/>
                <w:szCs w:val="20"/>
                <w:color w:val="auto"/>
              </w:rPr>
            </w:pPr>
            <w:r>
              <w:rPr>
                <w:rFonts w:ascii="Arial" w:cs="Arial" w:eastAsia="Arial" w:hAnsi="Arial"/>
                <w:sz w:val="12"/>
                <w:szCs w:val="12"/>
                <w:color w:val="455986"/>
              </w:rPr>
              <w:t>Actual 2018 PSUs</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280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980" w:type="dxa"/>
            <w:vAlign w:val="bottom"/>
          </w:tcPr>
          <w:p>
            <w:pPr>
              <w:jc w:val="right"/>
              <w:spacing w:after="0" w:line="128" w:lineRule="exact"/>
              <w:rPr>
                <w:sz w:val="20"/>
                <w:szCs w:val="20"/>
                <w:color w:val="auto"/>
              </w:rPr>
            </w:pPr>
            <w:r>
              <w:rPr>
                <w:rFonts w:ascii="Arial" w:cs="Arial" w:eastAsia="Arial" w:hAnsi="Arial"/>
                <w:sz w:val="12"/>
                <w:szCs w:val="12"/>
                <w:color w:val="455986"/>
              </w:rPr>
              <w:t>Awarded in</w:t>
            </w:r>
          </w:p>
        </w:tc>
        <w:tc>
          <w:tcPr>
            <w:tcW w:w="12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2800" w:type="dxa"/>
            <w:vAlign w:val="bottom"/>
            <w:tcBorders>
              <w:bottom w:val="single" w:sz="8" w:color="4395D4"/>
            </w:tcBorders>
          </w:tcPr>
          <w:p>
            <w:pPr>
              <w:spacing w:after="0"/>
              <w:rPr>
                <w:sz w:val="14"/>
                <w:szCs w:val="14"/>
                <w:color w:val="auto"/>
              </w:rPr>
            </w:pPr>
          </w:p>
        </w:tc>
        <w:tc>
          <w:tcPr>
            <w:tcW w:w="1260" w:type="dxa"/>
            <w:vAlign w:val="bottom"/>
            <w:tcBorders>
              <w:bottom w:val="single" w:sz="8" w:color="4395D4"/>
            </w:tcBorders>
          </w:tcPr>
          <w:p>
            <w:pPr>
              <w:spacing w:after="0"/>
              <w:rPr>
                <w:sz w:val="14"/>
                <w:szCs w:val="14"/>
                <w:color w:val="auto"/>
              </w:rPr>
            </w:pPr>
          </w:p>
        </w:tc>
        <w:tc>
          <w:tcPr>
            <w:tcW w:w="980" w:type="dxa"/>
            <w:vAlign w:val="bottom"/>
            <w:tcBorders>
              <w:bottom w:val="single" w:sz="8" w:color="4395D4"/>
            </w:tcBorders>
          </w:tcPr>
          <w:p>
            <w:pPr>
              <w:jc w:val="right"/>
              <w:spacing w:after="0"/>
              <w:rPr>
                <w:sz w:val="20"/>
                <w:szCs w:val="20"/>
                <w:color w:val="auto"/>
              </w:rPr>
            </w:pPr>
            <w:r>
              <w:rPr>
                <w:rFonts w:ascii="Arial" w:cs="Arial" w:eastAsia="Arial" w:hAnsi="Arial"/>
                <w:sz w:val="12"/>
                <w:szCs w:val="12"/>
                <w:color w:val="455986"/>
              </w:rPr>
              <w:t>2018</w:t>
            </w:r>
          </w:p>
        </w:tc>
        <w:tc>
          <w:tcPr>
            <w:tcW w:w="1240" w:type="dxa"/>
            <w:vAlign w:val="bottom"/>
            <w:tcBorders>
              <w:bottom w:val="single" w:sz="8" w:color="4395D4"/>
            </w:tcBorders>
          </w:tcPr>
          <w:p>
            <w:pPr>
              <w:jc w:val="right"/>
              <w:spacing w:after="0"/>
              <w:rPr>
                <w:sz w:val="20"/>
                <w:szCs w:val="20"/>
                <w:color w:val="auto"/>
              </w:rPr>
            </w:pPr>
            <w:r>
              <w:rPr>
                <w:rFonts w:ascii="Arial" w:cs="Arial" w:eastAsia="Arial" w:hAnsi="Arial"/>
                <w:sz w:val="12"/>
                <w:szCs w:val="12"/>
                <w:color w:val="455986"/>
              </w:rPr>
              <w:t>Paid Out in 2020</w:t>
            </w:r>
          </w:p>
        </w:tc>
        <w:tc>
          <w:tcPr>
            <w:tcW w:w="0" w:type="dxa"/>
            <w:vAlign w:val="bottom"/>
          </w:tcPr>
          <w:p>
            <w:pPr>
              <w:spacing w:after="0"/>
              <w:rPr>
                <w:sz w:val="1"/>
                <w:szCs w:val="1"/>
                <w:color w:val="auto"/>
              </w:rPr>
            </w:pPr>
          </w:p>
        </w:tc>
      </w:tr>
      <w:tr>
        <w:trPr>
          <w:trHeight w:val="203"/>
        </w:trPr>
        <w:tc>
          <w:tcPr>
            <w:tcW w:w="2820" w:type="dxa"/>
            <w:vAlign w:val="bottom"/>
            <w:tcBorders>
              <w:bottom w:val="single" w:sz="8" w:color="231F20"/>
            </w:tcBorders>
            <w:gridSpan w:val="2"/>
          </w:tcPr>
          <w:p>
            <w:pPr>
              <w:spacing w:after="0"/>
              <w:rPr>
                <w:sz w:val="20"/>
                <w:szCs w:val="20"/>
                <w:color w:val="auto"/>
              </w:rPr>
            </w:pPr>
            <w:r>
              <w:rPr>
                <w:rFonts w:ascii="Arial" w:cs="Arial" w:eastAsia="Arial" w:hAnsi="Arial"/>
                <w:sz w:val="14"/>
                <w:szCs w:val="14"/>
                <w:b w:val="1"/>
                <w:bCs w:val="1"/>
                <w:color w:val="455986"/>
              </w:rPr>
              <w:t>Christopher H. Franklin</w:t>
            </w:r>
          </w:p>
        </w:tc>
        <w:tc>
          <w:tcPr>
            <w:tcW w:w="1260" w:type="dxa"/>
            <w:vAlign w:val="bottom"/>
            <w:tcBorders>
              <w:bottom w:val="single" w:sz="8" w:color="231F20"/>
            </w:tcBorders>
          </w:tcPr>
          <w:p>
            <w:pPr>
              <w:spacing w:after="0"/>
              <w:rPr>
                <w:sz w:val="17"/>
                <w:szCs w:val="17"/>
                <w:color w:val="auto"/>
              </w:rPr>
            </w:pPr>
          </w:p>
        </w:tc>
        <w:tc>
          <w:tcPr>
            <w:tcW w:w="980" w:type="dxa"/>
            <w:vAlign w:val="bottom"/>
            <w:tcBorders>
              <w:bottom w:val="single" w:sz="8" w:color="231F20"/>
            </w:tcBorders>
          </w:tcPr>
          <w:p>
            <w:pPr>
              <w:jc w:val="right"/>
              <w:spacing w:after="0"/>
              <w:rPr>
                <w:sz w:val="20"/>
                <w:szCs w:val="20"/>
                <w:color w:val="auto"/>
              </w:rPr>
            </w:pPr>
            <w:r>
              <w:rPr>
                <w:rFonts w:ascii="Arial" w:cs="Arial" w:eastAsia="Arial" w:hAnsi="Arial"/>
                <w:sz w:val="14"/>
                <w:szCs w:val="14"/>
                <w:color w:val="231F20"/>
              </w:rPr>
              <w:t>19,030</w:t>
            </w:r>
          </w:p>
        </w:tc>
        <w:tc>
          <w:tcPr>
            <w:tcW w:w="1240" w:type="dxa"/>
            <w:vAlign w:val="bottom"/>
            <w:tcBorders>
              <w:bottom w:val="single" w:sz="8" w:color="231F20"/>
            </w:tcBorders>
          </w:tcPr>
          <w:p>
            <w:pPr>
              <w:jc w:val="right"/>
              <w:spacing w:after="0"/>
              <w:rPr>
                <w:sz w:val="20"/>
                <w:szCs w:val="20"/>
                <w:color w:val="auto"/>
              </w:rPr>
            </w:pPr>
            <w:r>
              <w:rPr>
                <w:rFonts w:ascii="Arial" w:cs="Arial" w:eastAsia="Arial" w:hAnsi="Arial"/>
                <w:sz w:val="14"/>
                <w:szCs w:val="14"/>
                <w:color w:val="231F20"/>
              </w:rPr>
              <w:t>33,302</w:t>
            </w:r>
          </w:p>
        </w:tc>
        <w:tc>
          <w:tcPr>
            <w:tcW w:w="0" w:type="dxa"/>
            <w:vAlign w:val="bottom"/>
          </w:tcPr>
          <w:p>
            <w:pPr>
              <w:spacing w:after="0"/>
              <w:rPr>
                <w:sz w:val="1"/>
                <w:szCs w:val="1"/>
                <w:color w:val="auto"/>
              </w:rPr>
            </w:pPr>
          </w:p>
        </w:tc>
      </w:tr>
      <w:tr>
        <w:trPr>
          <w:trHeight w:val="197"/>
        </w:trPr>
        <w:tc>
          <w:tcPr>
            <w:tcW w:w="2820" w:type="dxa"/>
            <w:vAlign w:val="bottom"/>
            <w:tcBorders>
              <w:bottom w:val="single" w:sz="8" w:color="231F20"/>
            </w:tcBorders>
            <w:gridSpan w:val="2"/>
          </w:tcPr>
          <w:p>
            <w:pPr>
              <w:spacing w:after="0"/>
              <w:rPr>
                <w:sz w:val="20"/>
                <w:szCs w:val="20"/>
                <w:color w:val="auto"/>
              </w:rPr>
            </w:pPr>
            <w:r>
              <w:rPr>
                <w:rFonts w:ascii="Arial" w:cs="Arial" w:eastAsia="Arial" w:hAnsi="Arial"/>
                <w:sz w:val="14"/>
                <w:szCs w:val="14"/>
                <w:b w:val="1"/>
                <w:bCs w:val="1"/>
                <w:color w:val="455986"/>
              </w:rPr>
              <w:t>Daniel J. Schuller</w:t>
            </w:r>
          </w:p>
        </w:tc>
        <w:tc>
          <w:tcPr>
            <w:tcW w:w="1260" w:type="dxa"/>
            <w:vAlign w:val="bottom"/>
            <w:tcBorders>
              <w:bottom w:val="single" w:sz="8" w:color="231F20"/>
            </w:tcBorders>
          </w:tcPr>
          <w:p>
            <w:pPr>
              <w:spacing w:after="0"/>
              <w:rPr>
                <w:sz w:val="17"/>
                <w:szCs w:val="17"/>
                <w:color w:val="auto"/>
              </w:rPr>
            </w:pPr>
          </w:p>
        </w:tc>
        <w:tc>
          <w:tcPr>
            <w:tcW w:w="980" w:type="dxa"/>
            <w:vAlign w:val="bottom"/>
            <w:tcBorders>
              <w:bottom w:val="single" w:sz="8" w:color="231F20"/>
            </w:tcBorders>
          </w:tcPr>
          <w:p>
            <w:pPr>
              <w:jc w:val="right"/>
              <w:spacing w:after="0"/>
              <w:rPr>
                <w:sz w:val="20"/>
                <w:szCs w:val="20"/>
                <w:color w:val="auto"/>
              </w:rPr>
            </w:pPr>
            <w:r>
              <w:rPr>
                <w:rFonts w:ascii="Arial" w:cs="Arial" w:eastAsia="Arial" w:hAnsi="Arial"/>
                <w:sz w:val="14"/>
                <w:szCs w:val="14"/>
                <w:color w:val="231F20"/>
              </w:rPr>
              <w:t>4,750</w:t>
            </w:r>
          </w:p>
        </w:tc>
        <w:tc>
          <w:tcPr>
            <w:tcW w:w="1240" w:type="dxa"/>
            <w:vAlign w:val="bottom"/>
            <w:tcBorders>
              <w:bottom w:val="single" w:sz="8" w:color="231F20"/>
            </w:tcBorders>
          </w:tcPr>
          <w:p>
            <w:pPr>
              <w:jc w:val="right"/>
              <w:spacing w:after="0"/>
              <w:rPr>
                <w:sz w:val="20"/>
                <w:szCs w:val="20"/>
                <w:color w:val="auto"/>
              </w:rPr>
            </w:pPr>
            <w:r>
              <w:rPr>
                <w:rFonts w:ascii="Arial" w:cs="Arial" w:eastAsia="Arial" w:hAnsi="Arial"/>
                <w:sz w:val="14"/>
                <w:szCs w:val="14"/>
                <w:color w:val="231F20"/>
              </w:rPr>
              <w:t>8,312</w:t>
            </w:r>
          </w:p>
        </w:tc>
        <w:tc>
          <w:tcPr>
            <w:tcW w:w="0" w:type="dxa"/>
            <w:vAlign w:val="bottom"/>
          </w:tcPr>
          <w:p>
            <w:pPr>
              <w:spacing w:after="0"/>
              <w:rPr>
                <w:sz w:val="1"/>
                <w:szCs w:val="1"/>
                <w:color w:val="auto"/>
              </w:rPr>
            </w:pPr>
          </w:p>
        </w:tc>
      </w:tr>
      <w:tr>
        <w:trPr>
          <w:trHeight w:val="197"/>
        </w:trPr>
        <w:tc>
          <w:tcPr>
            <w:tcW w:w="2820" w:type="dxa"/>
            <w:vAlign w:val="bottom"/>
            <w:tcBorders>
              <w:bottom w:val="single" w:sz="8" w:color="231F20"/>
            </w:tcBorders>
            <w:gridSpan w:val="2"/>
          </w:tcPr>
          <w:p>
            <w:pPr>
              <w:spacing w:after="0"/>
              <w:rPr>
                <w:sz w:val="20"/>
                <w:szCs w:val="20"/>
                <w:color w:val="auto"/>
              </w:rPr>
            </w:pPr>
            <w:r>
              <w:rPr>
                <w:rFonts w:ascii="Arial" w:cs="Arial" w:eastAsia="Arial" w:hAnsi="Arial"/>
                <w:sz w:val="14"/>
                <w:szCs w:val="14"/>
                <w:b w:val="1"/>
                <w:bCs w:val="1"/>
                <w:color w:val="455986"/>
              </w:rPr>
              <w:t>Richard S. Fox</w:t>
            </w:r>
          </w:p>
        </w:tc>
        <w:tc>
          <w:tcPr>
            <w:tcW w:w="1260" w:type="dxa"/>
            <w:vAlign w:val="bottom"/>
            <w:tcBorders>
              <w:bottom w:val="single" w:sz="8" w:color="231F20"/>
            </w:tcBorders>
          </w:tcPr>
          <w:p>
            <w:pPr>
              <w:spacing w:after="0"/>
              <w:rPr>
                <w:sz w:val="17"/>
                <w:szCs w:val="17"/>
                <w:color w:val="auto"/>
              </w:rPr>
            </w:pPr>
          </w:p>
        </w:tc>
        <w:tc>
          <w:tcPr>
            <w:tcW w:w="980" w:type="dxa"/>
            <w:vAlign w:val="bottom"/>
            <w:tcBorders>
              <w:bottom w:val="single" w:sz="8" w:color="231F20"/>
            </w:tcBorders>
          </w:tcPr>
          <w:p>
            <w:pPr>
              <w:jc w:val="right"/>
              <w:spacing w:after="0"/>
              <w:rPr>
                <w:sz w:val="20"/>
                <w:szCs w:val="20"/>
                <w:color w:val="auto"/>
              </w:rPr>
            </w:pPr>
            <w:r>
              <w:rPr>
                <w:rFonts w:ascii="Arial" w:cs="Arial" w:eastAsia="Arial" w:hAnsi="Arial"/>
                <w:sz w:val="14"/>
                <w:szCs w:val="14"/>
                <w:color w:val="231F20"/>
              </w:rPr>
              <w:t>4,869</w:t>
            </w:r>
          </w:p>
        </w:tc>
        <w:tc>
          <w:tcPr>
            <w:tcW w:w="1240" w:type="dxa"/>
            <w:vAlign w:val="bottom"/>
            <w:tcBorders>
              <w:bottom w:val="single" w:sz="8" w:color="231F20"/>
            </w:tcBorders>
          </w:tcPr>
          <w:p>
            <w:pPr>
              <w:jc w:val="right"/>
              <w:spacing w:after="0"/>
              <w:rPr>
                <w:sz w:val="20"/>
                <w:szCs w:val="20"/>
                <w:color w:val="auto"/>
              </w:rPr>
            </w:pPr>
            <w:r>
              <w:rPr>
                <w:rFonts w:ascii="Arial" w:cs="Arial" w:eastAsia="Arial" w:hAnsi="Arial"/>
                <w:sz w:val="14"/>
                <w:szCs w:val="14"/>
                <w:color w:val="231F20"/>
              </w:rPr>
              <w:t>8,520</w:t>
            </w:r>
          </w:p>
        </w:tc>
        <w:tc>
          <w:tcPr>
            <w:tcW w:w="0" w:type="dxa"/>
            <w:vAlign w:val="bottom"/>
          </w:tcPr>
          <w:p>
            <w:pPr>
              <w:spacing w:after="0"/>
              <w:rPr>
                <w:sz w:val="1"/>
                <w:szCs w:val="1"/>
                <w:color w:val="auto"/>
              </w:rPr>
            </w:pPr>
          </w:p>
        </w:tc>
      </w:tr>
      <w:tr>
        <w:trPr>
          <w:trHeight w:val="197"/>
        </w:trPr>
        <w:tc>
          <w:tcPr>
            <w:tcW w:w="2820" w:type="dxa"/>
            <w:vAlign w:val="bottom"/>
            <w:tcBorders>
              <w:bottom w:val="single" w:sz="8" w:color="231F20"/>
            </w:tcBorders>
            <w:gridSpan w:val="2"/>
          </w:tcPr>
          <w:p>
            <w:pPr>
              <w:spacing w:after="0"/>
              <w:rPr>
                <w:sz w:val="20"/>
                <w:szCs w:val="20"/>
                <w:color w:val="auto"/>
              </w:rPr>
            </w:pPr>
            <w:r>
              <w:rPr>
                <w:rFonts w:ascii="Arial" w:cs="Arial" w:eastAsia="Arial" w:hAnsi="Arial"/>
                <w:sz w:val="14"/>
                <w:szCs w:val="14"/>
                <w:b w:val="1"/>
                <w:bCs w:val="1"/>
                <w:color w:val="455986"/>
              </w:rPr>
              <w:t xml:space="preserve">Matthew Rhodes </w:t>
            </w:r>
            <w:r>
              <w:rPr>
                <w:rFonts w:ascii="Arial" w:cs="Arial" w:eastAsia="Arial" w:hAnsi="Arial"/>
                <w:sz w:val="14"/>
                <w:szCs w:val="14"/>
                <w:color w:val="455986"/>
              </w:rPr>
              <w:t>(hire June 2018)</w:t>
            </w:r>
          </w:p>
        </w:tc>
        <w:tc>
          <w:tcPr>
            <w:tcW w:w="1260" w:type="dxa"/>
            <w:vAlign w:val="bottom"/>
            <w:tcBorders>
              <w:bottom w:val="single" w:sz="8" w:color="231F20"/>
            </w:tcBorders>
          </w:tcPr>
          <w:p>
            <w:pPr>
              <w:spacing w:after="0"/>
              <w:rPr>
                <w:sz w:val="17"/>
                <w:szCs w:val="17"/>
                <w:color w:val="auto"/>
              </w:rPr>
            </w:pPr>
          </w:p>
        </w:tc>
        <w:tc>
          <w:tcPr>
            <w:tcW w:w="980" w:type="dxa"/>
            <w:vAlign w:val="bottom"/>
            <w:tcBorders>
              <w:bottom w:val="single" w:sz="8" w:color="231F20"/>
            </w:tcBorders>
          </w:tcPr>
          <w:p>
            <w:pPr>
              <w:jc w:val="right"/>
              <w:spacing w:after="0"/>
              <w:rPr>
                <w:sz w:val="20"/>
                <w:szCs w:val="20"/>
                <w:color w:val="auto"/>
              </w:rPr>
            </w:pPr>
            <w:r>
              <w:rPr>
                <w:rFonts w:ascii="Arial" w:cs="Arial" w:eastAsia="Arial" w:hAnsi="Arial"/>
                <w:sz w:val="14"/>
                <w:szCs w:val="14"/>
                <w:color w:val="231F20"/>
              </w:rPr>
              <w:t>4,583</w:t>
            </w:r>
          </w:p>
        </w:tc>
        <w:tc>
          <w:tcPr>
            <w:tcW w:w="1240" w:type="dxa"/>
            <w:vAlign w:val="bottom"/>
            <w:tcBorders>
              <w:bottom w:val="single" w:sz="8" w:color="231F20"/>
            </w:tcBorders>
          </w:tcPr>
          <w:p>
            <w:pPr>
              <w:jc w:val="right"/>
              <w:spacing w:after="0"/>
              <w:rPr>
                <w:sz w:val="20"/>
                <w:szCs w:val="20"/>
                <w:color w:val="auto"/>
              </w:rPr>
            </w:pPr>
            <w:r>
              <w:rPr>
                <w:rFonts w:ascii="Arial" w:cs="Arial" w:eastAsia="Arial" w:hAnsi="Arial"/>
                <w:sz w:val="14"/>
                <w:szCs w:val="14"/>
                <w:color w:val="231F20"/>
              </w:rPr>
              <w:t>8,020</w:t>
            </w:r>
          </w:p>
        </w:tc>
        <w:tc>
          <w:tcPr>
            <w:tcW w:w="0" w:type="dxa"/>
            <w:vAlign w:val="bottom"/>
          </w:tcPr>
          <w:p>
            <w:pPr>
              <w:spacing w:after="0"/>
              <w:rPr>
                <w:sz w:val="1"/>
                <w:szCs w:val="1"/>
                <w:color w:val="auto"/>
              </w:rPr>
            </w:pPr>
          </w:p>
        </w:tc>
      </w:tr>
      <w:tr>
        <w:trPr>
          <w:trHeight w:val="197"/>
        </w:trPr>
        <w:tc>
          <w:tcPr>
            <w:tcW w:w="2820" w:type="dxa"/>
            <w:vAlign w:val="bottom"/>
            <w:gridSpan w:val="2"/>
          </w:tcPr>
          <w:p>
            <w:pPr>
              <w:spacing w:after="0"/>
              <w:rPr>
                <w:sz w:val="20"/>
                <w:szCs w:val="20"/>
                <w:color w:val="auto"/>
              </w:rPr>
            </w:pPr>
            <w:r>
              <w:rPr>
                <w:rFonts w:ascii="Arial" w:cs="Arial" w:eastAsia="Arial" w:hAnsi="Arial"/>
                <w:sz w:val="14"/>
                <w:szCs w:val="14"/>
                <w:b w:val="1"/>
                <w:bCs w:val="1"/>
                <w:color w:val="455986"/>
              </w:rPr>
              <w:t>Christopher P. Luning</w:t>
            </w:r>
          </w:p>
        </w:tc>
        <w:tc>
          <w:tcPr>
            <w:tcW w:w="126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231F20"/>
              </w:rPr>
              <w:t>3,929</w:t>
            </w:r>
          </w:p>
        </w:tc>
        <w:tc>
          <w:tcPr>
            <w:tcW w:w="1240" w:type="dxa"/>
            <w:vAlign w:val="bottom"/>
          </w:tcPr>
          <w:p>
            <w:pPr>
              <w:jc w:val="right"/>
              <w:spacing w:after="0"/>
              <w:rPr>
                <w:sz w:val="20"/>
                <w:szCs w:val="20"/>
                <w:color w:val="auto"/>
              </w:rPr>
            </w:pPr>
            <w:r>
              <w:rPr>
                <w:rFonts w:ascii="Arial" w:cs="Arial" w:eastAsia="Arial" w:hAnsi="Arial"/>
                <w:sz w:val="14"/>
                <w:szCs w:val="14"/>
                <w:color w:val="231F20"/>
              </w:rPr>
              <w:t>6,875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00" w:type="dxa"/>
            <w:vAlign w:val="bottom"/>
            <w:shd w:val="clear" w:color="auto" w:fill="455986"/>
          </w:tcPr>
          <w:p>
            <w:pPr>
              <w:spacing w:after="0" w:line="20" w:lineRule="exact"/>
              <w:rPr>
                <w:sz w:val="1"/>
                <w:szCs w:val="1"/>
                <w:color w:val="auto"/>
              </w:rPr>
            </w:pPr>
          </w:p>
        </w:tc>
        <w:tc>
          <w:tcPr>
            <w:tcW w:w="1260" w:type="dxa"/>
            <w:vAlign w:val="bottom"/>
            <w:shd w:val="clear" w:color="auto" w:fill="455986"/>
          </w:tcPr>
          <w:p>
            <w:pPr>
              <w:spacing w:after="0" w:line="20" w:lineRule="exact"/>
              <w:rPr>
                <w:sz w:val="1"/>
                <w:szCs w:val="1"/>
                <w:color w:val="auto"/>
              </w:rPr>
            </w:pPr>
          </w:p>
        </w:tc>
        <w:tc>
          <w:tcPr>
            <w:tcW w:w="980" w:type="dxa"/>
            <w:vAlign w:val="bottom"/>
            <w:shd w:val="clear" w:color="auto" w:fill="455986"/>
          </w:tcPr>
          <w:p>
            <w:pPr>
              <w:spacing w:after="0" w:line="20" w:lineRule="exact"/>
              <w:rPr>
                <w:sz w:val="1"/>
                <w:szCs w:val="1"/>
                <w:color w:val="auto"/>
              </w:rPr>
            </w:pPr>
          </w:p>
        </w:tc>
        <w:tc>
          <w:tcPr>
            <w:tcW w:w="1240" w:type="dxa"/>
            <w:vAlign w:val="bottom"/>
            <w:shd w:val="clear" w:color="auto" w:fill="4395D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-3134995</wp:posOffset>
            </wp:positionH>
            <wp:positionV relativeFrom="paragraph">
              <wp:posOffset>267335</wp:posOffset>
            </wp:positionV>
            <wp:extent cx="7139940" cy="825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139940"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4380" w:space="560"/>
            <w:col w:w="6300"/>
          </w:cols>
          <w:pgMar w:left="320" w:top="637" w:right="339" w:bottom="1440" w:gutter="0" w:footer="0" w:header="0"/>
          <w:type w:val="continuous"/>
        </w:sectPr>
      </w:pPr>
    </w:p>
    <w:p>
      <w:pPr>
        <w:spacing w:after="0" w:line="267" w:lineRule="exact"/>
        <w:rPr>
          <w:sz w:val="20"/>
          <w:szCs w:val="20"/>
          <w:color w:val="auto"/>
        </w:rPr>
      </w:pPr>
    </w:p>
    <w:p>
      <w:pPr>
        <w:ind w:left="7940"/>
        <w:spacing w:after="0"/>
        <w:tabs>
          <w:tab w:leader="none" w:pos="11060" w:val="left"/>
        </w:tabs>
        <w:rPr>
          <w:sz w:val="20"/>
          <w:szCs w:val="20"/>
          <w:color w:val="auto"/>
        </w:rPr>
      </w:pPr>
      <w:r>
        <w:rPr>
          <w:rFonts w:ascii="Arial" w:cs="Arial" w:eastAsia="Arial" w:hAnsi="Arial"/>
          <w:sz w:val="12"/>
          <w:szCs w:val="12"/>
          <w:color w:val="4395D4"/>
        </w:rPr>
        <w:t xml:space="preserve">ESSENTIAL UTILITIES, INC. </w:t>
      </w:r>
      <w:r>
        <w:rPr>
          <w:rFonts w:ascii="Arial" w:cs="Arial" w:eastAsia="Arial" w:hAnsi="Arial"/>
          <w:sz w:val="12"/>
          <w:szCs w:val="12"/>
          <w:color w:val="455986"/>
        </w:rPr>
        <w:t>2021 PROXY STATEMENT</w:t>
      </w:r>
      <w:r>
        <w:rPr>
          <w:sz w:val="20"/>
          <w:szCs w:val="20"/>
          <w:color w:val="auto"/>
        </w:rPr>
        <w:tab/>
      </w:r>
      <w:r>
        <w:rPr>
          <w:rFonts w:ascii="Arial" w:cs="Arial" w:eastAsia="Arial" w:hAnsi="Arial"/>
          <w:sz w:val="14"/>
          <w:szCs w:val="14"/>
          <w:color w:val="455986"/>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339090</wp:posOffset>
            </wp:positionV>
            <wp:extent cx="7139940" cy="2413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139940" cy="24130"/>
                    </a:xfrm>
                    <a:prstGeom prst="rect">
                      <a:avLst/>
                    </a:prstGeom>
                    <a:noFill/>
                  </pic:spPr>
                </pic:pic>
              </a:graphicData>
            </a:graphic>
          </wp:anchor>
        </w:drawing>
      </w:r>
    </w:p>
    <w:p>
      <w:pPr>
        <w:sectPr>
          <w:pgSz w:w="11900" w:h="16838" w:orient="portrait"/>
          <w:cols w:equalWidth="0" w:num="1">
            <w:col w:w="11240"/>
          </w:cols>
          <w:pgMar w:left="320" w:top="637" w:right="339" w:bottom="1440" w:gutter="0" w:footer="0" w:header="0"/>
          <w:type w:val="continuous"/>
        </w:sectPr>
      </w:pPr>
    </w:p>
    <w:bookmarkStart w:id="60" w:name="page61"/>
    <w:bookmarkEnd w:id="60"/>
    <w:p>
      <w:pPr>
        <w:spacing w:after="0"/>
        <w:rPr>
          <w:sz w:val="20"/>
          <w:szCs w:val="20"/>
          <w:color w:val="auto"/>
        </w:rPr>
      </w:pPr>
      <w:r>
        <w:rPr>
          <w:rFonts w:ascii="Arial" w:cs="Arial" w:eastAsia="Arial" w:hAnsi="Arial"/>
          <w:sz w:val="14"/>
          <w:szCs w:val="14"/>
          <w:b w:val="1"/>
          <w:bCs w:val="1"/>
          <w:color w:val="455986"/>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27940</wp:posOffset>
            </wp:positionV>
            <wp:extent cx="7139940" cy="825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139940" cy="8255"/>
                    </a:xfrm>
                    <a:prstGeom prst="rect">
                      <a:avLst/>
                    </a:prstGeom>
                    <a:noFill/>
                  </pic:spPr>
                </pic:pic>
              </a:graphicData>
            </a:graphic>
          </wp:anchor>
        </w:drawing>
      </w:r>
    </w:p>
    <w:p>
      <w:pPr>
        <w:spacing w:after="0" w:line="76" w:lineRule="exact"/>
        <w:rPr>
          <w:sz w:val="20"/>
          <w:szCs w:val="20"/>
          <w:color w:val="auto"/>
        </w:rPr>
      </w:pPr>
    </w:p>
    <w:p>
      <w:pPr>
        <w:spacing w:after="0"/>
        <w:rPr>
          <w:sz w:val="20"/>
          <w:szCs w:val="20"/>
          <w:color w:val="auto"/>
        </w:rPr>
      </w:pPr>
      <w:r>
        <w:rPr>
          <w:rFonts w:ascii="Arial" w:cs="Arial" w:eastAsia="Arial" w:hAnsi="Arial"/>
          <w:sz w:val="14"/>
          <w:szCs w:val="14"/>
          <w:color w:val="4395D4"/>
        </w:rPr>
        <w:t xml:space="preserve">Section 3 </w:t>
      </w:r>
      <w:r>
        <w:rPr>
          <w:rFonts w:ascii="Arial" w:cs="Arial" w:eastAsia="Arial" w:hAnsi="Arial"/>
          <w:sz w:val="14"/>
          <w:szCs w:val="14"/>
          <w:color w:val="231F20"/>
        </w:rPr>
        <w:t>2020 Executive Compensation Program</w:t>
      </w:r>
    </w:p>
    <w:p>
      <w:pPr>
        <w:spacing w:after="0" w:line="174" w:lineRule="exact"/>
        <w:rPr>
          <w:sz w:val="20"/>
          <w:szCs w:val="20"/>
          <w:color w:val="auto"/>
        </w:rPr>
      </w:pPr>
    </w:p>
    <w:p>
      <w:pPr>
        <w:ind w:right="260"/>
        <w:spacing w:after="0" w:line="253" w:lineRule="auto"/>
        <w:rPr>
          <w:sz w:val="20"/>
          <w:szCs w:val="20"/>
          <w:color w:val="auto"/>
        </w:rPr>
      </w:pPr>
      <w:r>
        <w:rPr>
          <w:rFonts w:ascii="Arial" w:cs="Arial" w:eastAsia="Arial" w:hAnsi="Arial"/>
          <w:sz w:val="14"/>
          <w:szCs w:val="14"/>
          <w:color w:val="231F20"/>
        </w:rPr>
        <w:t>As seen by the charts above, the Compensation Committee believes that its long-term incentive compensation program aligns with the shareholders, combining total shareholder return with objective metrics aimed at increasing shareholder value, with the actual payout based on actual achievement of four metrics that the Compensation Committee believes address share-based and operational metrics that are important to shareholders.</w:t>
      </w:r>
    </w:p>
    <w:p>
      <w:pPr>
        <w:spacing w:after="0" w:line="100" w:lineRule="exact"/>
        <w:rPr>
          <w:sz w:val="20"/>
          <w:szCs w:val="20"/>
          <w:color w:val="auto"/>
        </w:rPr>
      </w:pPr>
    </w:p>
    <w:p>
      <w:pPr>
        <w:spacing w:after="0"/>
        <w:rPr>
          <w:sz w:val="20"/>
          <w:szCs w:val="20"/>
          <w:color w:val="auto"/>
        </w:rPr>
      </w:pPr>
      <w:r>
        <w:rPr>
          <w:rFonts w:ascii="Arial" w:cs="Arial" w:eastAsia="Arial" w:hAnsi="Arial"/>
          <w:sz w:val="17"/>
          <w:szCs w:val="17"/>
          <w:b w:val="1"/>
          <w:bCs w:val="1"/>
          <w:color w:val="4395D4"/>
        </w:rPr>
        <w:t>Outstanding PSU Awards</w:t>
      </w:r>
    </w:p>
    <w:p>
      <w:pPr>
        <w:spacing w:after="0" w:line="153" w:lineRule="exact"/>
        <w:rPr>
          <w:sz w:val="20"/>
          <w:szCs w:val="20"/>
          <w:color w:val="auto"/>
        </w:rPr>
      </w:pPr>
    </w:p>
    <w:p>
      <w:pPr>
        <w:spacing w:after="0" w:line="253" w:lineRule="auto"/>
        <w:rPr>
          <w:sz w:val="20"/>
          <w:szCs w:val="20"/>
          <w:color w:val="auto"/>
        </w:rPr>
      </w:pPr>
      <w:r>
        <w:rPr>
          <w:rFonts w:ascii="Arial" w:cs="Arial" w:eastAsia="Arial" w:hAnsi="Arial"/>
          <w:sz w:val="14"/>
          <w:szCs w:val="14"/>
          <w:color w:val="231F20"/>
        </w:rPr>
        <w:t>The PSU awards granted in 2020 were redesigned to incorporate the change to one total shareholder return metric from the previous use of a water and mid-cap utility metrics. The performance period began on January 1, 2020 and will end on December 31, 2022 for the 2020 grant. The performance period for the PSU awards for 2021 began on January 1, 2021 and will end on December 31, 2023.</w:t>
      </w:r>
    </w:p>
    <w:p>
      <w:pPr>
        <w:spacing w:after="0" w:line="105" w:lineRule="exact"/>
        <w:rPr>
          <w:sz w:val="20"/>
          <w:szCs w:val="20"/>
          <w:color w:val="auto"/>
        </w:rPr>
      </w:pPr>
    </w:p>
    <w:p>
      <w:pPr>
        <w:spacing w:after="0"/>
        <w:rPr>
          <w:sz w:val="20"/>
          <w:szCs w:val="20"/>
          <w:color w:val="auto"/>
        </w:rPr>
      </w:pPr>
      <w:r>
        <w:rPr>
          <w:rFonts w:ascii="Arial" w:cs="Arial" w:eastAsia="Arial" w:hAnsi="Arial"/>
          <w:sz w:val="14"/>
          <w:szCs w:val="14"/>
          <w:i w:val="1"/>
          <w:iCs w:val="1"/>
          <w:color w:val="231F20"/>
        </w:rPr>
        <w:t>Please see the disclosure under the heading Outstanding Equity Awards at Fiscal Year-End for a description of the status of the 2020 PSU awards.</w:t>
      </w:r>
    </w:p>
    <w:p>
      <w:pPr>
        <w:spacing w:after="0" w:line="130" w:lineRule="exact"/>
        <w:rPr>
          <w:sz w:val="20"/>
          <w:szCs w:val="20"/>
          <w:color w:val="auto"/>
        </w:rPr>
      </w:pPr>
    </w:p>
    <w:p>
      <w:pPr>
        <w:spacing w:after="0"/>
        <w:rPr>
          <w:sz w:val="20"/>
          <w:szCs w:val="20"/>
          <w:color w:val="auto"/>
        </w:rPr>
      </w:pPr>
      <w:r>
        <w:rPr>
          <w:rFonts w:ascii="Arial" w:cs="Arial" w:eastAsia="Arial" w:hAnsi="Arial"/>
          <w:sz w:val="20"/>
          <w:szCs w:val="20"/>
          <w:b w:val="1"/>
          <w:bCs w:val="1"/>
          <w:color w:val="231F20"/>
        </w:rPr>
        <w:t>Restricted Stock</w:t>
      </w:r>
    </w:p>
    <w:p>
      <w:pPr>
        <w:spacing w:after="0" w:line="166" w:lineRule="exact"/>
        <w:rPr>
          <w:sz w:val="20"/>
          <w:szCs w:val="20"/>
          <w:color w:val="auto"/>
        </w:rPr>
      </w:pPr>
    </w:p>
    <w:p>
      <w:pPr>
        <w:ind w:right="480"/>
        <w:spacing w:after="0" w:line="278" w:lineRule="auto"/>
        <w:rPr>
          <w:sz w:val="20"/>
          <w:szCs w:val="20"/>
          <w:color w:val="auto"/>
        </w:rPr>
      </w:pPr>
      <w:r>
        <w:rPr>
          <w:rFonts w:ascii="Arial" w:cs="Arial" w:eastAsia="Arial" w:hAnsi="Arial"/>
          <w:sz w:val="14"/>
          <w:szCs w:val="14"/>
          <w:color w:val="231F20"/>
        </w:rPr>
        <w:t>For 2020, in recognition of the closing of the Peoples Natural Gas acquisition, a special one-time grant of 2,988 shares of restricted stock (approximately $100,000) was awarded to Messrs. Schuller, Fox, Rhodes, and Luning.</w:t>
      </w:r>
    </w:p>
    <w:p>
      <w:pPr>
        <w:spacing w:after="0" w:line="83" w:lineRule="exact"/>
        <w:rPr>
          <w:sz w:val="20"/>
          <w:szCs w:val="20"/>
          <w:color w:val="auto"/>
        </w:rPr>
      </w:pPr>
    </w:p>
    <w:p>
      <w:pPr>
        <w:spacing w:after="0"/>
        <w:rPr>
          <w:sz w:val="20"/>
          <w:szCs w:val="20"/>
          <w:color w:val="auto"/>
        </w:rPr>
      </w:pPr>
      <w:r>
        <w:rPr>
          <w:rFonts w:ascii="Arial" w:cs="Arial" w:eastAsia="Arial" w:hAnsi="Arial"/>
          <w:sz w:val="17"/>
          <w:szCs w:val="17"/>
          <w:b w:val="1"/>
          <w:bCs w:val="1"/>
          <w:color w:val="4395D4"/>
        </w:rPr>
        <w:t>Adjusted Return on Equity Calculation</w:t>
      </w:r>
    </w:p>
    <w:p>
      <w:pPr>
        <w:spacing w:after="0" w:line="153" w:lineRule="exact"/>
        <w:rPr>
          <w:sz w:val="20"/>
          <w:szCs w:val="20"/>
          <w:color w:val="auto"/>
        </w:rPr>
      </w:pPr>
    </w:p>
    <w:p>
      <w:pPr>
        <w:ind w:right="260"/>
        <w:spacing w:after="0" w:line="278" w:lineRule="auto"/>
        <w:rPr>
          <w:sz w:val="20"/>
          <w:szCs w:val="20"/>
          <w:color w:val="auto"/>
        </w:rPr>
      </w:pPr>
      <w:r>
        <w:rPr>
          <w:rFonts w:ascii="Arial" w:cs="Arial" w:eastAsia="Arial" w:hAnsi="Arial"/>
          <w:sz w:val="14"/>
          <w:szCs w:val="14"/>
          <w:color w:val="231F20"/>
        </w:rPr>
        <w:t>The Company’s adjusted return on equity is calculated annually in accordance with the descriptive formula below and if the adjusted return on equity meets or exceeds 150 basis points below the return of equity of the most current Pennsylvania PUC rate award, the awards will vest: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68580</wp:posOffset>
            </wp:positionV>
            <wp:extent cx="5956300" cy="119951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5956300" cy="11995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right="200"/>
        <w:spacing w:after="0" w:line="268" w:lineRule="auto"/>
        <w:rPr>
          <w:sz w:val="20"/>
          <w:szCs w:val="20"/>
          <w:color w:val="auto"/>
        </w:rPr>
      </w:pPr>
      <w:r>
        <w:rPr>
          <w:rFonts w:ascii="Arial" w:cs="Arial" w:eastAsia="Arial" w:hAnsi="Arial"/>
          <w:sz w:val="14"/>
          <w:szCs w:val="14"/>
          <w:b w:val="1"/>
          <w:bCs w:val="1"/>
          <w:color w:val="231F20"/>
        </w:rPr>
        <w:t>Beginning in 2020, under the redesigned long-term incentive program, stock options have been removed from the program and instead a heavier emphasis is placed on performance share units and restricted share units. This approach has become the foundation of the long term incentive program and will continue in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191770</wp:posOffset>
            </wp:positionV>
            <wp:extent cx="7139940" cy="825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139940" cy="8255"/>
                    </a:xfrm>
                    <a:prstGeom prst="rect">
                      <a:avLst/>
                    </a:prstGeom>
                    <a:noFill/>
                  </pic:spPr>
                </pic:pic>
              </a:graphicData>
            </a:graphic>
          </wp:anchor>
        </w:drawing>
      </w:r>
    </w:p>
    <w:p>
      <w:pPr>
        <w:spacing w:after="0" w:line="352" w:lineRule="exact"/>
        <w:rPr>
          <w:sz w:val="20"/>
          <w:szCs w:val="20"/>
          <w:color w:val="auto"/>
        </w:rPr>
      </w:pPr>
    </w:p>
    <w:p>
      <w:pPr>
        <w:ind w:left="300" w:hanging="298"/>
        <w:spacing w:after="0"/>
        <w:tabs>
          <w:tab w:leader="none" w:pos="300" w:val="left"/>
        </w:tabs>
        <w:numPr>
          <w:ilvl w:val="0"/>
          <w:numId w:val="105"/>
        </w:numPr>
        <w:rPr>
          <w:rFonts w:ascii="Arial" w:cs="Arial" w:eastAsia="Arial" w:hAnsi="Arial"/>
          <w:sz w:val="15"/>
          <w:szCs w:val="15"/>
          <w:color w:val="455986"/>
        </w:rPr>
      </w:pPr>
      <w:r>
        <w:rPr>
          <w:rFonts w:ascii="Arial" w:cs="Arial" w:eastAsia="Arial" w:hAnsi="Arial"/>
          <w:sz w:val="12"/>
          <w:szCs w:val="12"/>
          <w:color w:val="4395D4"/>
        </w:rPr>
        <w:t xml:space="preserve">ESSENTIAL UTILITIES, INC. </w:t>
      </w:r>
      <w:r>
        <w:rPr>
          <w:rFonts w:ascii="Arial" w:cs="Arial" w:eastAsia="Arial" w:hAnsi="Arial"/>
          <w:sz w:val="12"/>
          <w:szCs w:val="12"/>
          <w:color w:val="455986"/>
        </w:rPr>
        <w:t>2021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316230</wp:posOffset>
            </wp:positionV>
            <wp:extent cx="7139940" cy="2413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139940" cy="24130"/>
                    </a:xfrm>
                    <a:prstGeom prst="rect">
                      <a:avLst/>
                    </a:prstGeom>
                    <a:noFill/>
                  </pic:spPr>
                </pic:pic>
              </a:graphicData>
            </a:graphic>
          </wp:anchor>
        </w:drawing>
      </w:r>
    </w:p>
    <w:p>
      <w:pPr>
        <w:sectPr>
          <w:pgSz w:w="11900" w:h="16838" w:orient="portrait"/>
          <w:cols w:equalWidth="0" w:num="1">
            <w:col w:w="11200"/>
          </w:cols>
          <w:pgMar w:left="320" w:top="637" w:right="379" w:bottom="1440" w:gutter="0" w:footer="0" w:header="0"/>
        </w:sectPr>
      </w:pPr>
    </w:p>
    <w:bookmarkStart w:id="61" w:name="page62"/>
    <w:bookmarkEnd w:id="61"/>
    <w:p>
      <w:pPr>
        <w:spacing w:after="0"/>
        <w:rPr>
          <w:sz w:val="20"/>
          <w:szCs w:val="20"/>
          <w:color w:val="auto"/>
        </w:rPr>
      </w:pPr>
      <w:r>
        <w:rPr>
          <w:rFonts w:ascii="Arial" w:cs="Arial" w:eastAsia="Arial" w:hAnsi="Arial"/>
          <w:sz w:val="14"/>
          <w:szCs w:val="14"/>
          <w:b w:val="1"/>
          <w:bCs w:val="1"/>
          <w:color w:val="455986"/>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27940</wp:posOffset>
            </wp:positionV>
            <wp:extent cx="7139940" cy="825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139940" cy="8255"/>
                    </a:xfrm>
                    <a:prstGeom prst="rect">
                      <a:avLst/>
                    </a:prstGeom>
                    <a:noFill/>
                  </pic:spPr>
                </pic:pic>
              </a:graphicData>
            </a:graphic>
          </wp:anchor>
        </w:drawing>
      </w:r>
    </w:p>
    <w:p>
      <w:pPr>
        <w:spacing w:after="0" w:line="76" w:lineRule="exact"/>
        <w:rPr>
          <w:sz w:val="20"/>
          <w:szCs w:val="20"/>
          <w:color w:val="auto"/>
        </w:rPr>
      </w:pPr>
    </w:p>
    <w:p>
      <w:pPr>
        <w:spacing w:after="0"/>
        <w:rPr>
          <w:sz w:val="20"/>
          <w:szCs w:val="20"/>
          <w:color w:val="auto"/>
        </w:rPr>
      </w:pPr>
      <w:r>
        <w:rPr>
          <w:rFonts w:ascii="Arial" w:cs="Arial" w:eastAsia="Arial" w:hAnsi="Arial"/>
          <w:sz w:val="14"/>
          <w:szCs w:val="14"/>
          <w:color w:val="4395D4"/>
        </w:rPr>
        <w:t xml:space="preserve">Section 3 </w:t>
      </w:r>
      <w:r>
        <w:rPr>
          <w:rFonts w:ascii="Arial" w:cs="Arial" w:eastAsia="Arial" w:hAnsi="Arial"/>
          <w:sz w:val="14"/>
          <w:szCs w:val="14"/>
          <w:color w:val="231F20"/>
        </w:rPr>
        <w:t>2020 Executive Compensation Program</w:t>
      </w:r>
    </w:p>
    <w:p>
      <w:pPr>
        <w:spacing w:after="0" w:line="161" w:lineRule="exact"/>
        <w:rPr>
          <w:sz w:val="20"/>
          <w:szCs w:val="20"/>
          <w:color w:val="auto"/>
        </w:rPr>
      </w:pPr>
    </w:p>
    <w:p>
      <w:pPr>
        <w:spacing w:after="0"/>
        <w:rPr>
          <w:sz w:val="20"/>
          <w:szCs w:val="20"/>
          <w:color w:val="auto"/>
        </w:rPr>
      </w:pPr>
      <w:r>
        <w:rPr>
          <w:rFonts w:ascii="Arial" w:cs="Arial" w:eastAsia="Arial" w:hAnsi="Arial"/>
          <w:sz w:val="20"/>
          <w:szCs w:val="20"/>
          <w:b w:val="1"/>
          <w:bCs w:val="1"/>
          <w:color w:val="231F20"/>
        </w:rPr>
        <w:t>Restricted Share Awards</w:t>
      </w:r>
    </w:p>
    <w:p>
      <w:pPr>
        <w:spacing w:after="0" w:line="166" w:lineRule="exact"/>
        <w:rPr>
          <w:sz w:val="20"/>
          <w:szCs w:val="20"/>
          <w:color w:val="auto"/>
        </w:rPr>
      </w:pPr>
    </w:p>
    <w:p>
      <w:pPr>
        <w:jc w:val="both"/>
        <w:ind w:right="160"/>
        <w:spacing w:after="0" w:line="245" w:lineRule="auto"/>
        <w:rPr>
          <w:sz w:val="20"/>
          <w:szCs w:val="20"/>
          <w:color w:val="auto"/>
        </w:rPr>
      </w:pPr>
      <w:r>
        <w:rPr>
          <w:rFonts w:ascii="Arial" w:cs="Arial" w:eastAsia="Arial" w:hAnsi="Arial"/>
          <w:sz w:val="14"/>
          <w:szCs w:val="14"/>
          <w:color w:val="231F20"/>
        </w:rPr>
        <w:t>Annual restricted share or restricted stock unit grants (together referred to as restricted shares) entitle the named executive officer to receive the number of shares granted at the end of a given period of time, or in increments over a period of years on the anniversaries of the grant date, provided the named executive officer remains an employee of the Company. However, if separation is due to death, disability, retirement or termination following a Change in Control, then acceleration of the lapse of forfeiture restrictions occurs as set forth in the Plan.</w:t>
      </w:r>
    </w:p>
    <w:p>
      <w:pPr>
        <w:sectPr>
          <w:pgSz w:w="11900" w:h="16838" w:orient="portrait"/>
          <w:cols w:equalWidth="0" w:num="1">
            <w:col w:w="11240"/>
          </w:cols>
          <w:pgMar w:left="320" w:top="636" w:right="339" w:bottom="1440" w:gutter="0" w:footer="0" w:header="0"/>
        </w:sectPr>
      </w:pPr>
    </w:p>
    <w:p>
      <w:pPr>
        <w:spacing w:after="0" w:line="108" w:lineRule="exact"/>
        <w:rPr>
          <w:sz w:val="20"/>
          <w:szCs w:val="20"/>
          <w:color w:val="auto"/>
        </w:rPr>
      </w:pPr>
    </w:p>
    <w:p>
      <w:pPr>
        <w:ind w:left="180" w:hanging="178"/>
        <w:spacing w:after="0" w:line="278" w:lineRule="auto"/>
        <w:tabs>
          <w:tab w:leader="none" w:pos="181" w:val="left"/>
        </w:tabs>
        <w:numPr>
          <w:ilvl w:val="0"/>
          <w:numId w:val="106"/>
        </w:numPr>
        <w:rPr>
          <w:rFonts w:ascii="Arial" w:cs="Arial" w:eastAsia="Arial" w:hAnsi="Arial"/>
          <w:sz w:val="14"/>
          <w:szCs w:val="14"/>
          <w:color w:val="4395D4"/>
        </w:rPr>
      </w:pPr>
      <w:r>
        <w:rPr>
          <w:rFonts w:ascii="Arial" w:cs="Arial" w:eastAsia="Arial" w:hAnsi="Arial"/>
          <w:sz w:val="14"/>
          <w:szCs w:val="14"/>
          <w:color w:val="231F20"/>
        </w:rPr>
        <w:t>Dividends or dividend equivalents, as applicable, are accumulated and paid when the restricted shares are paid.</w:t>
      </w:r>
    </w:p>
    <w:p>
      <w:pPr>
        <w:spacing w:after="0" w:line="9" w:lineRule="exact"/>
        <w:rPr>
          <w:rFonts w:ascii="Arial" w:cs="Arial" w:eastAsia="Arial" w:hAnsi="Arial"/>
          <w:sz w:val="14"/>
          <w:szCs w:val="14"/>
          <w:color w:val="4395D4"/>
        </w:rPr>
      </w:pPr>
    </w:p>
    <w:p>
      <w:pPr>
        <w:ind w:left="180" w:right="80" w:hanging="178"/>
        <w:spacing w:after="0" w:line="253" w:lineRule="auto"/>
        <w:tabs>
          <w:tab w:leader="none" w:pos="181" w:val="left"/>
        </w:tabs>
        <w:numPr>
          <w:ilvl w:val="0"/>
          <w:numId w:val="106"/>
        </w:numPr>
        <w:rPr>
          <w:rFonts w:ascii="Arial" w:cs="Arial" w:eastAsia="Arial" w:hAnsi="Arial"/>
          <w:sz w:val="14"/>
          <w:szCs w:val="14"/>
          <w:color w:val="4395D4"/>
        </w:rPr>
      </w:pPr>
      <w:r>
        <w:rPr>
          <w:rFonts w:ascii="Arial" w:cs="Arial" w:eastAsia="Arial" w:hAnsi="Arial"/>
          <w:sz w:val="14"/>
          <w:szCs w:val="14"/>
          <w:color w:val="231F20"/>
        </w:rPr>
        <w:t>The restricted shares to the other named executive officers (other than the Chief Executive Officer) vest 100% after three years, with vesting subject solely to continued service with the Company.</w:t>
      </w:r>
    </w:p>
    <w:p>
      <w:pPr>
        <w:spacing w:after="0" w:line="39" w:lineRule="exact"/>
        <w:rPr>
          <w:rFonts w:ascii="Arial" w:cs="Arial" w:eastAsia="Arial" w:hAnsi="Arial"/>
          <w:sz w:val="14"/>
          <w:szCs w:val="14"/>
          <w:color w:val="4395D4"/>
        </w:rPr>
      </w:pPr>
    </w:p>
    <w:p>
      <w:pPr>
        <w:ind w:left="180" w:right="100" w:hanging="178"/>
        <w:spacing w:after="0" w:line="278" w:lineRule="auto"/>
        <w:tabs>
          <w:tab w:leader="none" w:pos="181" w:val="left"/>
        </w:tabs>
        <w:numPr>
          <w:ilvl w:val="0"/>
          <w:numId w:val="106"/>
        </w:numPr>
        <w:rPr>
          <w:rFonts w:ascii="Arial" w:cs="Arial" w:eastAsia="Arial" w:hAnsi="Arial"/>
          <w:sz w:val="14"/>
          <w:szCs w:val="14"/>
          <w:color w:val="4395D4"/>
        </w:rPr>
      </w:pPr>
      <w:r>
        <w:rPr>
          <w:rFonts w:ascii="Arial" w:cs="Arial" w:eastAsia="Arial" w:hAnsi="Arial"/>
          <w:sz w:val="14"/>
          <w:szCs w:val="14"/>
          <w:color w:val="231F20"/>
        </w:rPr>
        <w:t>The restricted shares to the Chief Executive Officer vest 100% after three years, with vesting subject to continued service</w:t>
      </w:r>
    </w:p>
    <w:p>
      <w:pPr>
        <w:spacing w:after="0" w:line="20" w:lineRule="exact"/>
        <w:rPr>
          <w:sz w:val="20"/>
          <w:szCs w:val="20"/>
          <w:color w:val="auto"/>
        </w:rPr>
      </w:pPr>
      <w:r>
        <w:rPr>
          <w:sz w:val="20"/>
          <w:szCs w:val="20"/>
          <w:color w:val="auto"/>
        </w:rPr>
        <w:br w:type="column"/>
      </w:r>
    </w:p>
    <w:p>
      <w:pPr>
        <w:spacing w:after="0" w:line="88" w:lineRule="exact"/>
        <w:rPr>
          <w:sz w:val="20"/>
          <w:szCs w:val="20"/>
          <w:color w:val="auto"/>
        </w:rPr>
      </w:pPr>
    </w:p>
    <w:p>
      <w:pPr>
        <w:ind w:left="200"/>
        <w:spacing w:after="0"/>
        <w:rPr>
          <w:sz w:val="20"/>
          <w:szCs w:val="20"/>
          <w:color w:val="auto"/>
        </w:rPr>
      </w:pPr>
      <w:r>
        <w:rPr>
          <w:rFonts w:ascii="Arial" w:cs="Arial" w:eastAsia="Arial" w:hAnsi="Arial"/>
          <w:sz w:val="14"/>
          <w:szCs w:val="14"/>
          <w:color w:val="231F20"/>
        </w:rPr>
        <w:t>with the Company and the Company’s achievement of at least an adjusted return on equity equal to 150 basis points below return on equity granted by the Pennsylvania Public Utility Commission during the Company’s Pennsylvania water subsidiary’s last rate proceeding, subjected to adjustments as allowed under the Plan.</w:t>
      </w:r>
    </w:p>
    <w:p>
      <w:pPr>
        <w:spacing w:after="0" w:line="37" w:lineRule="exact"/>
        <w:rPr>
          <w:sz w:val="20"/>
          <w:szCs w:val="20"/>
          <w:color w:val="auto"/>
        </w:rPr>
      </w:pPr>
    </w:p>
    <w:p>
      <w:pPr>
        <w:jc w:val="both"/>
        <w:ind w:left="180" w:right="120" w:hanging="180"/>
        <w:spacing w:after="0" w:line="253" w:lineRule="auto"/>
        <w:tabs>
          <w:tab w:leader="none" w:pos="181" w:val="left"/>
        </w:tabs>
        <w:numPr>
          <w:ilvl w:val="0"/>
          <w:numId w:val="107"/>
        </w:numPr>
        <w:rPr>
          <w:rFonts w:ascii="Arial" w:cs="Arial" w:eastAsia="Arial" w:hAnsi="Arial"/>
          <w:sz w:val="14"/>
          <w:szCs w:val="14"/>
          <w:color w:val="4395D4"/>
        </w:rPr>
      </w:pPr>
      <w:r>
        <w:rPr>
          <w:rFonts w:ascii="Arial" w:cs="Arial" w:eastAsia="Arial" w:hAnsi="Arial"/>
          <w:sz w:val="14"/>
          <w:szCs w:val="14"/>
          <w:color w:val="231F20"/>
        </w:rPr>
        <w:t>The return on equity will be calculated in the same manner as it is calculated for the purpose of determining the return on equity required for the vesting of stock options.</w:t>
      </w:r>
    </w:p>
    <w:p>
      <w:pPr>
        <w:spacing w:after="0" w:line="103" w:lineRule="exact"/>
        <w:rPr>
          <w:sz w:val="20"/>
          <w:szCs w:val="20"/>
          <w:color w:val="auto"/>
        </w:rPr>
      </w:pPr>
    </w:p>
    <w:p>
      <w:pPr>
        <w:sectPr>
          <w:pgSz w:w="11900" w:h="16838" w:orient="portrait"/>
          <w:cols w:equalWidth="0" w:num="2">
            <w:col w:w="5380" w:space="480"/>
            <w:col w:w="5380"/>
          </w:cols>
          <w:pgMar w:left="320" w:top="636" w:right="339" w:bottom="1440" w:gutter="0" w:footer="0" w:header="0"/>
          <w:type w:val="continuous"/>
        </w:sectPr>
      </w:pPr>
    </w:p>
    <w:p>
      <w:pPr>
        <w:spacing w:after="0"/>
        <w:rPr>
          <w:sz w:val="20"/>
          <w:szCs w:val="20"/>
          <w:color w:val="auto"/>
        </w:rPr>
      </w:pPr>
      <w:r>
        <w:rPr>
          <w:rFonts w:ascii="Arial" w:cs="Arial" w:eastAsia="Arial" w:hAnsi="Arial"/>
          <w:sz w:val="20"/>
          <w:szCs w:val="20"/>
          <w:b w:val="1"/>
          <w:bCs w:val="1"/>
          <w:color w:val="231F20"/>
        </w:rPr>
        <w:t>Other Benefits</w:t>
      </w:r>
    </w:p>
    <w:p>
      <w:pPr>
        <w:spacing w:after="0" w:line="162" w:lineRule="exact"/>
        <w:rPr>
          <w:sz w:val="20"/>
          <w:szCs w:val="20"/>
          <w:color w:val="auto"/>
        </w:rPr>
      </w:pPr>
    </w:p>
    <w:p>
      <w:pPr>
        <w:spacing w:after="0"/>
        <w:rPr>
          <w:sz w:val="20"/>
          <w:szCs w:val="20"/>
          <w:color w:val="auto"/>
        </w:rPr>
      </w:pPr>
      <w:r>
        <w:rPr>
          <w:rFonts w:ascii="Arial" w:cs="Arial" w:eastAsia="Arial" w:hAnsi="Arial"/>
          <w:sz w:val="17"/>
          <w:szCs w:val="17"/>
          <w:b w:val="1"/>
          <w:bCs w:val="1"/>
          <w:color w:val="4395D4"/>
        </w:rPr>
        <w:t>Retirement Plans</w:t>
      </w:r>
    </w:p>
    <w:p>
      <w:pPr>
        <w:spacing w:after="0" w:line="153" w:lineRule="exact"/>
        <w:rPr>
          <w:sz w:val="20"/>
          <w:szCs w:val="20"/>
          <w:color w:val="auto"/>
        </w:rPr>
      </w:pPr>
    </w:p>
    <w:p>
      <w:pPr>
        <w:ind w:right="40"/>
        <w:spacing w:after="0" w:line="237" w:lineRule="auto"/>
        <w:rPr>
          <w:sz w:val="20"/>
          <w:szCs w:val="20"/>
          <w:color w:val="auto"/>
        </w:rPr>
      </w:pPr>
      <w:r>
        <w:rPr>
          <w:rFonts w:ascii="Arial" w:cs="Arial" w:eastAsia="Arial" w:hAnsi="Arial"/>
          <w:sz w:val="14"/>
          <w:szCs w:val="14"/>
          <w:color w:val="231F20"/>
        </w:rPr>
        <w:t>Our retirement plans are intended to provide competitive retirement benefits to help attract and retain employees. Some of our named executive officers are participants in our qualified pension plan (benefits frozen as of December 31, 2014) (the Retirement Plan), and in our non-qualified pension benefit plan (the Non-Qualified Pension Benefit Plan). Our non-qualified retirement plan is intended to provide executive officers with a retirement benefit that is comparable on a percentage of salary basis to that of our other employees participating in the Retirement Plan by providing the benefits that are limited under current Internal Revenue Service regulations. Benefits continue to accrue for some of our named executive officers in the Non-Qualified Pension Benefit Plan. Starting in 2009, the Company began to fund the trust for the benefits under the Non-Qualified Pension Benefit Plan using trust- owned life insurance. A named executive officer’s retirement benefits under our qualified and non-qualified retirement plan are not taken into account in determining the executive’s current compensation.</w:t>
      </w:r>
    </w:p>
    <w:p>
      <w:pPr>
        <w:spacing w:after="0" w:line="112" w:lineRule="exact"/>
        <w:rPr>
          <w:sz w:val="20"/>
          <w:szCs w:val="20"/>
          <w:color w:val="auto"/>
        </w:rPr>
      </w:pPr>
    </w:p>
    <w:p>
      <w:pPr>
        <w:ind w:left="200" w:right="440" w:hanging="198"/>
        <w:spacing w:after="0" w:line="278" w:lineRule="auto"/>
        <w:tabs>
          <w:tab w:leader="none" w:pos="200" w:val="left"/>
        </w:tabs>
        <w:numPr>
          <w:ilvl w:val="0"/>
          <w:numId w:val="108"/>
        </w:numPr>
        <w:rPr>
          <w:rFonts w:ascii="Arial" w:cs="Arial" w:eastAsia="Arial" w:hAnsi="Arial"/>
          <w:sz w:val="14"/>
          <w:szCs w:val="14"/>
          <w:color w:val="4395D4"/>
        </w:rPr>
      </w:pPr>
      <w:r>
        <w:rPr>
          <w:rFonts w:ascii="Arial" w:cs="Arial" w:eastAsia="Arial" w:hAnsi="Arial"/>
          <w:sz w:val="14"/>
          <w:szCs w:val="14"/>
          <w:color w:val="231F20"/>
        </w:rPr>
        <w:t>Effective December 31, 2014, the named executive officers ceased accruing a benefit under the Retirement Plan and their plan compensation and credited service for purposes of determining their benefits was frozen.</w:t>
      </w:r>
    </w:p>
    <w:p>
      <w:pPr>
        <w:spacing w:after="0" w:line="9" w:lineRule="exact"/>
        <w:rPr>
          <w:rFonts w:ascii="Arial" w:cs="Arial" w:eastAsia="Arial" w:hAnsi="Arial"/>
          <w:sz w:val="14"/>
          <w:szCs w:val="14"/>
          <w:color w:val="4395D4"/>
        </w:rPr>
      </w:pPr>
    </w:p>
    <w:p>
      <w:pPr>
        <w:ind w:left="200" w:hanging="198"/>
        <w:spacing w:after="0"/>
        <w:tabs>
          <w:tab w:leader="none" w:pos="200" w:val="left"/>
        </w:tabs>
        <w:numPr>
          <w:ilvl w:val="0"/>
          <w:numId w:val="108"/>
        </w:numPr>
        <w:rPr>
          <w:rFonts w:ascii="Arial" w:cs="Arial" w:eastAsia="Arial" w:hAnsi="Arial"/>
          <w:sz w:val="14"/>
          <w:szCs w:val="14"/>
          <w:color w:val="4395D4"/>
        </w:rPr>
      </w:pPr>
      <w:r>
        <w:rPr>
          <w:rFonts w:ascii="Arial" w:cs="Arial" w:eastAsia="Arial" w:hAnsi="Arial"/>
          <w:sz w:val="14"/>
          <w:szCs w:val="14"/>
          <w:color w:val="231F20"/>
        </w:rPr>
        <w:t>Vesting service will continue to accrue in the Retirement Plan as long as the named executive officer remains employed by the Company.</w:t>
      </w:r>
    </w:p>
    <w:p>
      <w:pPr>
        <w:spacing w:after="0" w:line="142" w:lineRule="exact"/>
        <w:rPr>
          <w:sz w:val="20"/>
          <w:szCs w:val="20"/>
          <w:color w:val="auto"/>
        </w:rPr>
      </w:pPr>
    </w:p>
    <w:p>
      <w:pPr>
        <w:spacing w:after="0"/>
        <w:rPr>
          <w:sz w:val="20"/>
          <w:szCs w:val="20"/>
          <w:color w:val="auto"/>
        </w:rPr>
      </w:pPr>
      <w:r>
        <w:rPr>
          <w:rFonts w:ascii="Arial" w:cs="Arial" w:eastAsia="Arial" w:hAnsi="Arial"/>
          <w:sz w:val="17"/>
          <w:szCs w:val="17"/>
          <w:b w:val="1"/>
          <w:bCs w:val="1"/>
          <w:color w:val="4395D4"/>
        </w:rPr>
        <w:t>Non-Qualified Deferred Compensation Plan</w:t>
      </w:r>
    </w:p>
    <w:p>
      <w:pPr>
        <w:spacing w:after="0" w:line="153" w:lineRule="exact"/>
        <w:rPr>
          <w:sz w:val="20"/>
          <w:szCs w:val="20"/>
          <w:color w:val="auto"/>
        </w:rPr>
      </w:pPr>
    </w:p>
    <w:p>
      <w:pPr>
        <w:jc w:val="both"/>
        <w:ind w:right="120"/>
        <w:spacing w:after="0" w:line="253" w:lineRule="auto"/>
        <w:rPr>
          <w:sz w:val="20"/>
          <w:szCs w:val="20"/>
          <w:color w:val="auto"/>
        </w:rPr>
      </w:pPr>
      <w:r>
        <w:rPr>
          <w:rFonts w:ascii="Arial" w:cs="Arial" w:eastAsia="Arial" w:hAnsi="Arial"/>
          <w:sz w:val="14"/>
          <w:szCs w:val="14"/>
          <w:color w:val="231F20"/>
        </w:rPr>
        <w:t>We maintain a non-qualified Executive Deferred Compensation Plan (the Executive Deferral Plan) that allows eligible members of management to defer all or a portion of their salary and annual cash incentives, which enables participants to save for retirement and other life events in a tax-effective manner. Deferred amounts are deemed invested in one or more mutual funds selected by the participant under trust-owned life insurance policies on the lives of eligible executives.</w:t>
      </w:r>
    </w:p>
    <w:p>
      <w:pPr>
        <w:spacing w:after="0" w:line="103" w:lineRule="exact"/>
        <w:rPr>
          <w:sz w:val="20"/>
          <w:szCs w:val="20"/>
          <w:color w:val="auto"/>
        </w:rPr>
      </w:pPr>
    </w:p>
    <w:p>
      <w:pPr>
        <w:ind w:right="120"/>
        <w:spacing w:after="0"/>
        <w:rPr>
          <w:sz w:val="20"/>
          <w:szCs w:val="20"/>
          <w:color w:val="auto"/>
        </w:rPr>
      </w:pPr>
      <w:r>
        <w:rPr>
          <w:rFonts w:ascii="Arial" w:cs="Arial" w:eastAsia="Arial" w:hAnsi="Arial"/>
          <w:sz w:val="14"/>
          <w:szCs w:val="14"/>
          <w:color w:val="231F20"/>
        </w:rPr>
        <w:t>To provide named executive officers with the full Company matching contribution available to other employees under our qualified plans, executives who choose to defer up to six percent of their salary under one of the Company’s 401(k) plans, but do not receive the full Company matching contribution under such qualified plans due to the Internal Revenue Service regulations limiting the total dollar amount that can be deferred under a 401(k) plan ($18,000 for 2016, $18,500 for 2017 and 2018, $19,000 for 2019, and $19,500 for 2020), receive the portion of the Company matching contribution that would otherwise be forfeited by the executive as the Company’s contribution into the Executive Deferral Plan.</w:t>
      </w:r>
    </w:p>
    <w:p>
      <w:pPr>
        <w:spacing w:after="0" w:line="275" w:lineRule="exact"/>
        <w:rPr>
          <w:sz w:val="20"/>
          <w:szCs w:val="20"/>
          <w:color w:val="auto"/>
        </w:rPr>
      </w:pPr>
    </w:p>
    <w:p>
      <w:pPr>
        <w:ind w:left="200" w:hanging="198"/>
        <w:spacing w:after="0"/>
        <w:tabs>
          <w:tab w:leader="none" w:pos="200" w:val="left"/>
        </w:tabs>
        <w:numPr>
          <w:ilvl w:val="0"/>
          <w:numId w:val="109"/>
        </w:numPr>
        <w:rPr>
          <w:rFonts w:ascii="Arial" w:cs="Arial" w:eastAsia="Arial" w:hAnsi="Arial"/>
          <w:sz w:val="14"/>
          <w:szCs w:val="14"/>
          <w:color w:val="4395D4"/>
        </w:rPr>
      </w:pPr>
      <w:r>
        <w:rPr>
          <w:rFonts w:ascii="Arial" w:cs="Arial" w:eastAsia="Arial" w:hAnsi="Arial"/>
          <w:sz w:val="14"/>
          <w:szCs w:val="14"/>
          <w:color w:val="231F20"/>
        </w:rPr>
        <w:t>Effective January 1, 2009, the Company began to fund the trust holding amounts deferred by the participants in the Executive Deferral Plan using trust-owned life insurance.</w:t>
      </w:r>
    </w:p>
    <w:p>
      <w:pPr>
        <w:spacing w:after="0" w:line="81" w:lineRule="exact"/>
        <w:rPr>
          <w:rFonts w:ascii="Arial" w:cs="Arial" w:eastAsia="Arial" w:hAnsi="Arial"/>
          <w:sz w:val="14"/>
          <w:szCs w:val="14"/>
          <w:color w:val="4395D4"/>
        </w:rPr>
      </w:pPr>
    </w:p>
    <w:p>
      <w:pPr>
        <w:ind w:left="200" w:right="460" w:hanging="198"/>
        <w:spacing w:after="0" w:line="278" w:lineRule="auto"/>
        <w:tabs>
          <w:tab w:leader="none" w:pos="200" w:val="left"/>
        </w:tabs>
        <w:numPr>
          <w:ilvl w:val="0"/>
          <w:numId w:val="109"/>
        </w:numPr>
        <w:rPr>
          <w:rFonts w:ascii="Arial" w:cs="Arial" w:eastAsia="Arial" w:hAnsi="Arial"/>
          <w:sz w:val="14"/>
          <w:szCs w:val="14"/>
          <w:color w:val="4395D4"/>
        </w:rPr>
      </w:pPr>
      <w:r>
        <w:rPr>
          <w:rFonts w:ascii="Arial" w:cs="Arial" w:eastAsia="Arial" w:hAnsi="Arial"/>
          <w:sz w:val="14"/>
          <w:szCs w:val="14"/>
          <w:color w:val="231F20"/>
        </w:rPr>
        <w:t>A named executive officer’s deferrals and any earnings on deferrals under our non-qualified deferred compensation plan are not taken into account in determining the named executive officer’s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92710</wp:posOffset>
            </wp:positionV>
            <wp:extent cx="7139940" cy="825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139940" cy="8255"/>
                    </a:xfrm>
                    <a:prstGeom prst="rect">
                      <a:avLst/>
                    </a:prstGeom>
                    <a:noFill/>
                  </pic:spPr>
                </pic:pic>
              </a:graphicData>
            </a:graphic>
          </wp:anchor>
        </w:drawing>
      </w:r>
    </w:p>
    <w:p>
      <w:pPr>
        <w:spacing w:after="0" w:line="172" w:lineRule="exact"/>
        <w:rPr>
          <w:sz w:val="20"/>
          <w:szCs w:val="20"/>
          <w:color w:val="auto"/>
        </w:rPr>
      </w:pPr>
    </w:p>
    <w:p>
      <w:pPr>
        <w:jc w:val="right"/>
        <w:spacing w:after="0"/>
        <w:tabs>
          <w:tab w:leader="none" w:pos="140" w:val="left"/>
        </w:tabs>
        <w:rPr>
          <w:sz w:val="20"/>
          <w:szCs w:val="20"/>
          <w:color w:val="auto"/>
        </w:rPr>
      </w:pPr>
      <w:r>
        <w:rPr>
          <w:rFonts w:ascii="Arial" w:cs="Arial" w:eastAsia="Arial" w:hAnsi="Arial"/>
          <w:sz w:val="12"/>
          <w:szCs w:val="12"/>
          <w:color w:val="4395D4"/>
        </w:rPr>
        <w:t xml:space="preserve">ESSENTIAL UTILITIES, INC. </w:t>
      </w:r>
      <w:r>
        <w:rPr>
          <w:rFonts w:ascii="Arial" w:cs="Arial" w:eastAsia="Arial" w:hAnsi="Arial"/>
          <w:sz w:val="12"/>
          <w:szCs w:val="12"/>
          <w:color w:val="455986"/>
        </w:rPr>
        <w:t>2021 PROXY STATEMENT</w:t>
      </w:r>
      <w:r>
        <w:rPr>
          <w:sz w:val="20"/>
          <w:szCs w:val="20"/>
          <w:color w:val="auto"/>
        </w:rPr>
        <w:tab/>
      </w:r>
      <w:r>
        <w:rPr>
          <w:rFonts w:ascii="Arial" w:cs="Arial" w:eastAsia="Arial" w:hAnsi="Arial"/>
          <w:sz w:val="14"/>
          <w:szCs w:val="14"/>
          <w:color w:val="455986"/>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346710</wp:posOffset>
            </wp:positionV>
            <wp:extent cx="7139940" cy="2413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139940" cy="24130"/>
                    </a:xfrm>
                    <a:prstGeom prst="rect">
                      <a:avLst/>
                    </a:prstGeom>
                    <a:noFill/>
                  </pic:spPr>
                </pic:pic>
              </a:graphicData>
            </a:graphic>
          </wp:anchor>
        </w:drawing>
      </w:r>
    </w:p>
    <w:p>
      <w:pPr>
        <w:sectPr>
          <w:pgSz w:w="11900" w:h="16838" w:orient="portrait"/>
          <w:cols w:equalWidth="0" w:num="1">
            <w:col w:w="11240"/>
          </w:cols>
          <w:pgMar w:left="320" w:top="636" w:right="339" w:bottom="1440" w:gutter="0" w:footer="0" w:header="0"/>
          <w:type w:val="continuous"/>
        </w:sectPr>
      </w:pPr>
    </w:p>
    <w:bookmarkStart w:id="62" w:name="page63"/>
    <w:bookmarkEnd w:id="62"/>
    <w:p>
      <w:pPr>
        <w:spacing w:after="0"/>
        <w:rPr>
          <w:sz w:val="20"/>
          <w:szCs w:val="20"/>
          <w:color w:val="auto"/>
        </w:rPr>
      </w:pPr>
      <w:r>
        <w:rPr>
          <w:rFonts w:ascii="Arial" w:cs="Arial" w:eastAsia="Arial" w:hAnsi="Arial"/>
          <w:sz w:val="14"/>
          <w:szCs w:val="14"/>
          <w:b w:val="1"/>
          <w:bCs w:val="1"/>
          <w:color w:val="455986"/>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27940</wp:posOffset>
            </wp:positionV>
            <wp:extent cx="7139940" cy="825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139940" cy="8255"/>
                    </a:xfrm>
                    <a:prstGeom prst="rect">
                      <a:avLst/>
                    </a:prstGeom>
                    <a:noFill/>
                  </pic:spPr>
                </pic:pic>
              </a:graphicData>
            </a:graphic>
          </wp:anchor>
        </w:drawing>
      </w:r>
    </w:p>
    <w:p>
      <w:pPr>
        <w:spacing w:after="0" w:line="76" w:lineRule="exact"/>
        <w:rPr>
          <w:sz w:val="20"/>
          <w:szCs w:val="20"/>
          <w:color w:val="auto"/>
        </w:rPr>
      </w:pPr>
    </w:p>
    <w:p>
      <w:pPr>
        <w:spacing w:after="0"/>
        <w:rPr>
          <w:sz w:val="20"/>
          <w:szCs w:val="20"/>
          <w:color w:val="auto"/>
        </w:rPr>
      </w:pPr>
      <w:r>
        <w:rPr>
          <w:rFonts w:ascii="Arial" w:cs="Arial" w:eastAsia="Arial" w:hAnsi="Arial"/>
          <w:sz w:val="14"/>
          <w:szCs w:val="14"/>
          <w:color w:val="4395D4"/>
        </w:rPr>
        <w:t xml:space="preserve">Section 3 </w:t>
      </w:r>
      <w:r>
        <w:rPr>
          <w:rFonts w:ascii="Arial" w:cs="Arial" w:eastAsia="Arial" w:hAnsi="Arial"/>
          <w:sz w:val="14"/>
          <w:szCs w:val="14"/>
          <w:color w:val="231F20"/>
        </w:rPr>
        <w:t>2020 Executive Compensation Program</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b w:val="1"/>
          <w:bCs w:val="1"/>
          <w:color w:val="4395D4"/>
        </w:rPr>
        <w:t>Severance Plans</w:t>
      </w:r>
    </w:p>
    <w:p>
      <w:pPr>
        <w:spacing w:after="0" w:line="153" w:lineRule="exact"/>
        <w:rPr>
          <w:sz w:val="20"/>
          <w:szCs w:val="20"/>
          <w:color w:val="auto"/>
        </w:rPr>
      </w:pPr>
    </w:p>
    <w:p>
      <w:pPr>
        <w:ind w:right="20"/>
        <w:spacing w:after="0" w:line="253" w:lineRule="auto"/>
        <w:rPr>
          <w:sz w:val="20"/>
          <w:szCs w:val="20"/>
          <w:color w:val="auto"/>
        </w:rPr>
      </w:pPr>
      <w:r>
        <w:rPr>
          <w:rFonts w:ascii="Arial" w:cs="Arial" w:eastAsia="Arial" w:hAnsi="Arial"/>
          <w:sz w:val="14"/>
          <w:szCs w:val="14"/>
          <w:color w:val="231F20"/>
        </w:rPr>
        <w:t>All of the named executive officers are covered by a severance policy. The policy provides the named executive officers with a severance benefit of one full year salary and one full year projected bonus and a minimum of one month of continued medical benefits and a maximum of six months of continued medical benefits following termination, provided that the named executive officer is terminated for any reason other than for cause.</w:t>
      </w:r>
    </w:p>
    <w:p>
      <w:pPr>
        <w:spacing w:after="0" w:line="103" w:lineRule="exact"/>
        <w:rPr>
          <w:sz w:val="20"/>
          <w:szCs w:val="20"/>
          <w:color w:val="auto"/>
        </w:rPr>
      </w:pPr>
    </w:p>
    <w:p>
      <w:pPr>
        <w:ind w:right="20"/>
        <w:spacing w:after="0" w:line="245" w:lineRule="auto"/>
        <w:rPr>
          <w:sz w:val="20"/>
          <w:szCs w:val="20"/>
          <w:color w:val="auto"/>
        </w:rPr>
      </w:pPr>
      <w:r>
        <w:rPr>
          <w:rFonts w:ascii="Arial" w:cs="Arial" w:eastAsia="Arial" w:hAnsi="Arial"/>
          <w:sz w:val="14"/>
          <w:szCs w:val="14"/>
          <w:color w:val="231F20"/>
        </w:rPr>
        <w:t>Additionally, on July 1, 2018, Mr. Franklin and the Company entered into an Employment Agreement (Mr. Franklin’s Employment Agreement). Under Mr. Franklin’s Employment Agreement, if the Company terminates Mr. Franklin’s employment without cause or does not renew the term of the Employment Agreement, or if Mr. Franklin terminates his employment for good reason (as defined in the agreement), Mr. Franklin will receive any accrued but unpaid salary and accrued vacation as well as a lump sum equal to (i) 24 months of base salary and (ii) two times the target annual bonus.</w:t>
      </w:r>
    </w:p>
    <w:p>
      <w:pPr>
        <w:spacing w:after="0" w:line="108" w:lineRule="exact"/>
        <w:rPr>
          <w:sz w:val="20"/>
          <w:szCs w:val="20"/>
          <w:color w:val="auto"/>
        </w:rPr>
      </w:pPr>
    </w:p>
    <w:p>
      <w:pPr>
        <w:spacing w:after="0" w:line="253" w:lineRule="auto"/>
        <w:rPr>
          <w:sz w:val="20"/>
          <w:szCs w:val="20"/>
          <w:color w:val="auto"/>
        </w:rPr>
      </w:pPr>
      <w:r>
        <w:rPr>
          <w:rFonts w:ascii="Arial" w:cs="Arial" w:eastAsia="Arial" w:hAnsi="Arial"/>
          <w:sz w:val="14"/>
          <w:szCs w:val="14"/>
          <w:color w:val="231F20"/>
        </w:rPr>
        <w:t>If the Company terminates Mr. Franklin’s employment for cause or if he terminates his employment without good reason, or for death or disability, Mr. Franklin (or his estate) will receive any accrued but unpaid salary and accrued vacation. Mr. Franklin’s Employment Agreement expires July 1, 2021 and may be extended for successive one-year terms upon mutual agreement of the Company and Mr. Franklin. Mr. Franklin’s Employment Agreement is filed with our SEC filings.</w:t>
      </w:r>
    </w:p>
    <w:p>
      <w:pPr>
        <w:spacing w:after="0" w:line="100" w:lineRule="exact"/>
        <w:rPr>
          <w:sz w:val="20"/>
          <w:szCs w:val="20"/>
          <w:color w:val="auto"/>
        </w:rPr>
      </w:pPr>
    </w:p>
    <w:p>
      <w:pPr>
        <w:spacing w:after="0"/>
        <w:rPr>
          <w:sz w:val="20"/>
          <w:szCs w:val="20"/>
          <w:color w:val="auto"/>
        </w:rPr>
      </w:pPr>
      <w:r>
        <w:rPr>
          <w:rFonts w:ascii="Arial" w:cs="Arial" w:eastAsia="Arial" w:hAnsi="Arial"/>
          <w:sz w:val="17"/>
          <w:szCs w:val="17"/>
          <w:b w:val="1"/>
          <w:bCs w:val="1"/>
          <w:color w:val="4395D4"/>
        </w:rPr>
        <w:t>Double Trigger Change-In-Control Agreements</w:t>
      </w:r>
    </w:p>
    <w:p>
      <w:pPr>
        <w:spacing w:after="0" w:line="153" w:lineRule="exact"/>
        <w:rPr>
          <w:sz w:val="20"/>
          <w:szCs w:val="20"/>
          <w:color w:val="auto"/>
        </w:rPr>
      </w:pPr>
    </w:p>
    <w:p>
      <w:pPr>
        <w:spacing w:after="0"/>
        <w:rPr>
          <w:sz w:val="20"/>
          <w:szCs w:val="20"/>
          <w:color w:val="auto"/>
        </w:rPr>
      </w:pPr>
      <w:r>
        <w:rPr>
          <w:rFonts w:ascii="Arial" w:cs="Arial" w:eastAsia="Arial" w:hAnsi="Arial"/>
          <w:sz w:val="14"/>
          <w:szCs w:val="14"/>
          <w:color w:val="231F20"/>
        </w:rPr>
        <w:t>We maintain change-in-control agreements with the named executive officers. These change-in-control agreements are intended to:</w:t>
      </w:r>
    </w:p>
    <w:p>
      <w:pPr>
        <w:spacing w:after="0" w:line="145" w:lineRule="exact"/>
        <w:rPr>
          <w:sz w:val="20"/>
          <w:szCs w:val="20"/>
          <w:color w:val="auto"/>
        </w:rPr>
      </w:pPr>
    </w:p>
    <w:p>
      <w:pPr>
        <w:ind w:left="200" w:right="240" w:hanging="198"/>
        <w:spacing w:after="0" w:line="278" w:lineRule="auto"/>
        <w:tabs>
          <w:tab w:leader="none" w:pos="200" w:val="left"/>
        </w:tabs>
        <w:numPr>
          <w:ilvl w:val="0"/>
          <w:numId w:val="110"/>
        </w:numPr>
        <w:rPr>
          <w:rFonts w:ascii="Arial" w:cs="Arial" w:eastAsia="Arial" w:hAnsi="Arial"/>
          <w:sz w:val="14"/>
          <w:szCs w:val="14"/>
          <w:color w:val="4395D4"/>
        </w:rPr>
      </w:pPr>
      <w:r>
        <w:rPr>
          <w:rFonts w:ascii="Arial" w:cs="Arial" w:eastAsia="Arial" w:hAnsi="Arial"/>
          <w:sz w:val="14"/>
          <w:szCs w:val="14"/>
          <w:color w:val="231F20"/>
        </w:rPr>
        <w:t>minimize the distraction and uncertainty that could affect key management in the event we become involved in a transaction that could result in a change in control of the Company;</w:t>
      </w:r>
    </w:p>
    <w:p>
      <w:pPr>
        <w:spacing w:after="0" w:line="9" w:lineRule="exact"/>
        <w:rPr>
          <w:rFonts w:ascii="Arial" w:cs="Arial" w:eastAsia="Arial" w:hAnsi="Arial"/>
          <w:sz w:val="14"/>
          <w:szCs w:val="14"/>
          <w:color w:val="4395D4"/>
        </w:rPr>
      </w:pPr>
    </w:p>
    <w:p>
      <w:pPr>
        <w:ind w:left="200" w:hanging="198"/>
        <w:spacing w:after="0"/>
        <w:tabs>
          <w:tab w:leader="none" w:pos="200" w:val="left"/>
        </w:tabs>
        <w:numPr>
          <w:ilvl w:val="0"/>
          <w:numId w:val="110"/>
        </w:numPr>
        <w:rPr>
          <w:rFonts w:ascii="Arial" w:cs="Arial" w:eastAsia="Arial" w:hAnsi="Arial"/>
          <w:sz w:val="14"/>
          <w:szCs w:val="14"/>
          <w:color w:val="4395D4"/>
        </w:rPr>
      </w:pPr>
      <w:r>
        <w:rPr>
          <w:rFonts w:ascii="Arial" w:cs="Arial" w:eastAsia="Arial" w:hAnsi="Arial"/>
          <w:sz w:val="14"/>
          <w:szCs w:val="14"/>
          <w:color w:val="231F20"/>
        </w:rPr>
        <w:t>enable the executives to impartially evaluate such a transaction;</w:t>
      </w:r>
    </w:p>
    <w:p>
      <w:pPr>
        <w:spacing w:after="0" w:line="81" w:lineRule="exact"/>
        <w:rPr>
          <w:rFonts w:ascii="Arial" w:cs="Arial" w:eastAsia="Arial" w:hAnsi="Arial"/>
          <w:sz w:val="14"/>
          <w:szCs w:val="14"/>
          <w:color w:val="4395D4"/>
        </w:rPr>
      </w:pPr>
    </w:p>
    <w:p>
      <w:pPr>
        <w:ind w:left="200" w:hanging="198"/>
        <w:spacing w:after="0"/>
        <w:tabs>
          <w:tab w:leader="none" w:pos="200" w:val="left"/>
        </w:tabs>
        <w:numPr>
          <w:ilvl w:val="0"/>
          <w:numId w:val="110"/>
        </w:numPr>
        <w:rPr>
          <w:rFonts w:ascii="Arial" w:cs="Arial" w:eastAsia="Arial" w:hAnsi="Arial"/>
          <w:sz w:val="14"/>
          <w:szCs w:val="14"/>
          <w:color w:val="4395D4"/>
        </w:rPr>
      </w:pPr>
      <w:r>
        <w:rPr>
          <w:rFonts w:ascii="Arial" w:cs="Arial" w:eastAsia="Arial" w:hAnsi="Arial"/>
          <w:sz w:val="14"/>
          <w:szCs w:val="14"/>
          <w:color w:val="231F20"/>
        </w:rPr>
        <w:t>provide a retention incentive to our named executive officers; and</w:t>
      </w:r>
    </w:p>
    <w:p>
      <w:pPr>
        <w:spacing w:after="0" w:line="81" w:lineRule="exact"/>
        <w:rPr>
          <w:rFonts w:ascii="Arial" w:cs="Arial" w:eastAsia="Arial" w:hAnsi="Arial"/>
          <w:sz w:val="14"/>
          <w:szCs w:val="14"/>
          <w:color w:val="4395D4"/>
        </w:rPr>
      </w:pPr>
    </w:p>
    <w:p>
      <w:pPr>
        <w:ind w:left="200" w:hanging="198"/>
        <w:spacing w:after="0"/>
        <w:tabs>
          <w:tab w:leader="none" w:pos="200" w:val="left"/>
        </w:tabs>
        <w:numPr>
          <w:ilvl w:val="0"/>
          <w:numId w:val="110"/>
        </w:numPr>
        <w:rPr>
          <w:rFonts w:ascii="Arial" w:cs="Arial" w:eastAsia="Arial" w:hAnsi="Arial"/>
          <w:sz w:val="14"/>
          <w:szCs w:val="14"/>
          <w:color w:val="4395D4"/>
        </w:rPr>
      </w:pPr>
      <w:r>
        <w:rPr>
          <w:rFonts w:ascii="Arial" w:cs="Arial" w:eastAsia="Arial" w:hAnsi="Arial"/>
          <w:sz w:val="14"/>
          <w:szCs w:val="14"/>
          <w:color w:val="231F20"/>
        </w:rPr>
        <w:t>encourage their attention and dedication to their duties and responsibilities in the event of a possible change-in-control.</w:t>
      </w:r>
    </w:p>
    <w:p>
      <w:pPr>
        <w:spacing w:after="0" w:line="145" w:lineRule="exact"/>
        <w:rPr>
          <w:sz w:val="20"/>
          <w:szCs w:val="20"/>
          <w:color w:val="auto"/>
        </w:rPr>
      </w:pPr>
    </w:p>
    <w:p>
      <w:pPr>
        <w:ind w:right="80"/>
        <w:spacing w:after="0" w:line="253" w:lineRule="auto"/>
        <w:rPr>
          <w:sz w:val="20"/>
          <w:szCs w:val="20"/>
          <w:color w:val="auto"/>
        </w:rPr>
      </w:pPr>
      <w:r>
        <w:rPr>
          <w:rFonts w:ascii="Arial" w:cs="Arial" w:eastAsia="Arial" w:hAnsi="Arial"/>
          <w:sz w:val="14"/>
          <w:szCs w:val="14"/>
          <w:color w:val="231F20"/>
        </w:rPr>
        <w:t xml:space="preserve">Under the terms of these agreements, the covered named executive officer is entitled to certain severance payments and a payment in lieu of the continuation of benefits if his employment is terminated other than for cause, or in the event the executive resigns for good reason, as defined in the agreements, within two years following a change-in-control of Essential. </w:t>
      </w:r>
      <w:r>
        <w:rPr>
          <w:rFonts w:ascii="Arial" w:cs="Arial" w:eastAsia="Arial" w:hAnsi="Arial"/>
          <w:sz w:val="14"/>
          <w:szCs w:val="14"/>
          <w:i w:val="1"/>
          <w:iCs w:val="1"/>
          <w:color w:val="231F20"/>
        </w:rPr>
        <w:t>See the description of Potential Payments Upon Termination or Change-in-Control on pages 80 through 84.</w:t>
      </w:r>
    </w:p>
    <w:p>
      <w:pPr>
        <w:spacing w:after="0" w:line="103" w:lineRule="exact"/>
        <w:rPr>
          <w:sz w:val="20"/>
          <w:szCs w:val="20"/>
          <w:color w:val="auto"/>
        </w:rPr>
      </w:pPr>
    </w:p>
    <w:p>
      <w:pPr>
        <w:ind w:right="20"/>
        <w:spacing w:after="0"/>
        <w:rPr>
          <w:sz w:val="20"/>
          <w:szCs w:val="20"/>
          <w:color w:val="auto"/>
        </w:rPr>
      </w:pPr>
      <w:r>
        <w:rPr>
          <w:rFonts w:ascii="Arial" w:cs="Arial" w:eastAsia="Arial" w:hAnsi="Arial"/>
          <w:sz w:val="14"/>
          <w:szCs w:val="14"/>
          <w:color w:val="231F20"/>
        </w:rPr>
        <w:t>These change-in-control agreements are referred to as double trigger agreements because they only provide a benefit to executives whose employment is terminated, or who have good reason to resign, following a change-in-control. These change-in-control agreements do not provide any payments or benefits to the covered executives merely as a result of a change-in-control. The normal annual restricted share, stock option and performance share grants to the named executive officers also contain double trigger provisions. Each of the change-in-control agreements limits the amount of the payments under the agreements to the Internal Revenue Service’s limitation on the deductibility of these payments under Section 280G of the Internal Revenue Code (the Code).</w:t>
      </w:r>
    </w:p>
    <w:p>
      <w:pPr>
        <w:spacing w:after="0" w:line="114" w:lineRule="exact"/>
        <w:rPr>
          <w:sz w:val="20"/>
          <w:szCs w:val="20"/>
          <w:color w:val="auto"/>
        </w:rPr>
      </w:pPr>
    </w:p>
    <w:p>
      <w:pPr>
        <w:ind w:right="120"/>
        <w:spacing w:after="0" w:line="245" w:lineRule="auto"/>
        <w:rPr>
          <w:sz w:val="20"/>
          <w:szCs w:val="20"/>
          <w:color w:val="auto"/>
        </w:rPr>
      </w:pPr>
      <w:r>
        <w:rPr>
          <w:rFonts w:ascii="Arial" w:cs="Arial" w:eastAsia="Arial" w:hAnsi="Arial"/>
          <w:sz w:val="14"/>
          <w:szCs w:val="14"/>
          <w:color w:val="231F20"/>
        </w:rPr>
        <w:t>The Company has determined that there will be no tax gross-ups in any change-in-control agreements with executives and that all such agreements will be subject to the limitations under Section 280G of the Code. We believe that the multiples of compensation and other benefits provided under the change-in-control agreements, as described on pages 80 through 84 are consistent with the multiples in the market. Named executive officers who receive payments under their change-in-control agreements in connection with their separation from employment following a change-in-control will not be entitled to any payments under our normal severance policy.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98425</wp:posOffset>
            </wp:positionV>
            <wp:extent cx="7139940" cy="825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139940" cy="8255"/>
                    </a:xfrm>
                    <a:prstGeom prst="rect">
                      <a:avLst/>
                    </a:prstGeom>
                    <a:noFill/>
                  </pic:spPr>
                </pic:pic>
              </a:graphicData>
            </a:graphic>
          </wp:anchor>
        </w:drawing>
      </w:r>
    </w:p>
    <w:p>
      <w:pPr>
        <w:spacing w:after="0" w:line="205" w:lineRule="exact"/>
        <w:rPr>
          <w:sz w:val="20"/>
          <w:szCs w:val="20"/>
          <w:color w:val="auto"/>
        </w:rPr>
      </w:pPr>
    </w:p>
    <w:p>
      <w:pPr>
        <w:ind w:left="300" w:hanging="298"/>
        <w:spacing w:after="0"/>
        <w:tabs>
          <w:tab w:leader="none" w:pos="300" w:val="left"/>
        </w:tabs>
        <w:numPr>
          <w:ilvl w:val="0"/>
          <w:numId w:val="111"/>
        </w:numPr>
        <w:rPr>
          <w:rFonts w:ascii="Arial" w:cs="Arial" w:eastAsia="Arial" w:hAnsi="Arial"/>
          <w:sz w:val="15"/>
          <w:szCs w:val="15"/>
          <w:color w:val="455986"/>
        </w:rPr>
      </w:pPr>
      <w:r>
        <w:rPr>
          <w:rFonts w:ascii="Arial" w:cs="Arial" w:eastAsia="Arial" w:hAnsi="Arial"/>
          <w:sz w:val="12"/>
          <w:szCs w:val="12"/>
          <w:color w:val="4395D4"/>
        </w:rPr>
        <w:t xml:space="preserve">ESSENTIAL UTILITIES, INC. </w:t>
      </w:r>
      <w:r>
        <w:rPr>
          <w:rFonts w:ascii="Arial" w:cs="Arial" w:eastAsia="Arial" w:hAnsi="Arial"/>
          <w:sz w:val="12"/>
          <w:szCs w:val="12"/>
          <w:color w:val="455986"/>
        </w:rPr>
        <w:t>2021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316230</wp:posOffset>
            </wp:positionV>
            <wp:extent cx="7139940" cy="2413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139940" cy="24130"/>
                    </a:xfrm>
                    <a:prstGeom prst="rect">
                      <a:avLst/>
                    </a:prstGeom>
                    <a:noFill/>
                  </pic:spPr>
                </pic:pic>
              </a:graphicData>
            </a:graphic>
          </wp:anchor>
        </w:drawing>
      </w:r>
    </w:p>
    <w:p>
      <w:pPr>
        <w:sectPr>
          <w:pgSz w:w="11900" w:h="16838" w:orient="portrait"/>
          <w:cols w:equalWidth="0" w:num="1">
            <w:col w:w="11220"/>
          </w:cols>
          <w:pgMar w:left="320" w:top="636" w:right="359" w:bottom="1440" w:gutter="0" w:footer="0" w:header="0"/>
        </w:sectPr>
      </w:pPr>
    </w:p>
    <w:bookmarkStart w:id="63" w:name="page64"/>
    <w:bookmarkEnd w:id="63"/>
    <w:p>
      <w:pPr>
        <w:spacing w:after="0"/>
        <w:rPr>
          <w:sz w:val="20"/>
          <w:szCs w:val="20"/>
          <w:color w:val="auto"/>
        </w:rPr>
      </w:pPr>
      <w:r>
        <w:rPr>
          <w:rFonts w:ascii="Arial" w:cs="Arial" w:eastAsia="Arial" w:hAnsi="Arial"/>
          <w:sz w:val="14"/>
          <w:szCs w:val="14"/>
          <w:b w:val="1"/>
          <w:bCs w:val="1"/>
          <w:color w:val="455986"/>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27940</wp:posOffset>
            </wp:positionV>
            <wp:extent cx="7139940" cy="825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139940" cy="8255"/>
                    </a:xfrm>
                    <a:prstGeom prst="rect">
                      <a:avLst/>
                    </a:prstGeom>
                    <a:noFill/>
                  </pic:spPr>
                </pic:pic>
              </a:graphicData>
            </a:graphic>
          </wp:anchor>
        </w:drawing>
      </w:r>
    </w:p>
    <w:p>
      <w:pPr>
        <w:spacing w:after="0" w:line="76" w:lineRule="exact"/>
        <w:rPr>
          <w:sz w:val="20"/>
          <w:szCs w:val="20"/>
          <w:color w:val="auto"/>
        </w:rPr>
      </w:pPr>
    </w:p>
    <w:p>
      <w:pPr>
        <w:spacing w:after="0"/>
        <w:rPr>
          <w:sz w:val="20"/>
          <w:szCs w:val="20"/>
          <w:color w:val="auto"/>
        </w:rPr>
      </w:pPr>
      <w:r>
        <w:rPr>
          <w:rFonts w:ascii="Arial" w:cs="Arial" w:eastAsia="Arial" w:hAnsi="Arial"/>
          <w:sz w:val="14"/>
          <w:szCs w:val="14"/>
          <w:color w:val="4395D4"/>
        </w:rPr>
        <w:t xml:space="preserve">Section 4 </w:t>
      </w:r>
      <w:r>
        <w:rPr>
          <w:rFonts w:ascii="Arial" w:cs="Arial" w:eastAsia="Arial" w:hAnsi="Arial"/>
          <w:sz w:val="14"/>
          <w:szCs w:val="14"/>
          <w:color w:val="231F20"/>
        </w:rPr>
        <w:t>2020 NEO Compensation and Performance Summaries</w:t>
      </w:r>
    </w:p>
    <w:p>
      <w:pPr>
        <w:spacing w:after="0" w:line="145" w:lineRule="exact"/>
        <w:rPr>
          <w:sz w:val="20"/>
          <w:szCs w:val="20"/>
          <w:color w:val="auto"/>
        </w:rPr>
      </w:pPr>
    </w:p>
    <w:p>
      <w:pPr>
        <w:spacing w:after="0"/>
        <w:rPr>
          <w:sz w:val="20"/>
          <w:szCs w:val="20"/>
          <w:color w:val="auto"/>
        </w:rPr>
      </w:pPr>
      <w:r>
        <w:rPr>
          <w:rFonts w:ascii="Arial" w:cs="Arial" w:eastAsia="Arial" w:hAnsi="Arial"/>
          <w:sz w:val="34"/>
          <w:szCs w:val="34"/>
          <w:b w:val="1"/>
          <w:bCs w:val="1"/>
          <w:color w:val="4395D4"/>
        </w:rPr>
        <w:t>Section 4</w:t>
      </w:r>
    </w:p>
    <w:p>
      <w:pPr>
        <w:spacing w:after="0" w:line="175" w:lineRule="exact"/>
        <w:rPr>
          <w:sz w:val="20"/>
          <w:szCs w:val="20"/>
          <w:color w:val="auto"/>
        </w:rPr>
      </w:pPr>
    </w:p>
    <w:p>
      <w:pPr>
        <w:spacing w:after="0"/>
        <w:rPr>
          <w:sz w:val="20"/>
          <w:szCs w:val="20"/>
          <w:color w:val="auto"/>
        </w:rPr>
      </w:pPr>
      <w:r>
        <w:rPr>
          <w:rFonts w:ascii="Arial" w:cs="Arial" w:eastAsia="Arial" w:hAnsi="Arial"/>
          <w:sz w:val="24"/>
          <w:szCs w:val="24"/>
          <w:b w:val="1"/>
          <w:bCs w:val="1"/>
          <w:color w:val="455986"/>
        </w:rPr>
        <w:t>2020 NEO Compensation and Performance Summaries</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b w:val="1"/>
          <w:bCs w:val="1"/>
          <w:color w:val="4395D4"/>
        </w:rPr>
        <w:t>Linking Pay and Performance</w:t>
      </w:r>
    </w:p>
    <w:p>
      <w:pPr>
        <w:spacing w:after="0" w:line="153" w:lineRule="exact"/>
        <w:rPr>
          <w:sz w:val="20"/>
          <w:szCs w:val="20"/>
          <w:color w:val="auto"/>
        </w:rPr>
      </w:pPr>
    </w:p>
    <w:p>
      <w:pPr>
        <w:ind w:right="280"/>
        <w:spacing w:after="0" w:line="278" w:lineRule="auto"/>
        <w:rPr>
          <w:sz w:val="20"/>
          <w:szCs w:val="20"/>
          <w:color w:val="auto"/>
        </w:rPr>
      </w:pPr>
      <w:r>
        <w:rPr>
          <w:rFonts w:ascii="Arial" w:cs="Arial" w:eastAsia="Arial" w:hAnsi="Arial"/>
          <w:sz w:val="14"/>
          <w:szCs w:val="14"/>
          <w:color w:val="231F20"/>
        </w:rPr>
        <w:t>Here we provide a summary of each of our NEOs 2020 total direct compensation and an overview of their individual performance accomplishments relative to achieving our Company’s annual and long-term performance goals.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68580</wp:posOffset>
            </wp:positionV>
            <wp:extent cx="7139940" cy="825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139940" cy="8255"/>
                    </a:xfrm>
                    <a:prstGeom prst="rect">
                      <a:avLst/>
                    </a:prstGeom>
                    <a:noFill/>
                  </pic:spPr>
                </pic:pic>
              </a:graphicData>
            </a:graphic>
          </wp:anchor>
        </w:drawing>
      </w:r>
    </w:p>
    <w:p>
      <w:pPr>
        <w:spacing w:after="0" w:line="225" w:lineRule="exact"/>
        <w:rPr>
          <w:sz w:val="20"/>
          <w:szCs w:val="20"/>
          <w:color w:val="auto"/>
        </w:rPr>
      </w:pPr>
    </w:p>
    <w:p>
      <w:pPr>
        <w:spacing w:after="0"/>
        <w:rPr>
          <w:sz w:val="20"/>
          <w:szCs w:val="20"/>
          <w:color w:val="auto"/>
        </w:rPr>
      </w:pPr>
      <w:r>
        <w:rPr>
          <w:rFonts w:ascii="Arial" w:cs="Arial" w:eastAsia="Arial" w:hAnsi="Arial"/>
          <w:sz w:val="27"/>
          <w:szCs w:val="27"/>
          <w:b w:val="1"/>
          <w:bCs w:val="1"/>
          <w:color w:val="4395D4"/>
        </w:rPr>
        <w:t>Christopher H. Franklin</w:t>
      </w:r>
    </w:p>
    <w:p>
      <w:pPr>
        <w:spacing w:after="0" w:line="182" w:lineRule="exact"/>
        <w:rPr>
          <w:sz w:val="20"/>
          <w:szCs w:val="20"/>
          <w:color w:val="auto"/>
        </w:rPr>
      </w:pPr>
    </w:p>
    <w:p>
      <w:pPr>
        <w:spacing w:after="0"/>
        <w:rPr>
          <w:sz w:val="20"/>
          <w:szCs w:val="20"/>
          <w:color w:val="auto"/>
        </w:rPr>
      </w:pPr>
      <w:r>
        <w:rPr>
          <w:rFonts w:ascii="Arial" w:cs="Arial" w:eastAsia="Arial" w:hAnsi="Arial"/>
          <w:sz w:val="14"/>
          <w:szCs w:val="14"/>
          <w:color w:val="231F20"/>
        </w:rPr>
        <w:t>Chairman, President and Chief Executive Officer</w:t>
      </w:r>
    </w:p>
    <w:p>
      <w:pPr>
        <w:spacing w:after="0" w:line="142" w:lineRule="exact"/>
        <w:rPr>
          <w:sz w:val="20"/>
          <w:szCs w:val="20"/>
          <w:color w:val="auto"/>
        </w:rPr>
      </w:pPr>
    </w:p>
    <w:p>
      <w:pPr>
        <w:spacing w:after="0"/>
        <w:tabs>
          <w:tab w:leader="none" w:pos="5840" w:val="left"/>
        </w:tabs>
        <w:rPr>
          <w:sz w:val="20"/>
          <w:szCs w:val="20"/>
          <w:color w:val="auto"/>
        </w:rPr>
      </w:pPr>
      <w:r>
        <w:rPr>
          <w:rFonts w:ascii="Arial" w:cs="Arial" w:eastAsia="Arial" w:hAnsi="Arial"/>
          <w:sz w:val="17"/>
          <w:szCs w:val="17"/>
          <w:b w:val="1"/>
          <w:bCs w:val="1"/>
          <w:color w:val="4395D4"/>
        </w:rPr>
        <w:t>Responsibilities</w:t>
      </w:r>
      <w:r>
        <w:rPr>
          <w:sz w:val="20"/>
          <w:szCs w:val="20"/>
          <w:color w:val="auto"/>
        </w:rPr>
        <w:tab/>
      </w:r>
      <w:r>
        <w:rPr>
          <w:rFonts w:ascii="Arial" w:cs="Arial" w:eastAsia="Arial" w:hAnsi="Arial"/>
          <w:sz w:val="17"/>
          <w:szCs w:val="17"/>
          <w:b w:val="1"/>
          <w:bCs w:val="1"/>
          <w:color w:val="auto"/>
        </w:rPr>
        <w:t>2020 Total Compensation Pay Mix</w:t>
      </w:r>
    </w:p>
    <w:p>
      <w:pPr>
        <w:sectPr>
          <w:pgSz w:w="11900" w:h="16838" w:orient="portrait"/>
          <w:cols w:equalWidth="0" w:num="1">
            <w:col w:w="11240"/>
          </w:cols>
          <w:pgMar w:left="320" w:top="637" w:right="339" w:bottom="1440" w:gutter="0" w:footer="0" w:header="0"/>
        </w:sectPr>
      </w:pPr>
    </w:p>
    <w:p>
      <w:pPr>
        <w:spacing w:after="0" w:line="153" w:lineRule="exact"/>
        <w:rPr>
          <w:sz w:val="20"/>
          <w:szCs w:val="20"/>
          <w:color w:val="auto"/>
        </w:rPr>
      </w:pPr>
    </w:p>
    <w:p>
      <w:pPr>
        <w:ind w:right="80"/>
        <w:spacing w:after="0"/>
        <w:rPr>
          <w:sz w:val="20"/>
          <w:szCs w:val="20"/>
          <w:color w:val="auto"/>
        </w:rPr>
      </w:pPr>
      <w:r>
        <w:rPr>
          <w:rFonts w:ascii="Arial" w:cs="Arial" w:eastAsia="Arial" w:hAnsi="Arial"/>
          <w:sz w:val="14"/>
          <w:szCs w:val="14"/>
          <w:color w:val="231F20"/>
        </w:rPr>
        <w:t>Mr. Franklin leads and guides the Company’s strategic direction which primarily focuses on the high-quality delivery of water, wastewater and natural gas service in a manner that delivers value for shareholders. He sets the tone for the Company’s culture based on a set of corporate values and objectives which incorporate strong environmental, social and governance practices.</w:t>
      </w:r>
    </w:p>
    <w:p>
      <w:pPr>
        <w:spacing w:after="0" w:line="114" w:lineRule="exact"/>
        <w:rPr>
          <w:sz w:val="20"/>
          <w:szCs w:val="20"/>
          <w:color w:val="auto"/>
        </w:rPr>
      </w:pPr>
    </w:p>
    <w:p>
      <w:pPr>
        <w:ind w:right="100"/>
        <w:spacing w:after="0" w:line="253" w:lineRule="auto"/>
        <w:rPr>
          <w:sz w:val="20"/>
          <w:szCs w:val="20"/>
          <w:color w:val="auto"/>
        </w:rPr>
      </w:pPr>
      <w:r>
        <w:rPr>
          <w:rFonts w:ascii="Arial" w:cs="Arial" w:eastAsia="Arial" w:hAnsi="Arial"/>
          <w:sz w:val="14"/>
          <w:szCs w:val="14"/>
          <w:color w:val="231F20"/>
        </w:rPr>
        <w:t>Mr. Franklin leads the Company’s work with legislators, regulators, customers, and communities to create solutions that support economic development and strong communities while preserving and protecting natural resources.</w:t>
      </w:r>
    </w:p>
    <w:p>
      <w:pPr>
        <w:spacing w:after="0" w:line="291" w:lineRule="exact"/>
        <w:rPr>
          <w:sz w:val="20"/>
          <w:szCs w:val="20"/>
          <w:color w:val="auto"/>
        </w:rPr>
      </w:pPr>
    </w:p>
    <w:p>
      <w:pPr>
        <w:spacing w:after="0"/>
        <w:rPr>
          <w:sz w:val="20"/>
          <w:szCs w:val="20"/>
          <w:color w:val="auto"/>
        </w:rPr>
      </w:pPr>
      <w:r>
        <w:rPr>
          <w:rFonts w:ascii="Arial" w:cs="Arial" w:eastAsia="Arial" w:hAnsi="Arial"/>
          <w:sz w:val="17"/>
          <w:szCs w:val="17"/>
          <w:b w:val="1"/>
          <w:bCs w:val="1"/>
          <w:color w:val="4395D4"/>
        </w:rPr>
        <w:t>2020 Key Accomplishments</w:t>
      </w:r>
    </w:p>
    <w:p>
      <w:pPr>
        <w:spacing w:after="0" w:line="153" w:lineRule="exact"/>
        <w:rPr>
          <w:sz w:val="20"/>
          <w:szCs w:val="20"/>
          <w:color w:val="auto"/>
        </w:rPr>
      </w:pPr>
    </w:p>
    <w:p>
      <w:pPr>
        <w:ind w:left="180" w:right="380" w:hanging="178"/>
        <w:spacing w:after="0" w:line="278" w:lineRule="auto"/>
        <w:tabs>
          <w:tab w:leader="none" w:pos="181" w:val="left"/>
        </w:tabs>
        <w:numPr>
          <w:ilvl w:val="0"/>
          <w:numId w:val="112"/>
        </w:numPr>
        <w:rPr>
          <w:rFonts w:ascii="Arial" w:cs="Arial" w:eastAsia="Arial" w:hAnsi="Arial"/>
          <w:sz w:val="14"/>
          <w:szCs w:val="14"/>
          <w:color w:val="4395D4"/>
        </w:rPr>
      </w:pPr>
      <w:r>
        <w:rPr>
          <w:rFonts w:ascii="Arial" w:cs="Arial" w:eastAsia="Arial" w:hAnsi="Arial"/>
          <w:sz w:val="14"/>
          <w:szCs w:val="14"/>
          <w:color w:val="231F20"/>
        </w:rPr>
        <w:t>Continued to grow the company with five new municipal acquisitions adding $62.9 million in rate base.</w:t>
      </w:r>
    </w:p>
    <w:p>
      <w:pPr>
        <w:spacing w:after="0" w:line="22" w:lineRule="exact"/>
        <w:rPr>
          <w:rFonts w:ascii="Arial" w:cs="Arial" w:eastAsia="Arial" w:hAnsi="Arial"/>
          <w:sz w:val="14"/>
          <w:szCs w:val="14"/>
          <w:color w:val="4395D4"/>
        </w:rPr>
      </w:pPr>
    </w:p>
    <w:p>
      <w:pPr>
        <w:ind w:left="180" w:hanging="178"/>
        <w:spacing w:after="0" w:line="278" w:lineRule="auto"/>
        <w:tabs>
          <w:tab w:leader="none" w:pos="181" w:val="left"/>
        </w:tabs>
        <w:numPr>
          <w:ilvl w:val="0"/>
          <w:numId w:val="112"/>
        </w:numPr>
        <w:rPr>
          <w:rFonts w:ascii="Arial" w:cs="Arial" w:eastAsia="Arial" w:hAnsi="Arial"/>
          <w:sz w:val="14"/>
          <w:szCs w:val="14"/>
          <w:color w:val="4395D4"/>
        </w:rPr>
      </w:pPr>
      <w:r>
        <w:rPr>
          <w:rFonts w:ascii="Arial" w:cs="Arial" w:eastAsia="Arial" w:hAnsi="Arial"/>
          <w:sz w:val="14"/>
          <w:szCs w:val="14"/>
          <w:color w:val="231F20"/>
        </w:rPr>
        <w:t>Set the course for 2021 with approximately $365.6 million in pending acquisitions, with over 215,000 equivalent dwelling units.</w:t>
      </w:r>
    </w:p>
    <w:p>
      <w:pPr>
        <w:spacing w:after="0" w:line="9" w:lineRule="exact"/>
        <w:rPr>
          <w:rFonts w:ascii="Arial" w:cs="Arial" w:eastAsia="Arial" w:hAnsi="Arial"/>
          <w:sz w:val="14"/>
          <w:szCs w:val="14"/>
          <w:color w:val="4395D4"/>
        </w:rPr>
      </w:pPr>
    </w:p>
    <w:p>
      <w:pPr>
        <w:ind w:left="180" w:hanging="178"/>
        <w:spacing w:after="0"/>
        <w:tabs>
          <w:tab w:leader="none" w:pos="180" w:val="left"/>
        </w:tabs>
        <w:numPr>
          <w:ilvl w:val="0"/>
          <w:numId w:val="112"/>
        </w:numPr>
        <w:rPr>
          <w:rFonts w:ascii="Arial" w:cs="Arial" w:eastAsia="Arial" w:hAnsi="Arial"/>
          <w:sz w:val="14"/>
          <w:szCs w:val="14"/>
          <w:color w:val="4395D4"/>
        </w:rPr>
      </w:pPr>
      <w:r>
        <w:rPr>
          <w:rFonts w:ascii="Arial" w:cs="Arial" w:eastAsia="Arial" w:hAnsi="Arial"/>
          <w:sz w:val="14"/>
          <w:szCs w:val="14"/>
          <w:color w:val="231F20"/>
        </w:rPr>
        <w:t>Invested nearly $900 million in infrastructure improvements across our footprint.</w:t>
      </w:r>
    </w:p>
    <w:p>
      <w:pPr>
        <w:spacing w:after="0" w:line="81" w:lineRule="exact"/>
        <w:rPr>
          <w:rFonts w:ascii="Arial" w:cs="Arial" w:eastAsia="Arial" w:hAnsi="Arial"/>
          <w:sz w:val="14"/>
          <w:szCs w:val="14"/>
          <w:color w:val="4395D4"/>
        </w:rPr>
      </w:pPr>
    </w:p>
    <w:p>
      <w:pPr>
        <w:ind w:left="180" w:right="20" w:hanging="178"/>
        <w:spacing w:after="0" w:line="278" w:lineRule="auto"/>
        <w:tabs>
          <w:tab w:leader="none" w:pos="181" w:val="left"/>
        </w:tabs>
        <w:numPr>
          <w:ilvl w:val="0"/>
          <w:numId w:val="112"/>
        </w:numPr>
        <w:rPr>
          <w:rFonts w:ascii="Arial" w:cs="Arial" w:eastAsia="Arial" w:hAnsi="Arial"/>
          <w:sz w:val="14"/>
          <w:szCs w:val="14"/>
          <w:color w:val="4395D4"/>
        </w:rPr>
      </w:pPr>
      <w:r>
        <w:rPr>
          <w:rFonts w:ascii="Arial" w:cs="Arial" w:eastAsia="Arial" w:hAnsi="Arial"/>
          <w:sz w:val="14"/>
          <w:szCs w:val="14"/>
          <w:color w:val="231F20"/>
        </w:rPr>
        <w:t>Led the integration of Aqua and Peoples Natural Gas, with over 3,000 employees coming together as Essential Utilities.</w:t>
      </w:r>
    </w:p>
    <w:p>
      <w:pPr>
        <w:spacing w:after="0" w:line="22" w:lineRule="exact"/>
        <w:rPr>
          <w:rFonts w:ascii="Arial" w:cs="Arial" w:eastAsia="Arial" w:hAnsi="Arial"/>
          <w:sz w:val="14"/>
          <w:szCs w:val="14"/>
          <w:color w:val="4395D4"/>
        </w:rPr>
      </w:pPr>
    </w:p>
    <w:p>
      <w:pPr>
        <w:ind w:left="180" w:right="120" w:hanging="178"/>
        <w:spacing w:after="0" w:line="253" w:lineRule="auto"/>
        <w:tabs>
          <w:tab w:leader="none" w:pos="181" w:val="left"/>
        </w:tabs>
        <w:numPr>
          <w:ilvl w:val="0"/>
          <w:numId w:val="112"/>
        </w:numPr>
        <w:rPr>
          <w:rFonts w:ascii="Arial" w:cs="Arial" w:eastAsia="Arial" w:hAnsi="Arial"/>
          <w:sz w:val="14"/>
          <w:szCs w:val="14"/>
          <w:color w:val="4395D4"/>
        </w:rPr>
      </w:pPr>
      <w:r>
        <w:rPr>
          <w:rFonts w:ascii="Arial" w:cs="Arial" w:eastAsia="Arial" w:hAnsi="Arial"/>
          <w:sz w:val="14"/>
          <w:szCs w:val="14"/>
          <w:color w:val="231F20"/>
        </w:rPr>
        <w:t>With a focus on the community, through the Essential Foundation, ensured over $4 million in community giving, including supporting organizations impacted by the Covid-19 pandemic.</w:t>
      </w:r>
    </w:p>
    <w:p>
      <w:pPr>
        <w:spacing w:after="0" w:line="26" w:lineRule="exact"/>
        <w:rPr>
          <w:rFonts w:ascii="Arial" w:cs="Arial" w:eastAsia="Arial" w:hAnsi="Arial"/>
          <w:sz w:val="14"/>
          <w:szCs w:val="14"/>
          <w:color w:val="4395D4"/>
        </w:rPr>
      </w:pPr>
    </w:p>
    <w:p>
      <w:pPr>
        <w:ind w:left="180" w:right="460" w:hanging="178"/>
        <w:spacing w:after="0" w:line="278" w:lineRule="auto"/>
        <w:tabs>
          <w:tab w:leader="none" w:pos="181" w:val="left"/>
        </w:tabs>
        <w:numPr>
          <w:ilvl w:val="0"/>
          <w:numId w:val="112"/>
        </w:numPr>
        <w:rPr>
          <w:rFonts w:ascii="Arial" w:cs="Arial" w:eastAsia="Arial" w:hAnsi="Arial"/>
          <w:sz w:val="14"/>
          <w:szCs w:val="14"/>
          <w:color w:val="4395D4"/>
        </w:rPr>
      </w:pPr>
      <w:r>
        <w:rPr>
          <w:rFonts w:ascii="Arial" w:cs="Arial" w:eastAsia="Arial" w:hAnsi="Arial"/>
          <w:sz w:val="14"/>
          <w:szCs w:val="14"/>
          <w:color w:val="231F20"/>
        </w:rPr>
        <w:t>Established Essential’s commitment to substantially reduce Scope 1 and 2 greenhouse gas emissions, which by 2035, targets a 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92710</wp:posOffset>
            </wp:positionV>
            <wp:extent cx="7139940" cy="825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13994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ind w:left="200" w:right="40"/>
        <w:spacing w:after="0" w:line="253" w:lineRule="auto"/>
        <w:rPr>
          <w:sz w:val="20"/>
          <w:szCs w:val="20"/>
          <w:color w:val="auto"/>
        </w:rPr>
      </w:pPr>
      <w:r>
        <w:rPr>
          <w:rFonts w:ascii="Arial" w:cs="Arial" w:eastAsia="Arial" w:hAnsi="Arial"/>
          <w:sz w:val="14"/>
          <w:szCs w:val="14"/>
          <w:color w:val="231F20"/>
        </w:rPr>
        <w:t>reduction over Essential’s 2019 emission levels, which is consistent with the rate of reduction necessary over the next 15 years to keep on track with the Paris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-1621790</wp:posOffset>
            </wp:positionV>
            <wp:extent cx="2933700" cy="99695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2933700" cy="996950"/>
                    </a:xfrm>
                    <a:prstGeom prst="rect">
                      <a:avLst/>
                    </a:prstGeom>
                    <a:noFill/>
                  </pic:spPr>
                </pic:pic>
              </a:graphicData>
            </a:graphic>
          </wp:anchor>
        </w:drawing>
      </w:r>
    </w:p>
    <w:p>
      <w:pPr>
        <w:spacing w:after="0" w:line="20" w:lineRule="exact"/>
        <w:rPr>
          <w:sz w:val="20"/>
          <w:szCs w:val="20"/>
          <w:color w:val="auto"/>
        </w:rPr>
      </w:pPr>
    </w:p>
    <w:p>
      <w:pPr>
        <w:ind w:left="180" w:right="100" w:hanging="180"/>
        <w:spacing w:after="0" w:line="253" w:lineRule="auto"/>
        <w:tabs>
          <w:tab w:leader="none" w:pos="181" w:val="left"/>
        </w:tabs>
        <w:numPr>
          <w:ilvl w:val="0"/>
          <w:numId w:val="113"/>
        </w:numPr>
        <w:rPr>
          <w:rFonts w:ascii="Arial" w:cs="Arial" w:eastAsia="Arial" w:hAnsi="Arial"/>
          <w:sz w:val="14"/>
          <w:szCs w:val="14"/>
          <w:color w:val="4395D4"/>
        </w:rPr>
      </w:pPr>
      <w:r>
        <w:rPr>
          <w:rFonts w:ascii="Arial" w:cs="Arial" w:eastAsia="Arial" w:hAnsi="Arial"/>
          <w:sz w:val="14"/>
          <w:szCs w:val="14"/>
          <w:color w:val="231F20"/>
        </w:rPr>
        <w:t>Started a three year technology transformation projection, investing in upgraded systems for our customers and operations to ensure improved customer experience and operational efficiency.</w:t>
      </w:r>
    </w:p>
    <w:p>
      <w:pPr>
        <w:spacing w:after="0" w:line="26" w:lineRule="exact"/>
        <w:rPr>
          <w:rFonts w:ascii="Arial" w:cs="Arial" w:eastAsia="Arial" w:hAnsi="Arial"/>
          <w:sz w:val="14"/>
          <w:szCs w:val="14"/>
          <w:color w:val="4395D4"/>
        </w:rPr>
      </w:pPr>
    </w:p>
    <w:p>
      <w:pPr>
        <w:ind w:left="180" w:right="20" w:hanging="180"/>
        <w:spacing w:after="0" w:line="238" w:lineRule="auto"/>
        <w:tabs>
          <w:tab w:leader="none" w:pos="181" w:val="left"/>
        </w:tabs>
        <w:numPr>
          <w:ilvl w:val="0"/>
          <w:numId w:val="113"/>
        </w:numPr>
        <w:rPr>
          <w:rFonts w:ascii="Arial" w:cs="Arial" w:eastAsia="Arial" w:hAnsi="Arial"/>
          <w:sz w:val="14"/>
          <w:szCs w:val="14"/>
          <w:color w:val="4395D4"/>
        </w:rPr>
      </w:pPr>
      <w:r>
        <w:rPr>
          <w:rFonts w:ascii="Arial" w:cs="Arial" w:eastAsia="Arial" w:hAnsi="Arial"/>
          <w:sz w:val="14"/>
          <w:szCs w:val="14"/>
          <w:color w:val="231F20"/>
        </w:rPr>
        <w:t>Led efforts in Essential’s path for diversity, equity and inclusion with multiple diverse leadership hires in 2020 to ensure Essential continues on its goal to have a diverse workforce reflective of the community we serve. Essential’s efforts to diversify our Board and leadership teams has resulted in recognition in 2020 by Women on Boards and the Forum of Executive Women’s Advancing Women Company Award.</w:t>
      </w:r>
    </w:p>
    <w:p>
      <w:pPr>
        <w:spacing w:after="0" w:line="474" w:lineRule="exact"/>
        <w:rPr>
          <w:sz w:val="20"/>
          <w:szCs w:val="20"/>
          <w:color w:val="auto"/>
        </w:rPr>
      </w:pPr>
    </w:p>
    <w:p>
      <w:pPr>
        <w:sectPr>
          <w:pgSz w:w="11900" w:h="16838" w:orient="portrait"/>
          <w:cols w:equalWidth="0" w:num="2">
            <w:col w:w="5380" w:space="480"/>
            <w:col w:w="5380"/>
          </w:cols>
          <w:pgMar w:left="320" w:top="637" w:right="339" w:bottom="1440" w:gutter="0" w:footer="0" w:header="0"/>
          <w:type w:val="continuous"/>
        </w:sectPr>
      </w:pPr>
    </w:p>
    <w:p>
      <w:pPr>
        <w:ind w:left="7940"/>
        <w:spacing w:after="0"/>
        <w:tabs>
          <w:tab w:leader="none" w:pos="11060" w:val="left"/>
        </w:tabs>
        <w:rPr>
          <w:sz w:val="20"/>
          <w:szCs w:val="20"/>
          <w:color w:val="auto"/>
        </w:rPr>
      </w:pPr>
      <w:r>
        <w:rPr>
          <w:rFonts w:ascii="Arial" w:cs="Arial" w:eastAsia="Arial" w:hAnsi="Arial"/>
          <w:sz w:val="12"/>
          <w:szCs w:val="12"/>
          <w:color w:val="4395D4"/>
        </w:rPr>
        <w:t xml:space="preserve">ESSENTIAL UTILITIES, INC. </w:t>
      </w:r>
      <w:r>
        <w:rPr>
          <w:rFonts w:ascii="Arial" w:cs="Arial" w:eastAsia="Arial" w:hAnsi="Arial"/>
          <w:sz w:val="12"/>
          <w:szCs w:val="12"/>
          <w:color w:val="455986"/>
        </w:rPr>
        <w:t>2021 PROXY STATEMENT</w:t>
      </w:r>
      <w:r>
        <w:rPr>
          <w:sz w:val="20"/>
          <w:szCs w:val="20"/>
          <w:color w:val="auto"/>
        </w:rPr>
        <w:tab/>
      </w:r>
      <w:r>
        <w:rPr>
          <w:rFonts w:ascii="Arial" w:cs="Arial" w:eastAsia="Arial" w:hAnsi="Arial"/>
          <w:sz w:val="14"/>
          <w:szCs w:val="14"/>
          <w:color w:val="455986"/>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346710</wp:posOffset>
            </wp:positionV>
            <wp:extent cx="7139940" cy="2413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139940" cy="24130"/>
                    </a:xfrm>
                    <a:prstGeom prst="rect">
                      <a:avLst/>
                    </a:prstGeom>
                    <a:noFill/>
                  </pic:spPr>
                </pic:pic>
              </a:graphicData>
            </a:graphic>
          </wp:anchor>
        </w:drawing>
      </w:r>
    </w:p>
    <w:p>
      <w:pPr>
        <w:sectPr>
          <w:pgSz w:w="11900" w:h="16838" w:orient="portrait"/>
          <w:cols w:equalWidth="0" w:num="1">
            <w:col w:w="11240"/>
          </w:cols>
          <w:pgMar w:left="320" w:top="637" w:right="339" w:bottom="1440" w:gutter="0" w:footer="0" w:header="0"/>
          <w:type w:val="continuous"/>
        </w:sectPr>
      </w:pPr>
    </w:p>
    <w:bookmarkStart w:id="64" w:name="page65"/>
    <w:bookmarkEnd w:id="64"/>
    <w:p>
      <w:pPr>
        <w:spacing w:after="0"/>
        <w:rPr>
          <w:sz w:val="20"/>
          <w:szCs w:val="20"/>
          <w:color w:val="auto"/>
        </w:rPr>
      </w:pPr>
      <w:r>
        <w:rPr>
          <w:rFonts w:ascii="Arial" w:cs="Arial" w:eastAsia="Arial" w:hAnsi="Arial"/>
          <w:sz w:val="14"/>
          <w:szCs w:val="14"/>
          <w:b w:val="1"/>
          <w:bCs w:val="1"/>
          <w:color w:val="455986"/>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27940</wp:posOffset>
            </wp:positionV>
            <wp:extent cx="7139940" cy="825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139940" cy="8255"/>
                    </a:xfrm>
                    <a:prstGeom prst="rect">
                      <a:avLst/>
                    </a:prstGeom>
                    <a:noFill/>
                  </pic:spPr>
                </pic:pic>
              </a:graphicData>
            </a:graphic>
          </wp:anchor>
        </w:drawing>
      </w:r>
    </w:p>
    <w:p>
      <w:pPr>
        <w:spacing w:after="0" w:line="76" w:lineRule="exact"/>
        <w:rPr>
          <w:sz w:val="20"/>
          <w:szCs w:val="20"/>
          <w:color w:val="auto"/>
        </w:rPr>
      </w:pPr>
    </w:p>
    <w:p>
      <w:pPr>
        <w:spacing w:after="0"/>
        <w:rPr>
          <w:sz w:val="20"/>
          <w:szCs w:val="20"/>
          <w:color w:val="auto"/>
        </w:rPr>
      </w:pPr>
      <w:r>
        <w:rPr>
          <w:rFonts w:ascii="Arial" w:cs="Arial" w:eastAsia="Arial" w:hAnsi="Arial"/>
          <w:sz w:val="14"/>
          <w:szCs w:val="14"/>
          <w:color w:val="4395D4"/>
        </w:rPr>
        <w:t xml:space="preserve">Section 4 </w:t>
      </w:r>
      <w:r>
        <w:rPr>
          <w:rFonts w:ascii="Arial" w:cs="Arial" w:eastAsia="Arial" w:hAnsi="Arial"/>
          <w:sz w:val="14"/>
          <w:szCs w:val="14"/>
          <w:color w:val="231F20"/>
        </w:rPr>
        <w:t>2020 NEO Compensation and Performance Summaries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123825</wp:posOffset>
            </wp:positionV>
            <wp:extent cx="7139940" cy="825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139940" cy="8255"/>
                    </a:xfrm>
                    <a:prstGeom prst="rect">
                      <a:avLst/>
                    </a:prstGeom>
                    <a:noFill/>
                  </pic:spPr>
                </pic:pic>
              </a:graphicData>
            </a:graphic>
          </wp:anchor>
        </w:drawing>
      </w:r>
    </w:p>
    <w:p>
      <w:pPr>
        <w:spacing w:after="0" w:line="312" w:lineRule="exact"/>
        <w:rPr>
          <w:sz w:val="20"/>
          <w:szCs w:val="20"/>
          <w:color w:val="auto"/>
        </w:rPr>
      </w:pPr>
    </w:p>
    <w:p>
      <w:pPr>
        <w:spacing w:after="0"/>
        <w:rPr>
          <w:sz w:val="20"/>
          <w:szCs w:val="20"/>
          <w:color w:val="auto"/>
        </w:rPr>
      </w:pPr>
      <w:r>
        <w:rPr>
          <w:rFonts w:ascii="Arial" w:cs="Arial" w:eastAsia="Arial" w:hAnsi="Arial"/>
          <w:sz w:val="27"/>
          <w:szCs w:val="27"/>
          <w:b w:val="1"/>
          <w:bCs w:val="1"/>
          <w:color w:val="4395D4"/>
        </w:rPr>
        <w:t>Daniel J. Schuller</w:t>
      </w:r>
    </w:p>
    <w:p>
      <w:pPr>
        <w:spacing w:after="0" w:line="182" w:lineRule="exact"/>
        <w:rPr>
          <w:sz w:val="20"/>
          <w:szCs w:val="20"/>
          <w:color w:val="auto"/>
        </w:rPr>
      </w:pPr>
    </w:p>
    <w:p>
      <w:pPr>
        <w:spacing w:after="0"/>
        <w:rPr>
          <w:sz w:val="20"/>
          <w:szCs w:val="20"/>
          <w:color w:val="auto"/>
        </w:rPr>
      </w:pPr>
      <w:r>
        <w:rPr>
          <w:rFonts w:ascii="Arial" w:cs="Arial" w:eastAsia="Arial" w:hAnsi="Arial"/>
          <w:sz w:val="14"/>
          <w:szCs w:val="14"/>
          <w:color w:val="231F20"/>
        </w:rPr>
        <w:t>Executive Vice President and Chief Financial Officer</w:t>
      </w:r>
    </w:p>
    <w:p>
      <w:pPr>
        <w:spacing w:after="0" w:line="142" w:lineRule="exact"/>
        <w:rPr>
          <w:sz w:val="20"/>
          <w:szCs w:val="20"/>
          <w:color w:val="auto"/>
        </w:rPr>
      </w:pPr>
    </w:p>
    <w:p>
      <w:pPr>
        <w:spacing w:after="0"/>
        <w:tabs>
          <w:tab w:leader="none" w:pos="5840" w:val="left"/>
        </w:tabs>
        <w:rPr>
          <w:sz w:val="20"/>
          <w:szCs w:val="20"/>
          <w:color w:val="auto"/>
        </w:rPr>
      </w:pPr>
      <w:r>
        <w:rPr>
          <w:rFonts w:ascii="Arial" w:cs="Arial" w:eastAsia="Arial" w:hAnsi="Arial"/>
          <w:sz w:val="16"/>
          <w:szCs w:val="16"/>
          <w:b w:val="1"/>
          <w:bCs w:val="1"/>
          <w:color w:val="4395D4"/>
        </w:rPr>
        <w:t>Responsibilities</w:t>
      </w:r>
      <w:r>
        <w:rPr>
          <w:sz w:val="20"/>
          <w:szCs w:val="20"/>
          <w:color w:val="auto"/>
        </w:rPr>
        <w:tab/>
      </w:r>
      <w:r>
        <w:rPr>
          <w:rFonts w:ascii="Arial" w:cs="Arial" w:eastAsia="Arial" w:hAnsi="Arial"/>
          <w:sz w:val="16"/>
          <w:szCs w:val="16"/>
          <w:b w:val="1"/>
          <w:bCs w:val="1"/>
          <w:color w:val="auto"/>
        </w:rPr>
        <w:t>2020 Total Compensation Pay Mix</w:t>
      </w:r>
    </w:p>
    <w:p>
      <w:pPr>
        <w:sectPr>
          <w:pgSz w:w="11900" w:h="16838" w:orient="portrait"/>
          <w:cols w:equalWidth="0" w:num="1">
            <w:col w:w="11180"/>
          </w:cols>
          <w:pgMar w:left="320" w:top="637" w:right="399" w:bottom="1440" w:gutter="0" w:footer="0" w:header="0"/>
        </w:sectPr>
      </w:pPr>
    </w:p>
    <w:p>
      <w:pPr>
        <w:spacing w:after="0" w:line="164" w:lineRule="exact"/>
        <w:rPr>
          <w:sz w:val="20"/>
          <w:szCs w:val="20"/>
          <w:color w:val="auto"/>
        </w:rPr>
      </w:pPr>
    </w:p>
    <w:p>
      <w:pPr>
        <w:ind w:right="380"/>
        <w:spacing w:after="0" w:line="278" w:lineRule="auto"/>
        <w:rPr>
          <w:sz w:val="20"/>
          <w:szCs w:val="20"/>
          <w:color w:val="auto"/>
        </w:rPr>
      </w:pPr>
      <w:r>
        <w:rPr>
          <w:rFonts w:ascii="Arial" w:cs="Arial" w:eastAsia="Arial" w:hAnsi="Arial"/>
          <w:sz w:val="14"/>
          <w:szCs w:val="14"/>
          <w:color w:val="231F20"/>
        </w:rPr>
        <w:t>As CFO, Mr. Schuller is responsible for managing Essential’s overall financial condition, including resource and capital allocation, and expense discipline.</w:t>
      </w:r>
    </w:p>
    <w:p>
      <w:pPr>
        <w:spacing w:after="0" w:line="86" w:lineRule="exact"/>
        <w:rPr>
          <w:sz w:val="20"/>
          <w:szCs w:val="20"/>
          <w:color w:val="auto"/>
        </w:rPr>
      </w:pPr>
    </w:p>
    <w:p>
      <w:pPr>
        <w:ind w:right="200"/>
        <w:spacing w:after="0" w:line="253" w:lineRule="auto"/>
        <w:rPr>
          <w:sz w:val="20"/>
          <w:szCs w:val="20"/>
          <w:color w:val="auto"/>
        </w:rPr>
      </w:pPr>
      <w:r>
        <w:rPr>
          <w:rFonts w:ascii="Arial" w:cs="Arial" w:eastAsia="Arial" w:hAnsi="Arial"/>
          <w:sz w:val="14"/>
          <w:szCs w:val="14"/>
          <w:color w:val="auto"/>
        </w:rPr>
        <w:t>He is also responsible for overseeing all corporate finance functions, including financial planning, forecasting, cash flow planning, investment strategies, capital structure, regulatory and rate strategies.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7"/>
          <w:szCs w:val="17"/>
          <w:b w:val="1"/>
          <w:bCs w:val="1"/>
          <w:color w:val="4395D4"/>
        </w:rPr>
        <w:t>2020 Key Accomplishments</w:t>
      </w:r>
    </w:p>
    <w:p>
      <w:pPr>
        <w:spacing w:after="0" w:line="153" w:lineRule="exact"/>
        <w:rPr>
          <w:sz w:val="20"/>
          <w:szCs w:val="20"/>
          <w:color w:val="auto"/>
        </w:rPr>
      </w:pPr>
    </w:p>
    <w:p>
      <w:pPr>
        <w:ind w:left="180" w:right="240" w:hanging="178"/>
        <w:spacing w:after="0" w:line="245" w:lineRule="auto"/>
        <w:tabs>
          <w:tab w:leader="none" w:pos="181" w:val="left"/>
        </w:tabs>
        <w:numPr>
          <w:ilvl w:val="0"/>
          <w:numId w:val="114"/>
        </w:numPr>
        <w:rPr>
          <w:rFonts w:ascii="Arial" w:cs="Arial" w:eastAsia="Arial" w:hAnsi="Arial"/>
          <w:sz w:val="14"/>
          <w:szCs w:val="14"/>
          <w:color w:val="4395D4"/>
        </w:rPr>
      </w:pPr>
      <w:r>
        <w:rPr>
          <w:rFonts w:ascii="Arial" w:cs="Arial" w:eastAsia="Arial" w:hAnsi="Arial"/>
          <w:sz w:val="14"/>
          <w:szCs w:val="14"/>
          <w:color w:val="231F20"/>
        </w:rPr>
        <w:t>Played instrumental role in completing the March 16, 2020 Peoples closing, including securing $331 million in terms loans, expanding the revolving credit facility from $550 million to $1 billion, and closing the $750 million in PIPE financing. Subsequently repaid these term loans.</w:t>
      </w:r>
    </w:p>
    <w:p>
      <w:pPr>
        <w:spacing w:after="0" w:line="44" w:lineRule="exact"/>
        <w:rPr>
          <w:rFonts w:ascii="Arial" w:cs="Arial" w:eastAsia="Arial" w:hAnsi="Arial"/>
          <w:sz w:val="14"/>
          <w:szCs w:val="14"/>
          <w:color w:val="4395D4"/>
        </w:rPr>
      </w:pPr>
    </w:p>
    <w:p>
      <w:pPr>
        <w:ind w:left="180" w:hanging="178"/>
        <w:spacing w:after="0" w:line="278" w:lineRule="auto"/>
        <w:tabs>
          <w:tab w:leader="none" w:pos="181" w:val="left"/>
        </w:tabs>
        <w:numPr>
          <w:ilvl w:val="0"/>
          <w:numId w:val="114"/>
        </w:numPr>
        <w:rPr>
          <w:rFonts w:ascii="Arial" w:cs="Arial" w:eastAsia="Arial" w:hAnsi="Arial"/>
          <w:sz w:val="14"/>
          <w:szCs w:val="14"/>
          <w:color w:val="4395D4"/>
        </w:rPr>
      </w:pPr>
      <w:r>
        <w:rPr>
          <w:rFonts w:ascii="Arial" w:cs="Arial" w:eastAsia="Arial" w:hAnsi="Arial"/>
          <w:sz w:val="14"/>
          <w:szCs w:val="14"/>
          <w:color w:val="231F20"/>
        </w:rPr>
        <w:t>Secured $500 million term loan to ensure adequate liquidity as COVID-19 broke. Subsequently repaid this term loan.</w:t>
      </w:r>
    </w:p>
    <w:p>
      <w:pPr>
        <w:spacing w:after="0" w:line="9" w:lineRule="exact"/>
        <w:rPr>
          <w:rFonts w:ascii="Arial" w:cs="Arial" w:eastAsia="Arial" w:hAnsi="Arial"/>
          <w:sz w:val="14"/>
          <w:szCs w:val="14"/>
          <w:color w:val="4395D4"/>
        </w:rPr>
      </w:pPr>
    </w:p>
    <w:p>
      <w:pPr>
        <w:ind w:left="180" w:right="60" w:hanging="178"/>
        <w:spacing w:after="0" w:line="278" w:lineRule="auto"/>
        <w:tabs>
          <w:tab w:leader="none" w:pos="181" w:val="left"/>
        </w:tabs>
        <w:numPr>
          <w:ilvl w:val="0"/>
          <w:numId w:val="114"/>
        </w:numPr>
        <w:rPr>
          <w:rFonts w:ascii="Arial" w:cs="Arial" w:eastAsia="Arial" w:hAnsi="Arial"/>
          <w:sz w:val="14"/>
          <w:szCs w:val="14"/>
          <w:color w:val="4395D4"/>
        </w:rPr>
      </w:pPr>
      <w:r>
        <w:rPr>
          <w:rFonts w:ascii="Arial" w:cs="Arial" w:eastAsia="Arial" w:hAnsi="Arial"/>
          <w:sz w:val="14"/>
          <w:szCs w:val="14"/>
          <w:color w:val="231F20"/>
        </w:rPr>
        <w:t>Completed $1.1 billion public debt offering in April and completed a $308 million forward sale of common equity in August.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ind w:left="180" w:right="400" w:hanging="180"/>
        <w:spacing w:after="0" w:line="278" w:lineRule="auto"/>
        <w:tabs>
          <w:tab w:leader="none" w:pos="181" w:val="left"/>
        </w:tabs>
        <w:numPr>
          <w:ilvl w:val="0"/>
          <w:numId w:val="115"/>
        </w:numPr>
        <w:rPr>
          <w:rFonts w:ascii="Arial" w:cs="Arial" w:eastAsia="Arial" w:hAnsi="Arial"/>
          <w:sz w:val="14"/>
          <w:szCs w:val="14"/>
          <w:color w:val="4395D4"/>
        </w:rPr>
      </w:pPr>
      <w:r>
        <w:rPr>
          <w:rFonts w:ascii="Arial" w:cs="Arial" w:eastAsia="Arial" w:hAnsi="Arial"/>
          <w:sz w:val="14"/>
          <w:szCs w:val="14"/>
          <w:color w:val="231F20"/>
        </w:rPr>
        <w:t>Completed the repair study for Peoples Natural Gas and elected tax repair accounting treatment.</w:t>
      </w:r>
    </w:p>
    <w:p>
      <w:pPr>
        <w:spacing w:after="0" w:line="22" w:lineRule="exact"/>
        <w:rPr>
          <w:rFonts w:ascii="Arial" w:cs="Arial" w:eastAsia="Arial" w:hAnsi="Arial"/>
          <w:sz w:val="14"/>
          <w:szCs w:val="14"/>
          <w:color w:val="4395D4"/>
        </w:rPr>
      </w:pPr>
    </w:p>
    <w:p>
      <w:pPr>
        <w:ind w:left="180" w:right="300" w:hanging="180"/>
        <w:spacing w:after="0" w:line="278" w:lineRule="auto"/>
        <w:tabs>
          <w:tab w:leader="none" w:pos="181" w:val="left"/>
        </w:tabs>
        <w:numPr>
          <w:ilvl w:val="0"/>
          <w:numId w:val="115"/>
        </w:numPr>
        <w:rPr>
          <w:rFonts w:ascii="Arial" w:cs="Arial" w:eastAsia="Arial" w:hAnsi="Arial"/>
          <w:sz w:val="14"/>
          <w:szCs w:val="14"/>
          <w:color w:val="4395D4"/>
        </w:rPr>
      </w:pPr>
      <w:r>
        <w:rPr>
          <w:rFonts w:ascii="Arial" w:cs="Arial" w:eastAsia="Arial" w:hAnsi="Arial"/>
          <w:sz w:val="14"/>
          <w:szCs w:val="14"/>
          <w:color w:val="231F20"/>
        </w:rPr>
        <w:t>Completed the integration of the Finance and Internal Audit organizations of Essential and Peoples.</w:t>
      </w:r>
    </w:p>
    <w:p>
      <w:pPr>
        <w:spacing w:after="0" w:line="9" w:lineRule="exact"/>
        <w:rPr>
          <w:rFonts w:ascii="Arial" w:cs="Arial" w:eastAsia="Arial" w:hAnsi="Arial"/>
          <w:sz w:val="14"/>
          <w:szCs w:val="14"/>
          <w:color w:val="4395D4"/>
        </w:rPr>
      </w:pPr>
    </w:p>
    <w:p>
      <w:pPr>
        <w:ind w:left="180" w:right="800" w:hanging="180"/>
        <w:spacing w:after="0" w:line="278" w:lineRule="auto"/>
        <w:tabs>
          <w:tab w:leader="none" w:pos="181" w:val="left"/>
        </w:tabs>
        <w:numPr>
          <w:ilvl w:val="0"/>
          <w:numId w:val="115"/>
        </w:numPr>
        <w:rPr>
          <w:rFonts w:ascii="Arial" w:cs="Arial" w:eastAsia="Arial" w:hAnsi="Arial"/>
          <w:sz w:val="14"/>
          <w:szCs w:val="14"/>
          <w:color w:val="4395D4"/>
        </w:rPr>
      </w:pPr>
      <w:r>
        <w:rPr>
          <w:rFonts w:ascii="Arial" w:cs="Arial" w:eastAsia="Arial" w:hAnsi="Arial"/>
          <w:sz w:val="14"/>
          <w:szCs w:val="14"/>
          <w:color w:val="231F20"/>
        </w:rPr>
        <w:t>Ensured Finance and Internal Audit’s full engagement in the Service Improvement Project.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-3719195</wp:posOffset>
            </wp:positionH>
            <wp:positionV relativeFrom="paragraph">
              <wp:posOffset>262890</wp:posOffset>
            </wp:positionV>
            <wp:extent cx="7139940" cy="825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13994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-2094865</wp:posOffset>
            </wp:positionV>
            <wp:extent cx="2941955" cy="106172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2941955" cy="1061720"/>
                    </a:xfrm>
                    <a:prstGeom prst="rect">
                      <a:avLst/>
                    </a:prstGeom>
                    <a:noFill/>
                  </pic:spPr>
                </pic:pic>
              </a:graphicData>
            </a:graphic>
          </wp:anchor>
        </w:drawing>
      </w:r>
    </w:p>
    <w:p>
      <w:pPr>
        <w:spacing w:after="0" w:line="506" w:lineRule="exact"/>
        <w:rPr>
          <w:sz w:val="20"/>
          <w:szCs w:val="20"/>
          <w:color w:val="auto"/>
        </w:rPr>
      </w:pPr>
    </w:p>
    <w:p>
      <w:pPr>
        <w:sectPr>
          <w:pgSz w:w="11900" w:h="16838" w:orient="portrait"/>
          <w:cols w:equalWidth="0" w:num="2">
            <w:col w:w="5320" w:space="540"/>
            <w:col w:w="5320"/>
          </w:cols>
          <w:pgMar w:left="320" w:top="637" w:right="399" w:bottom="1440" w:gutter="0" w:footer="0" w:header="0"/>
          <w:type w:val="continuous"/>
        </w:sectPr>
      </w:pPr>
    </w:p>
    <w:p>
      <w:pPr>
        <w:spacing w:after="0" w:line="45" w:lineRule="exact"/>
        <w:rPr>
          <w:sz w:val="20"/>
          <w:szCs w:val="20"/>
          <w:color w:val="auto"/>
        </w:rPr>
      </w:pPr>
    </w:p>
    <w:p>
      <w:pPr>
        <w:spacing w:after="0"/>
        <w:rPr>
          <w:sz w:val="20"/>
          <w:szCs w:val="20"/>
          <w:color w:val="auto"/>
        </w:rPr>
      </w:pPr>
      <w:r>
        <w:rPr>
          <w:rFonts w:ascii="Arial" w:cs="Arial" w:eastAsia="Arial" w:hAnsi="Arial"/>
          <w:sz w:val="27"/>
          <w:szCs w:val="27"/>
          <w:b w:val="1"/>
          <w:bCs w:val="1"/>
          <w:color w:val="4395D4"/>
        </w:rPr>
        <w:t>Richard S. Fox</w:t>
      </w:r>
    </w:p>
    <w:p>
      <w:pPr>
        <w:spacing w:after="0" w:line="182" w:lineRule="exact"/>
        <w:rPr>
          <w:sz w:val="20"/>
          <w:szCs w:val="20"/>
          <w:color w:val="auto"/>
        </w:rPr>
      </w:pPr>
    </w:p>
    <w:p>
      <w:pPr>
        <w:spacing w:after="0"/>
        <w:rPr>
          <w:sz w:val="20"/>
          <w:szCs w:val="20"/>
          <w:color w:val="auto"/>
        </w:rPr>
      </w:pPr>
      <w:r>
        <w:rPr>
          <w:rFonts w:ascii="Arial" w:cs="Arial" w:eastAsia="Arial" w:hAnsi="Arial"/>
          <w:sz w:val="14"/>
          <w:szCs w:val="14"/>
          <w:color w:val="231F20"/>
        </w:rPr>
        <w:t>Executive Vice President and Chief Operating Officer</w:t>
      </w:r>
    </w:p>
    <w:p>
      <w:pPr>
        <w:spacing w:after="0" w:line="142" w:lineRule="exact"/>
        <w:rPr>
          <w:sz w:val="20"/>
          <w:szCs w:val="20"/>
          <w:color w:val="auto"/>
        </w:rPr>
      </w:pPr>
    </w:p>
    <w:p>
      <w:pPr>
        <w:spacing w:after="0"/>
        <w:tabs>
          <w:tab w:leader="none" w:pos="5840" w:val="left"/>
        </w:tabs>
        <w:rPr>
          <w:sz w:val="20"/>
          <w:szCs w:val="20"/>
          <w:color w:val="auto"/>
        </w:rPr>
      </w:pPr>
      <w:r>
        <w:rPr>
          <w:rFonts w:ascii="Arial" w:cs="Arial" w:eastAsia="Arial" w:hAnsi="Arial"/>
          <w:sz w:val="16"/>
          <w:szCs w:val="16"/>
          <w:b w:val="1"/>
          <w:bCs w:val="1"/>
          <w:color w:val="4395D4"/>
        </w:rPr>
        <w:t>Responsibilities</w:t>
      </w:r>
      <w:r>
        <w:rPr>
          <w:sz w:val="20"/>
          <w:szCs w:val="20"/>
          <w:color w:val="auto"/>
        </w:rPr>
        <w:tab/>
      </w:r>
      <w:r>
        <w:rPr>
          <w:rFonts w:ascii="Arial" w:cs="Arial" w:eastAsia="Arial" w:hAnsi="Arial"/>
          <w:sz w:val="16"/>
          <w:szCs w:val="16"/>
          <w:b w:val="1"/>
          <w:bCs w:val="1"/>
          <w:color w:val="auto"/>
        </w:rPr>
        <w:t>2020 Total Compensation Pay Mix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3721100</wp:posOffset>
            </wp:positionH>
            <wp:positionV relativeFrom="paragraph">
              <wp:posOffset>20320</wp:posOffset>
            </wp:positionV>
            <wp:extent cx="2925445" cy="106172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2925445" cy="1061720"/>
                    </a:xfrm>
                    <a:prstGeom prst="rect">
                      <a:avLst/>
                    </a:prstGeom>
                    <a:noFill/>
                  </pic:spPr>
                </pic:pic>
              </a:graphicData>
            </a:graphic>
          </wp:anchor>
        </w:drawing>
      </w:r>
    </w:p>
    <w:p>
      <w:pPr>
        <w:spacing w:after="0" w:line="144" w:lineRule="exact"/>
        <w:rPr>
          <w:sz w:val="20"/>
          <w:szCs w:val="20"/>
          <w:color w:val="auto"/>
        </w:rPr>
      </w:pPr>
    </w:p>
    <w:p>
      <w:pPr>
        <w:ind w:right="5800"/>
        <w:spacing w:after="0"/>
        <w:rPr>
          <w:sz w:val="20"/>
          <w:szCs w:val="20"/>
          <w:color w:val="auto"/>
        </w:rPr>
      </w:pPr>
      <w:r>
        <w:rPr>
          <w:rFonts w:ascii="Arial" w:cs="Arial" w:eastAsia="Arial" w:hAnsi="Arial"/>
          <w:sz w:val="14"/>
          <w:szCs w:val="14"/>
          <w:color w:val="231F20"/>
        </w:rPr>
        <w:t>As COO, Mr. Fox is responsible for responsible for the leadership, management and vision to ensure that the company has the proper operational controls, administrative and reporting procedures, and people systems in place to operate effectively and efficiently, grow the business, and ensure financial strength of the company.</w:t>
      </w:r>
    </w:p>
    <w:p>
      <w:pPr>
        <w:spacing w:after="0" w:line="275" w:lineRule="exact"/>
        <w:rPr>
          <w:sz w:val="20"/>
          <w:szCs w:val="20"/>
          <w:color w:val="auto"/>
        </w:rPr>
      </w:pPr>
    </w:p>
    <w:p>
      <w:pPr>
        <w:ind w:right="6620"/>
        <w:spacing w:after="0" w:line="278" w:lineRule="auto"/>
        <w:rPr>
          <w:sz w:val="20"/>
          <w:szCs w:val="20"/>
          <w:color w:val="auto"/>
        </w:rPr>
      </w:pPr>
      <w:r>
        <w:rPr>
          <w:rFonts w:ascii="Arial" w:cs="Arial" w:eastAsia="Arial" w:hAnsi="Arial"/>
          <w:sz w:val="14"/>
          <w:szCs w:val="14"/>
          <w:color w:val="231F20"/>
        </w:rPr>
        <w:t>Mr. Fox directs the company’s focus on the key operational metrics and performance indicators across all our states.</w:t>
      </w:r>
    </w:p>
    <w:p>
      <w:pPr>
        <w:spacing w:after="0" w:line="376" w:lineRule="exact"/>
        <w:rPr>
          <w:sz w:val="20"/>
          <w:szCs w:val="20"/>
          <w:color w:val="auto"/>
        </w:rPr>
      </w:pPr>
    </w:p>
    <w:p>
      <w:pPr>
        <w:spacing w:after="0"/>
        <w:rPr>
          <w:sz w:val="20"/>
          <w:szCs w:val="20"/>
          <w:color w:val="auto"/>
        </w:rPr>
      </w:pPr>
      <w:r>
        <w:rPr>
          <w:rFonts w:ascii="Arial" w:cs="Arial" w:eastAsia="Arial" w:hAnsi="Arial"/>
          <w:sz w:val="17"/>
          <w:szCs w:val="17"/>
          <w:b w:val="1"/>
          <w:bCs w:val="1"/>
          <w:color w:val="4395D4"/>
        </w:rPr>
        <w:t>2020 Key Accomplishments</w:t>
      </w:r>
    </w:p>
    <w:p>
      <w:pPr>
        <w:sectPr>
          <w:pgSz w:w="11900" w:h="16838" w:orient="portrait"/>
          <w:cols w:equalWidth="0" w:num="1">
            <w:col w:w="11180"/>
          </w:cols>
          <w:pgMar w:left="320" w:top="637" w:right="399" w:bottom="1440" w:gutter="0" w:footer="0" w:header="0"/>
          <w:type w:val="continuous"/>
        </w:sectPr>
      </w:pPr>
    </w:p>
    <w:p>
      <w:pPr>
        <w:spacing w:after="0" w:line="153" w:lineRule="exact"/>
        <w:rPr>
          <w:sz w:val="20"/>
          <w:szCs w:val="20"/>
          <w:color w:val="auto"/>
        </w:rPr>
      </w:pPr>
    </w:p>
    <w:p>
      <w:pPr>
        <w:ind w:left="180" w:right="100" w:hanging="178"/>
        <w:spacing w:after="0" w:line="278" w:lineRule="auto"/>
        <w:tabs>
          <w:tab w:leader="none" w:pos="181" w:val="left"/>
        </w:tabs>
        <w:numPr>
          <w:ilvl w:val="0"/>
          <w:numId w:val="116"/>
        </w:numPr>
        <w:rPr>
          <w:rFonts w:ascii="Arial" w:cs="Arial" w:eastAsia="Arial" w:hAnsi="Arial"/>
          <w:sz w:val="14"/>
          <w:szCs w:val="14"/>
          <w:color w:val="4395D4"/>
        </w:rPr>
      </w:pPr>
      <w:r>
        <w:rPr>
          <w:rFonts w:ascii="Arial" w:cs="Arial" w:eastAsia="Arial" w:hAnsi="Arial"/>
          <w:sz w:val="14"/>
          <w:szCs w:val="14"/>
          <w:color w:val="231F20"/>
        </w:rPr>
        <w:t>Attained best-ever annual OSHA defined employee and vehicle accident safety results in both the Aqua and Peoples operating units.</w:t>
      </w:r>
    </w:p>
    <w:p>
      <w:pPr>
        <w:spacing w:after="0" w:line="22" w:lineRule="exact"/>
        <w:rPr>
          <w:rFonts w:ascii="Arial" w:cs="Arial" w:eastAsia="Arial" w:hAnsi="Arial"/>
          <w:sz w:val="14"/>
          <w:szCs w:val="14"/>
          <w:color w:val="4395D4"/>
        </w:rPr>
      </w:pPr>
    </w:p>
    <w:p>
      <w:pPr>
        <w:jc w:val="both"/>
        <w:ind w:left="180" w:right="180" w:hanging="178"/>
        <w:spacing w:after="0" w:line="253" w:lineRule="auto"/>
        <w:tabs>
          <w:tab w:leader="none" w:pos="181" w:val="left"/>
        </w:tabs>
        <w:numPr>
          <w:ilvl w:val="0"/>
          <w:numId w:val="116"/>
        </w:numPr>
        <w:rPr>
          <w:rFonts w:ascii="Arial" w:cs="Arial" w:eastAsia="Arial" w:hAnsi="Arial"/>
          <w:sz w:val="14"/>
          <w:szCs w:val="14"/>
          <w:color w:val="4395D4"/>
        </w:rPr>
      </w:pPr>
      <w:r>
        <w:rPr>
          <w:rFonts w:ascii="Arial" w:cs="Arial" w:eastAsia="Arial" w:hAnsi="Arial"/>
          <w:sz w:val="14"/>
          <w:szCs w:val="14"/>
          <w:color w:val="231F20"/>
        </w:rPr>
        <w:t>Leader in company response to COVID-19 pandemic to provide safe working conditions for employees while still providing essential water and gas services and infrastructure projects.</w:t>
      </w:r>
    </w:p>
    <w:p>
      <w:pPr>
        <w:spacing w:after="0" w:line="39" w:lineRule="exact"/>
        <w:rPr>
          <w:rFonts w:ascii="Arial" w:cs="Arial" w:eastAsia="Arial" w:hAnsi="Arial"/>
          <w:sz w:val="14"/>
          <w:szCs w:val="14"/>
          <w:color w:val="4395D4"/>
        </w:rPr>
      </w:pPr>
    </w:p>
    <w:p>
      <w:pPr>
        <w:jc w:val="both"/>
        <w:ind w:left="180" w:right="160" w:hanging="178"/>
        <w:spacing w:after="0" w:line="278" w:lineRule="auto"/>
        <w:tabs>
          <w:tab w:leader="none" w:pos="181" w:val="left"/>
        </w:tabs>
        <w:numPr>
          <w:ilvl w:val="0"/>
          <w:numId w:val="116"/>
        </w:numPr>
        <w:rPr>
          <w:rFonts w:ascii="Arial" w:cs="Arial" w:eastAsia="Arial" w:hAnsi="Arial"/>
          <w:sz w:val="14"/>
          <w:szCs w:val="14"/>
          <w:color w:val="4395D4"/>
        </w:rPr>
      </w:pPr>
      <w:r>
        <w:rPr>
          <w:rFonts w:ascii="Arial" w:cs="Arial" w:eastAsia="Arial" w:hAnsi="Arial"/>
          <w:sz w:val="14"/>
          <w:szCs w:val="14"/>
          <w:color w:val="231F20"/>
        </w:rPr>
        <w:t>Delivered annual capital investment of approximately $900 million on gas and water infrastructure projects to ensure safe and reliable service for customers.</w:t>
      </w:r>
    </w:p>
    <w:p>
      <w:pPr>
        <w:spacing w:after="0" w:line="9" w:lineRule="exact"/>
        <w:rPr>
          <w:rFonts w:ascii="Arial" w:cs="Arial" w:eastAsia="Arial" w:hAnsi="Arial"/>
          <w:sz w:val="14"/>
          <w:szCs w:val="14"/>
          <w:color w:val="4395D4"/>
        </w:rPr>
      </w:pPr>
    </w:p>
    <w:p>
      <w:pPr>
        <w:ind w:left="180" w:hanging="178"/>
        <w:spacing w:after="0" w:line="253" w:lineRule="auto"/>
        <w:tabs>
          <w:tab w:leader="none" w:pos="181" w:val="left"/>
        </w:tabs>
        <w:numPr>
          <w:ilvl w:val="0"/>
          <w:numId w:val="116"/>
        </w:numPr>
        <w:rPr>
          <w:rFonts w:ascii="Arial" w:cs="Arial" w:eastAsia="Arial" w:hAnsi="Arial"/>
          <w:sz w:val="14"/>
          <w:szCs w:val="14"/>
          <w:color w:val="4395D4"/>
        </w:rPr>
      </w:pPr>
      <w:r>
        <w:rPr>
          <w:rFonts w:ascii="Arial" w:cs="Arial" w:eastAsia="Arial" w:hAnsi="Arial"/>
          <w:sz w:val="14"/>
          <w:szCs w:val="14"/>
          <w:color w:val="231F20"/>
        </w:rPr>
        <w:t>Maintained excellent water and wastewater environmental compliance metrics at Aqua and improved emergency response time, unaccounted for gas, and pipe leaks at Peoples.</w:t>
      </w:r>
    </w:p>
    <w:p>
      <w:pPr>
        <w:spacing w:after="0" w:line="39" w:lineRule="exact"/>
        <w:rPr>
          <w:rFonts w:ascii="Arial" w:cs="Arial" w:eastAsia="Arial" w:hAnsi="Arial"/>
          <w:sz w:val="14"/>
          <w:szCs w:val="14"/>
          <w:color w:val="4395D4"/>
        </w:rPr>
      </w:pPr>
    </w:p>
    <w:p>
      <w:pPr>
        <w:ind w:left="180" w:right="160" w:hanging="178"/>
        <w:spacing w:after="0" w:line="278" w:lineRule="auto"/>
        <w:tabs>
          <w:tab w:leader="none" w:pos="181" w:val="left"/>
        </w:tabs>
        <w:numPr>
          <w:ilvl w:val="0"/>
          <w:numId w:val="116"/>
        </w:numPr>
        <w:rPr>
          <w:rFonts w:ascii="Arial" w:cs="Arial" w:eastAsia="Arial" w:hAnsi="Arial"/>
          <w:sz w:val="14"/>
          <w:szCs w:val="14"/>
          <w:color w:val="4395D4"/>
        </w:rPr>
      </w:pPr>
      <w:r>
        <w:rPr>
          <w:rFonts w:ascii="Arial" w:cs="Arial" w:eastAsia="Arial" w:hAnsi="Arial"/>
          <w:sz w:val="14"/>
          <w:szCs w:val="14"/>
          <w:color w:val="231F20"/>
        </w:rPr>
        <w:t>Integrated the Peoples and Aqua operating teams to ensure culture, inclusion, and combined vision maintained even during COVID-19 pandemic.</w:t>
      </w:r>
    </w:p>
    <w:p>
      <w:pPr>
        <w:spacing w:after="0" w:line="20" w:lineRule="exact"/>
        <w:rPr>
          <w:sz w:val="20"/>
          <w:szCs w:val="20"/>
          <w:color w:val="auto"/>
        </w:rPr>
      </w:pPr>
      <w:r>
        <w:rPr>
          <w:sz w:val="20"/>
          <w:szCs w:val="20"/>
          <w:color w:val="auto"/>
        </w:rPr>
        <w:br w:type="column"/>
      </w:r>
    </w:p>
    <w:p>
      <w:pPr>
        <w:spacing w:after="0" w:line="133" w:lineRule="exact"/>
        <w:rPr>
          <w:sz w:val="20"/>
          <w:szCs w:val="20"/>
          <w:color w:val="auto"/>
        </w:rPr>
      </w:pPr>
    </w:p>
    <w:p>
      <w:pPr>
        <w:jc w:val="both"/>
        <w:ind w:left="180" w:right="60" w:hanging="180"/>
        <w:spacing w:after="0" w:line="253" w:lineRule="auto"/>
        <w:tabs>
          <w:tab w:leader="none" w:pos="181" w:val="left"/>
        </w:tabs>
        <w:numPr>
          <w:ilvl w:val="0"/>
          <w:numId w:val="117"/>
        </w:numPr>
        <w:rPr>
          <w:rFonts w:ascii="Arial" w:cs="Arial" w:eastAsia="Arial" w:hAnsi="Arial"/>
          <w:sz w:val="14"/>
          <w:szCs w:val="14"/>
          <w:color w:val="4395D4"/>
        </w:rPr>
      </w:pPr>
      <w:r>
        <w:rPr>
          <w:rFonts w:ascii="Arial" w:cs="Arial" w:eastAsia="Arial" w:hAnsi="Arial"/>
          <w:sz w:val="14"/>
          <w:szCs w:val="14"/>
          <w:color w:val="231F20"/>
        </w:rPr>
        <w:t>Filed revised Long Term Infrastructure Improvement Plan (LTIIP) for Peoples to support increased replacement rate of at-risk pipe segments in accordance with the company-proposed acquisition settlement provision.</w:t>
      </w:r>
    </w:p>
    <w:p>
      <w:pPr>
        <w:spacing w:after="0" w:line="39" w:lineRule="exact"/>
        <w:rPr>
          <w:rFonts w:ascii="Arial" w:cs="Arial" w:eastAsia="Arial" w:hAnsi="Arial"/>
          <w:sz w:val="14"/>
          <w:szCs w:val="14"/>
          <w:color w:val="4395D4"/>
        </w:rPr>
      </w:pPr>
    </w:p>
    <w:p>
      <w:pPr>
        <w:ind w:left="180" w:hanging="180"/>
        <w:spacing w:after="0" w:line="253" w:lineRule="auto"/>
        <w:tabs>
          <w:tab w:leader="none" w:pos="181" w:val="left"/>
        </w:tabs>
        <w:numPr>
          <w:ilvl w:val="0"/>
          <w:numId w:val="117"/>
        </w:numPr>
        <w:rPr>
          <w:rFonts w:ascii="Arial" w:cs="Arial" w:eastAsia="Arial" w:hAnsi="Arial"/>
          <w:sz w:val="14"/>
          <w:szCs w:val="14"/>
          <w:color w:val="4395D4"/>
        </w:rPr>
      </w:pPr>
      <w:r>
        <w:rPr>
          <w:rFonts w:ascii="Arial" w:cs="Arial" w:eastAsia="Arial" w:hAnsi="Arial"/>
          <w:sz w:val="14"/>
          <w:szCs w:val="14"/>
          <w:color w:val="231F20"/>
        </w:rPr>
        <w:t>Initiated pipe replacement project in Goodwin-Tombaugh gathering system consistent with Pennsylvania PUC settlement order to ensure continuous service to thousands of natural gas customers.</w:t>
      </w:r>
    </w:p>
    <w:p>
      <w:pPr>
        <w:spacing w:after="0" w:line="39" w:lineRule="exact"/>
        <w:rPr>
          <w:rFonts w:ascii="Arial" w:cs="Arial" w:eastAsia="Arial" w:hAnsi="Arial"/>
          <w:sz w:val="14"/>
          <w:szCs w:val="14"/>
          <w:color w:val="4395D4"/>
        </w:rPr>
      </w:pPr>
    </w:p>
    <w:p>
      <w:pPr>
        <w:ind w:left="180" w:right="140" w:hanging="180"/>
        <w:spacing w:after="0" w:line="278" w:lineRule="auto"/>
        <w:tabs>
          <w:tab w:leader="none" w:pos="181" w:val="left"/>
        </w:tabs>
        <w:numPr>
          <w:ilvl w:val="0"/>
          <w:numId w:val="117"/>
        </w:numPr>
        <w:rPr>
          <w:rFonts w:ascii="Arial" w:cs="Arial" w:eastAsia="Arial" w:hAnsi="Arial"/>
          <w:sz w:val="14"/>
          <w:szCs w:val="14"/>
          <w:color w:val="4395D4"/>
        </w:rPr>
      </w:pPr>
      <w:r>
        <w:rPr>
          <w:rFonts w:ascii="Arial" w:cs="Arial" w:eastAsia="Arial" w:hAnsi="Arial"/>
          <w:sz w:val="14"/>
          <w:szCs w:val="14"/>
          <w:color w:val="231F20"/>
        </w:rPr>
        <w:t>Completed successful rate case in Aqua North Carolina and Aqua New Jersey wastewater and filed a rate case in Aqua Virginia.</w:t>
      </w:r>
    </w:p>
    <w:p>
      <w:pPr>
        <w:spacing w:after="0" w:line="9" w:lineRule="exact"/>
        <w:rPr>
          <w:rFonts w:ascii="Arial" w:cs="Arial" w:eastAsia="Arial" w:hAnsi="Arial"/>
          <w:sz w:val="14"/>
          <w:szCs w:val="14"/>
          <w:color w:val="4395D4"/>
        </w:rPr>
      </w:pPr>
    </w:p>
    <w:p>
      <w:pPr>
        <w:ind w:left="180" w:right="120" w:hanging="180"/>
        <w:spacing w:after="0" w:line="253" w:lineRule="auto"/>
        <w:tabs>
          <w:tab w:leader="none" w:pos="181" w:val="left"/>
        </w:tabs>
        <w:numPr>
          <w:ilvl w:val="0"/>
          <w:numId w:val="117"/>
        </w:numPr>
        <w:rPr>
          <w:rFonts w:ascii="Arial" w:cs="Arial" w:eastAsia="Arial" w:hAnsi="Arial"/>
          <w:sz w:val="14"/>
          <w:szCs w:val="14"/>
          <w:color w:val="4395D4"/>
        </w:rPr>
      </w:pPr>
      <w:r>
        <w:rPr>
          <w:rFonts w:ascii="Arial" w:cs="Arial" w:eastAsia="Arial" w:hAnsi="Arial"/>
          <w:sz w:val="14"/>
          <w:szCs w:val="14"/>
          <w:color w:val="231F20"/>
        </w:rPr>
        <w:t>Passed Fair Market Valuation legislation in Virginia and established new or revised rules for capital investment infrastructure surcharges in Texas, Virginia, and New Jersey.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-3719195</wp:posOffset>
            </wp:positionH>
            <wp:positionV relativeFrom="paragraph">
              <wp:posOffset>249555</wp:posOffset>
            </wp:positionV>
            <wp:extent cx="7139940" cy="825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139940" cy="8255"/>
                    </a:xfrm>
                    <a:prstGeom prst="rect">
                      <a:avLst/>
                    </a:prstGeom>
                    <a:noFill/>
                  </pic:spPr>
                </pic:pic>
              </a:graphicData>
            </a:graphic>
          </wp:anchor>
        </w:drawing>
      </w:r>
    </w:p>
    <w:p>
      <w:pPr>
        <w:spacing w:after="0" w:line="459" w:lineRule="exact"/>
        <w:rPr>
          <w:sz w:val="20"/>
          <w:szCs w:val="20"/>
          <w:color w:val="auto"/>
        </w:rPr>
      </w:pPr>
    </w:p>
    <w:p>
      <w:pPr>
        <w:sectPr>
          <w:pgSz w:w="11900" w:h="16838" w:orient="portrait"/>
          <w:cols w:equalWidth="0" w:num="2">
            <w:col w:w="5320" w:space="540"/>
            <w:col w:w="5320"/>
          </w:cols>
          <w:pgMar w:left="320" w:top="637" w:right="399" w:bottom="1440" w:gutter="0" w:footer="0" w:header="0"/>
          <w:type w:val="continuous"/>
        </w:sectPr>
      </w:pPr>
    </w:p>
    <w:p>
      <w:pPr>
        <w:spacing w:after="0" w:line="14" w:lineRule="exact"/>
        <w:rPr>
          <w:sz w:val="20"/>
          <w:szCs w:val="20"/>
          <w:color w:val="auto"/>
        </w:rPr>
      </w:pPr>
    </w:p>
    <w:p>
      <w:pPr>
        <w:ind w:left="300" w:hanging="298"/>
        <w:spacing w:after="0"/>
        <w:tabs>
          <w:tab w:leader="none" w:pos="300" w:val="left"/>
        </w:tabs>
        <w:numPr>
          <w:ilvl w:val="0"/>
          <w:numId w:val="118"/>
        </w:numPr>
        <w:rPr>
          <w:rFonts w:ascii="Arial" w:cs="Arial" w:eastAsia="Arial" w:hAnsi="Arial"/>
          <w:sz w:val="14"/>
          <w:szCs w:val="14"/>
          <w:color w:val="455986"/>
        </w:rPr>
      </w:pPr>
      <w:r>
        <w:rPr>
          <w:rFonts w:ascii="Arial" w:cs="Arial" w:eastAsia="Arial" w:hAnsi="Arial"/>
          <w:sz w:val="11"/>
          <w:szCs w:val="11"/>
          <w:color w:val="4395D4"/>
        </w:rPr>
        <w:t xml:space="preserve">ESSENTIAL UTILITIES, INC. </w:t>
      </w:r>
      <w:r>
        <w:rPr>
          <w:rFonts w:ascii="Arial" w:cs="Arial" w:eastAsia="Arial" w:hAnsi="Arial"/>
          <w:sz w:val="11"/>
          <w:szCs w:val="11"/>
          <w:color w:val="455986"/>
        </w:rPr>
        <w:t>2021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324485</wp:posOffset>
            </wp:positionV>
            <wp:extent cx="7139940" cy="2413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139940" cy="24130"/>
                    </a:xfrm>
                    <a:prstGeom prst="rect">
                      <a:avLst/>
                    </a:prstGeom>
                    <a:noFill/>
                  </pic:spPr>
                </pic:pic>
              </a:graphicData>
            </a:graphic>
          </wp:anchor>
        </w:drawing>
      </w:r>
    </w:p>
    <w:p>
      <w:pPr>
        <w:sectPr>
          <w:pgSz w:w="11900" w:h="16838" w:orient="portrait"/>
          <w:cols w:equalWidth="0" w:num="1">
            <w:col w:w="11180"/>
          </w:cols>
          <w:pgMar w:left="320" w:top="637" w:right="399" w:bottom="1440" w:gutter="0" w:footer="0" w:header="0"/>
          <w:type w:val="continuous"/>
        </w:sectPr>
      </w:pPr>
    </w:p>
    <w:bookmarkStart w:id="65" w:name="page66"/>
    <w:bookmarkEnd w:id="65"/>
    <w:p>
      <w:pPr>
        <w:spacing w:after="0"/>
        <w:rPr>
          <w:sz w:val="20"/>
          <w:szCs w:val="20"/>
          <w:color w:val="auto"/>
        </w:rPr>
      </w:pPr>
      <w:r>
        <w:rPr>
          <w:rFonts w:ascii="Arial" w:cs="Arial" w:eastAsia="Arial" w:hAnsi="Arial"/>
          <w:sz w:val="14"/>
          <w:szCs w:val="14"/>
          <w:b w:val="1"/>
          <w:bCs w:val="1"/>
          <w:color w:val="455986"/>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27940</wp:posOffset>
            </wp:positionV>
            <wp:extent cx="7139940" cy="825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139940" cy="8255"/>
                    </a:xfrm>
                    <a:prstGeom prst="rect">
                      <a:avLst/>
                    </a:prstGeom>
                    <a:noFill/>
                  </pic:spPr>
                </pic:pic>
              </a:graphicData>
            </a:graphic>
          </wp:anchor>
        </w:drawing>
      </w:r>
    </w:p>
    <w:p>
      <w:pPr>
        <w:spacing w:after="0" w:line="76" w:lineRule="exact"/>
        <w:rPr>
          <w:sz w:val="20"/>
          <w:szCs w:val="20"/>
          <w:color w:val="auto"/>
        </w:rPr>
      </w:pPr>
    </w:p>
    <w:p>
      <w:pPr>
        <w:spacing w:after="0"/>
        <w:rPr>
          <w:sz w:val="20"/>
          <w:szCs w:val="20"/>
          <w:color w:val="auto"/>
        </w:rPr>
      </w:pPr>
      <w:r>
        <w:rPr>
          <w:rFonts w:ascii="Arial" w:cs="Arial" w:eastAsia="Arial" w:hAnsi="Arial"/>
          <w:sz w:val="14"/>
          <w:szCs w:val="14"/>
          <w:color w:val="4395D4"/>
        </w:rPr>
        <w:t xml:space="preserve">Section 4 </w:t>
      </w:r>
      <w:r>
        <w:rPr>
          <w:rFonts w:ascii="Arial" w:cs="Arial" w:eastAsia="Arial" w:hAnsi="Arial"/>
          <w:sz w:val="14"/>
          <w:szCs w:val="14"/>
          <w:color w:val="231F20"/>
        </w:rPr>
        <w:t>2020 NEO Compensation and Performance Summaries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123825</wp:posOffset>
            </wp:positionV>
            <wp:extent cx="7139940" cy="825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139940" cy="8255"/>
                    </a:xfrm>
                    <a:prstGeom prst="rect">
                      <a:avLst/>
                    </a:prstGeom>
                    <a:noFill/>
                  </pic:spPr>
                </pic:pic>
              </a:graphicData>
            </a:graphic>
          </wp:anchor>
        </w:drawing>
      </w:r>
    </w:p>
    <w:p>
      <w:pPr>
        <w:spacing w:after="0" w:line="312" w:lineRule="exact"/>
        <w:rPr>
          <w:sz w:val="20"/>
          <w:szCs w:val="20"/>
          <w:color w:val="auto"/>
        </w:rPr>
      </w:pPr>
    </w:p>
    <w:p>
      <w:pPr>
        <w:spacing w:after="0"/>
        <w:rPr>
          <w:sz w:val="20"/>
          <w:szCs w:val="20"/>
          <w:color w:val="auto"/>
        </w:rPr>
      </w:pPr>
      <w:r>
        <w:rPr>
          <w:rFonts w:ascii="Arial" w:cs="Arial" w:eastAsia="Arial" w:hAnsi="Arial"/>
          <w:sz w:val="27"/>
          <w:szCs w:val="27"/>
          <w:b w:val="1"/>
          <w:bCs w:val="1"/>
          <w:color w:val="4395D4"/>
        </w:rPr>
        <w:t>Matthew Rhodes</w:t>
      </w:r>
    </w:p>
    <w:p>
      <w:pPr>
        <w:spacing w:after="0" w:line="182" w:lineRule="exact"/>
        <w:rPr>
          <w:sz w:val="20"/>
          <w:szCs w:val="20"/>
          <w:color w:val="auto"/>
        </w:rPr>
      </w:pPr>
    </w:p>
    <w:p>
      <w:pPr>
        <w:spacing w:after="0"/>
        <w:rPr>
          <w:sz w:val="20"/>
          <w:szCs w:val="20"/>
          <w:color w:val="auto"/>
        </w:rPr>
      </w:pPr>
      <w:r>
        <w:rPr>
          <w:rFonts w:ascii="Arial" w:cs="Arial" w:eastAsia="Arial" w:hAnsi="Arial"/>
          <w:sz w:val="14"/>
          <w:szCs w:val="14"/>
          <w:color w:val="231F20"/>
        </w:rPr>
        <w:t>Executive Vice President Strategy &amp; Corporate Development</w:t>
      </w:r>
    </w:p>
    <w:p>
      <w:pPr>
        <w:spacing w:after="0" w:line="142" w:lineRule="exact"/>
        <w:rPr>
          <w:sz w:val="20"/>
          <w:szCs w:val="20"/>
          <w:color w:val="auto"/>
        </w:rPr>
      </w:pPr>
    </w:p>
    <w:p>
      <w:pPr>
        <w:spacing w:after="0"/>
        <w:tabs>
          <w:tab w:leader="none" w:pos="5840" w:val="left"/>
        </w:tabs>
        <w:rPr>
          <w:sz w:val="20"/>
          <w:szCs w:val="20"/>
          <w:color w:val="auto"/>
        </w:rPr>
      </w:pPr>
      <w:r>
        <w:rPr>
          <w:rFonts w:ascii="Arial" w:cs="Arial" w:eastAsia="Arial" w:hAnsi="Arial"/>
          <w:sz w:val="16"/>
          <w:szCs w:val="16"/>
          <w:b w:val="1"/>
          <w:bCs w:val="1"/>
          <w:color w:val="4395D4"/>
        </w:rPr>
        <w:t>Responsibilities</w:t>
      </w:r>
      <w:r>
        <w:rPr>
          <w:sz w:val="20"/>
          <w:szCs w:val="20"/>
          <w:color w:val="auto"/>
        </w:rPr>
        <w:tab/>
      </w:r>
      <w:r>
        <w:rPr>
          <w:rFonts w:ascii="Arial" w:cs="Arial" w:eastAsia="Arial" w:hAnsi="Arial"/>
          <w:sz w:val="16"/>
          <w:szCs w:val="16"/>
          <w:b w:val="1"/>
          <w:bCs w:val="1"/>
          <w:color w:val="231F20"/>
        </w:rPr>
        <w:t>2020 Total Compensation Pay Mix</w:t>
      </w:r>
    </w:p>
    <w:p>
      <w:pPr>
        <w:spacing w:after="0" w:line="164" w:lineRule="exact"/>
        <w:rPr>
          <w:sz w:val="20"/>
          <w:szCs w:val="20"/>
          <w:color w:val="auto"/>
        </w:rPr>
      </w:pPr>
    </w:p>
    <w:p>
      <w:pPr>
        <w:ind w:right="5900"/>
        <w:spacing w:after="0" w:line="245" w:lineRule="auto"/>
        <w:rPr>
          <w:sz w:val="20"/>
          <w:szCs w:val="20"/>
          <w:color w:val="auto"/>
        </w:rPr>
      </w:pPr>
      <w:r>
        <w:rPr>
          <w:rFonts w:ascii="Arial" w:cs="Arial" w:eastAsia="Arial" w:hAnsi="Arial"/>
          <w:sz w:val="14"/>
          <w:szCs w:val="14"/>
          <w:color w:val="231F20"/>
        </w:rPr>
        <w:t>As EVP of Strategy and Corporate Development, Mr. Rhodes is responsible for driving Essential’s overall strategy and corporate development function, as well as leading the state presidents and business development leads in M&amp;A initiatives. Mr. Rhodes is also responsible for leading the Company’s Market-based businesses.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3721100</wp:posOffset>
            </wp:positionH>
            <wp:positionV relativeFrom="paragraph">
              <wp:posOffset>-403225</wp:posOffset>
            </wp:positionV>
            <wp:extent cx="2941955" cy="106997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2941955" cy="1069975"/>
                    </a:xfrm>
                    <a:prstGeom prst="rect">
                      <a:avLst/>
                    </a:prstGeom>
                    <a:noFill/>
                  </pic:spPr>
                </pic:pic>
              </a:graphicData>
            </a:graphic>
          </wp:anchor>
        </w:drawing>
      </w:r>
    </w:p>
    <w:p>
      <w:pPr>
        <w:spacing w:after="0" w:line="88" w:lineRule="exact"/>
        <w:rPr>
          <w:sz w:val="20"/>
          <w:szCs w:val="20"/>
          <w:color w:val="auto"/>
        </w:rPr>
      </w:pPr>
    </w:p>
    <w:p>
      <w:pPr>
        <w:ind w:right="5880"/>
        <w:spacing w:after="0" w:line="253" w:lineRule="auto"/>
        <w:rPr>
          <w:sz w:val="20"/>
          <w:szCs w:val="20"/>
          <w:color w:val="auto"/>
        </w:rPr>
      </w:pPr>
      <w:r>
        <w:rPr>
          <w:rFonts w:ascii="Arial" w:cs="Arial" w:eastAsia="Arial" w:hAnsi="Arial"/>
          <w:sz w:val="14"/>
          <w:szCs w:val="14"/>
          <w:color w:val="231F20"/>
        </w:rPr>
        <w:t>Mr. Rhodes guides a team of internal and external professionals responsible for due diligence, underwriting/ valuation, financing, ratings, negotiations, and transaction management, in partnership with other members of the executive team.</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Arial" w:cs="Arial" w:eastAsia="Arial" w:hAnsi="Arial"/>
          <w:sz w:val="17"/>
          <w:szCs w:val="17"/>
          <w:b w:val="1"/>
          <w:bCs w:val="1"/>
          <w:color w:val="4395D4"/>
        </w:rPr>
        <w:t>2020 Key Accomplishments</w:t>
      </w:r>
    </w:p>
    <w:p>
      <w:pPr>
        <w:sectPr>
          <w:pgSz w:w="11900" w:h="16838" w:orient="portrait"/>
          <w:cols w:equalWidth="0" w:num="1">
            <w:col w:w="11240"/>
          </w:cols>
          <w:pgMar w:left="320" w:top="637" w:right="339" w:bottom="1440" w:gutter="0" w:footer="0" w:header="0"/>
        </w:sectPr>
      </w:pPr>
    </w:p>
    <w:p>
      <w:pPr>
        <w:spacing w:after="0" w:line="153" w:lineRule="exact"/>
        <w:rPr>
          <w:sz w:val="20"/>
          <w:szCs w:val="20"/>
          <w:color w:val="auto"/>
        </w:rPr>
      </w:pPr>
    </w:p>
    <w:p>
      <w:pPr>
        <w:ind w:left="180" w:hanging="178"/>
        <w:spacing w:after="0" w:line="278" w:lineRule="auto"/>
        <w:tabs>
          <w:tab w:leader="none" w:pos="181" w:val="left"/>
        </w:tabs>
        <w:numPr>
          <w:ilvl w:val="0"/>
          <w:numId w:val="119"/>
        </w:numPr>
        <w:rPr>
          <w:rFonts w:ascii="Arial" w:cs="Arial" w:eastAsia="Arial" w:hAnsi="Arial"/>
          <w:sz w:val="14"/>
          <w:szCs w:val="14"/>
          <w:color w:val="4395D4"/>
        </w:rPr>
      </w:pPr>
      <w:r>
        <w:rPr>
          <w:rFonts w:ascii="Arial" w:cs="Arial" w:eastAsia="Arial" w:hAnsi="Arial"/>
          <w:sz w:val="14"/>
          <w:szCs w:val="14"/>
          <w:color w:val="231F20"/>
        </w:rPr>
        <w:t>Led efforts that significantly progressed the closing process for the DELCORA acquisition.</w:t>
      </w:r>
    </w:p>
    <w:p>
      <w:pPr>
        <w:spacing w:after="0" w:line="22" w:lineRule="exact"/>
        <w:rPr>
          <w:rFonts w:ascii="Arial" w:cs="Arial" w:eastAsia="Arial" w:hAnsi="Arial"/>
          <w:sz w:val="14"/>
          <w:szCs w:val="14"/>
          <w:color w:val="4395D4"/>
        </w:rPr>
      </w:pPr>
    </w:p>
    <w:p>
      <w:pPr>
        <w:ind w:left="180" w:right="480" w:hanging="178"/>
        <w:spacing w:after="0" w:line="278" w:lineRule="auto"/>
        <w:tabs>
          <w:tab w:leader="none" w:pos="181" w:val="left"/>
        </w:tabs>
        <w:numPr>
          <w:ilvl w:val="0"/>
          <w:numId w:val="119"/>
        </w:numPr>
        <w:rPr>
          <w:rFonts w:ascii="Arial" w:cs="Arial" w:eastAsia="Arial" w:hAnsi="Arial"/>
          <w:sz w:val="14"/>
          <w:szCs w:val="14"/>
          <w:color w:val="4395D4"/>
        </w:rPr>
      </w:pPr>
      <w:r>
        <w:rPr>
          <w:rFonts w:ascii="Arial" w:cs="Arial" w:eastAsia="Arial" w:hAnsi="Arial"/>
          <w:sz w:val="14"/>
          <w:szCs w:val="14"/>
          <w:color w:val="231F20"/>
        </w:rPr>
        <w:t>Closed six water and wastewater acquisitions in four states that added approximately 12,200 customers and nearly $63 million of rate base.</w:t>
      </w:r>
    </w:p>
    <w:p>
      <w:pPr>
        <w:spacing w:after="0" w:line="20" w:lineRule="exact"/>
        <w:rPr>
          <w:sz w:val="20"/>
          <w:szCs w:val="20"/>
          <w:color w:val="auto"/>
        </w:rPr>
      </w:pPr>
      <w:r>
        <w:rPr>
          <w:sz w:val="20"/>
          <w:szCs w:val="20"/>
          <w:color w:val="auto"/>
        </w:rPr>
        <w:br w:type="column"/>
      </w:r>
    </w:p>
    <w:p>
      <w:pPr>
        <w:spacing w:after="0" w:line="133" w:lineRule="exact"/>
        <w:rPr>
          <w:sz w:val="20"/>
          <w:szCs w:val="20"/>
          <w:color w:val="auto"/>
        </w:rPr>
      </w:pPr>
    </w:p>
    <w:p>
      <w:pPr>
        <w:ind w:left="180" w:right="80" w:hanging="180"/>
        <w:spacing w:after="0" w:line="278" w:lineRule="auto"/>
        <w:tabs>
          <w:tab w:leader="none" w:pos="181" w:val="left"/>
        </w:tabs>
        <w:numPr>
          <w:ilvl w:val="0"/>
          <w:numId w:val="120"/>
        </w:numPr>
        <w:rPr>
          <w:rFonts w:ascii="Arial" w:cs="Arial" w:eastAsia="Arial" w:hAnsi="Arial"/>
          <w:sz w:val="14"/>
          <w:szCs w:val="14"/>
          <w:color w:val="4395D4"/>
        </w:rPr>
      </w:pPr>
      <w:r>
        <w:rPr>
          <w:rFonts w:ascii="Arial" w:cs="Arial" w:eastAsia="Arial" w:hAnsi="Arial"/>
          <w:sz w:val="14"/>
          <w:szCs w:val="14"/>
          <w:color w:val="231F20"/>
        </w:rPr>
        <w:t>Led a portfolio review and optimization analysis for Aqua’s and Peoples’ market-based businesses.</w:t>
      </w:r>
    </w:p>
    <w:p>
      <w:pPr>
        <w:spacing w:after="0" w:line="22" w:lineRule="exact"/>
        <w:rPr>
          <w:rFonts w:ascii="Arial" w:cs="Arial" w:eastAsia="Arial" w:hAnsi="Arial"/>
          <w:sz w:val="14"/>
          <w:szCs w:val="14"/>
          <w:color w:val="4395D4"/>
        </w:rPr>
      </w:pPr>
    </w:p>
    <w:p>
      <w:pPr>
        <w:ind w:left="180" w:hanging="180"/>
        <w:spacing w:after="0"/>
        <w:tabs>
          <w:tab w:leader="none" w:pos="180" w:val="left"/>
        </w:tabs>
        <w:numPr>
          <w:ilvl w:val="0"/>
          <w:numId w:val="120"/>
        </w:numPr>
        <w:rPr>
          <w:rFonts w:ascii="Arial" w:cs="Arial" w:eastAsia="Arial" w:hAnsi="Arial"/>
          <w:sz w:val="14"/>
          <w:szCs w:val="14"/>
          <w:color w:val="4395D4"/>
        </w:rPr>
      </w:pPr>
      <w:r>
        <w:rPr>
          <w:rFonts w:ascii="Arial" w:cs="Arial" w:eastAsia="Arial" w:hAnsi="Arial"/>
          <w:sz w:val="14"/>
          <w:szCs w:val="14"/>
          <w:color w:val="231F20"/>
        </w:rPr>
        <w:t>Completed the sale of our unregulated pipeline joint venture.</w:t>
      </w:r>
    </w:p>
    <w:p>
      <w:pPr>
        <w:spacing w:after="0" w:line="221" w:lineRule="exact"/>
        <w:rPr>
          <w:sz w:val="20"/>
          <w:szCs w:val="20"/>
          <w:color w:val="auto"/>
        </w:rPr>
      </w:pPr>
    </w:p>
    <w:p>
      <w:pPr>
        <w:sectPr>
          <w:pgSz w:w="11900" w:h="16838" w:orient="portrait"/>
          <w:cols w:equalWidth="0" w:num="2">
            <w:col w:w="5160" w:space="700"/>
            <w:col w:w="5380"/>
          </w:cols>
          <w:pgMar w:left="320" w:top="637" w:right="339" w:bottom="1440" w:gutter="0" w:footer="0" w:header="0"/>
          <w:type w:val="continuous"/>
        </w:sectPr>
      </w:pPr>
    </w:p>
    <w:p>
      <w:pPr>
        <w:ind w:left="180" w:hanging="178"/>
        <w:spacing w:after="0" w:line="278" w:lineRule="auto"/>
        <w:tabs>
          <w:tab w:leader="none" w:pos="181" w:val="left"/>
        </w:tabs>
        <w:numPr>
          <w:ilvl w:val="0"/>
          <w:numId w:val="121"/>
        </w:numPr>
        <w:rPr>
          <w:rFonts w:ascii="Arial" w:cs="Arial" w:eastAsia="Arial" w:hAnsi="Arial"/>
          <w:sz w:val="14"/>
          <w:szCs w:val="14"/>
          <w:color w:val="4395D4"/>
        </w:rPr>
      </w:pPr>
      <w:r>
        <w:rPr>
          <w:rFonts w:ascii="Arial" w:cs="Arial" w:eastAsia="Arial" w:hAnsi="Arial"/>
          <w:sz w:val="14"/>
          <w:szCs w:val="14"/>
          <w:color w:val="231F20"/>
        </w:rPr>
        <w:t>Signed three asset purchase agreements for approximately $90 million of water and wastewater acquisitions that will add 18,400 customers.</w:t>
      </w:r>
    </w:p>
    <w:p>
      <w:pPr>
        <w:spacing w:after="0" w:line="20" w:lineRule="exact"/>
        <w:rPr>
          <w:sz w:val="20"/>
          <w:szCs w:val="20"/>
          <w:color w:val="auto"/>
        </w:rPr>
      </w:pPr>
      <w:r>
        <w:rPr>
          <w:sz w:val="20"/>
          <w:szCs w:val="20"/>
          <w:color w:val="auto"/>
        </w:rPr>
        <w:br w:type="column"/>
      </w:r>
    </w:p>
    <w:p>
      <w:pPr>
        <w:ind w:left="180" w:right="140" w:hanging="180"/>
        <w:spacing w:after="0" w:line="278" w:lineRule="auto"/>
        <w:tabs>
          <w:tab w:leader="none" w:pos="181" w:val="left"/>
        </w:tabs>
        <w:numPr>
          <w:ilvl w:val="0"/>
          <w:numId w:val="122"/>
        </w:numPr>
        <w:rPr>
          <w:rFonts w:ascii="Arial" w:cs="Arial" w:eastAsia="Arial" w:hAnsi="Arial"/>
          <w:sz w:val="14"/>
          <w:szCs w:val="14"/>
          <w:color w:val="4395D4"/>
        </w:rPr>
      </w:pPr>
      <w:r>
        <w:rPr>
          <w:rFonts w:ascii="Arial" w:cs="Arial" w:eastAsia="Arial" w:hAnsi="Arial"/>
          <w:sz w:val="14"/>
          <w:szCs w:val="14"/>
          <w:color w:val="231F20"/>
        </w:rPr>
        <w:t>Led internal process to define the future growth strategy of the Company, along with a game plan for each state and functional area.</w:t>
      </w:r>
    </w:p>
    <w:p>
      <w:pPr>
        <w:spacing w:after="0" w:line="22" w:lineRule="exact"/>
        <w:rPr>
          <w:rFonts w:ascii="Arial" w:cs="Arial" w:eastAsia="Arial" w:hAnsi="Arial"/>
          <w:sz w:val="14"/>
          <w:szCs w:val="14"/>
          <w:color w:val="4395D4"/>
        </w:rPr>
      </w:pPr>
    </w:p>
    <w:p>
      <w:pPr>
        <w:ind w:left="180" w:right="60" w:hanging="180"/>
        <w:spacing w:after="0" w:line="278" w:lineRule="auto"/>
        <w:tabs>
          <w:tab w:leader="none" w:pos="181" w:val="left"/>
        </w:tabs>
        <w:numPr>
          <w:ilvl w:val="0"/>
          <w:numId w:val="122"/>
        </w:numPr>
        <w:rPr>
          <w:rFonts w:ascii="Arial" w:cs="Arial" w:eastAsia="Arial" w:hAnsi="Arial"/>
          <w:sz w:val="14"/>
          <w:szCs w:val="14"/>
          <w:color w:val="4395D4"/>
        </w:rPr>
      </w:pPr>
      <w:r>
        <w:rPr>
          <w:rFonts w:ascii="Arial" w:cs="Arial" w:eastAsia="Arial" w:hAnsi="Arial"/>
          <w:sz w:val="14"/>
          <w:szCs w:val="14"/>
          <w:color w:val="231F20"/>
        </w:rPr>
        <w:t>Actively monitored the landscape of public and private investor owned water and wastewater utilities and analyzed potential opportunities.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-3719195</wp:posOffset>
            </wp:positionH>
            <wp:positionV relativeFrom="paragraph">
              <wp:posOffset>68580</wp:posOffset>
            </wp:positionV>
            <wp:extent cx="7139940" cy="825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139940"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260" w:space="600"/>
            <w:col w:w="5380"/>
          </w:cols>
          <w:pgMar w:left="320" w:top="637" w:right="339" w:bottom="1440" w:gutter="0" w:footer="0" w:header="0"/>
          <w:type w:val="continuous"/>
        </w:sectPr>
      </w:pPr>
    </w:p>
    <w:p>
      <w:pPr>
        <w:spacing w:after="0" w:line="45" w:lineRule="exact"/>
        <w:rPr>
          <w:sz w:val="20"/>
          <w:szCs w:val="20"/>
          <w:color w:val="auto"/>
        </w:rPr>
      </w:pPr>
    </w:p>
    <w:p>
      <w:pPr>
        <w:spacing w:after="0"/>
        <w:rPr>
          <w:sz w:val="20"/>
          <w:szCs w:val="20"/>
          <w:color w:val="auto"/>
        </w:rPr>
      </w:pPr>
      <w:r>
        <w:rPr>
          <w:rFonts w:ascii="Arial" w:cs="Arial" w:eastAsia="Arial" w:hAnsi="Arial"/>
          <w:sz w:val="27"/>
          <w:szCs w:val="27"/>
          <w:b w:val="1"/>
          <w:bCs w:val="1"/>
          <w:color w:val="4395D4"/>
        </w:rPr>
        <w:t>Christopher P. Luning</w:t>
      </w:r>
    </w:p>
    <w:p>
      <w:pPr>
        <w:spacing w:after="0" w:line="182" w:lineRule="exact"/>
        <w:rPr>
          <w:sz w:val="20"/>
          <w:szCs w:val="20"/>
          <w:color w:val="auto"/>
        </w:rPr>
      </w:pPr>
    </w:p>
    <w:p>
      <w:pPr>
        <w:spacing w:after="0"/>
        <w:rPr>
          <w:sz w:val="20"/>
          <w:szCs w:val="20"/>
          <w:color w:val="auto"/>
        </w:rPr>
      </w:pPr>
      <w:r>
        <w:rPr>
          <w:rFonts w:ascii="Arial" w:cs="Arial" w:eastAsia="Arial" w:hAnsi="Arial"/>
          <w:sz w:val="14"/>
          <w:szCs w:val="14"/>
          <w:color w:val="231F20"/>
        </w:rPr>
        <w:t>Executive Vice President, General Counsel and Secretary</w:t>
      </w:r>
    </w:p>
    <w:p>
      <w:pPr>
        <w:spacing w:after="0" w:line="142" w:lineRule="exact"/>
        <w:rPr>
          <w:sz w:val="20"/>
          <w:szCs w:val="20"/>
          <w:color w:val="auto"/>
        </w:rPr>
      </w:pPr>
    </w:p>
    <w:p>
      <w:pPr>
        <w:spacing w:after="0"/>
        <w:tabs>
          <w:tab w:leader="none" w:pos="5840" w:val="left"/>
        </w:tabs>
        <w:rPr>
          <w:sz w:val="20"/>
          <w:szCs w:val="20"/>
          <w:color w:val="auto"/>
        </w:rPr>
      </w:pPr>
      <w:r>
        <w:rPr>
          <w:rFonts w:ascii="Arial" w:cs="Arial" w:eastAsia="Arial" w:hAnsi="Arial"/>
          <w:sz w:val="16"/>
          <w:szCs w:val="16"/>
          <w:b w:val="1"/>
          <w:bCs w:val="1"/>
          <w:color w:val="4395D4"/>
        </w:rPr>
        <w:t>Responsibilities</w:t>
      </w:r>
      <w:r>
        <w:rPr>
          <w:sz w:val="20"/>
          <w:szCs w:val="20"/>
          <w:color w:val="auto"/>
        </w:rPr>
        <w:tab/>
      </w:r>
      <w:r>
        <w:rPr>
          <w:rFonts w:ascii="Arial" w:cs="Arial" w:eastAsia="Arial" w:hAnsi="Arial"/>
          <w:sz w:val="16"/>
          <w:szCs w:val="16"/>
          <w:b w:val="1"/>
          <w:bCs w:val="1"/>
          <w:color w:val="231F20"/>
        </w:rPr>
        <w:t>2020 Total Compensation Pay Mix</w:t>
      </w:r>
    </w:p>
    <w:p>
      <w:pPr>
        <w:sectPr>
          <w:pgSz w:w="11900" w:h="16838" w:orient="portrait"/>
          <w:cols w:equalWidth="0" w:num="1">
            <w:col w:w="11240"/>
          </w:cols>
          <w:pgMar w:left="320" w:top="637" w:right="339" w:bottom="1440" w:gutter="0" w:footer="0" w:header="0"/>
          <w:type w:val="continuous"/>
        </w:sectPr>
      </w:pPr>
    </w:p>
    <w:p>
      <w:pPr>
        <w:spacing w:after="0" w:line="164" w:lineRule="exact"/>
        <w:rPr>
          <w:sz w:val="20"/>
          <w:szCs w:val="20"/>
          <w:color w:val="auto"/>
        </w:rPr>
      </w:pPr>
    </w:p>
    <w:p>
      <w:pPr>
        <w:ind w:right="100"/>
        <w:spacing w:after="0" w:line="238" w:lineRule="auto"/>
        <w:rPr>
          <w:sz w:val="20"/>
          <w:szCs w:val="20"/>
          <w:color w:val="auto"/>
        </w:rPr>
      </w:pPr>
      <w:r>
        <w:rPr>
          <w:rFonts w:ascii="Arial" w:cs="Arial" w:eastAsia="Arial" w:hAnsi="Arial"/>
          <w:sz w:val="14"/>
          <w:szCs w:val="14"/>
          <w:color w:val="231F20"/>
        </w:rPr>
        <w:t>Mr. Luning is responsible for acting as a legal and business advisor to the Board of Directors, the CEO, and the senior leadership team. In addition, this position is responsible for the Corporation’s Legal, Internal Audit, and Records Department, is the Company’s designated SEC Compliance Officer, and is responsible for the Corporation’s risk management including its Enterprise Risk Management program and its Insurance policies and programs.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7"/>
          <w:szCs w:val="17"/>
          <w:b w:val="1"/>
          <w:bCs w:val="1"/>
          <w:color w:val="4395D4"/>
        </w:rPr>
        <w:t>2020 Key Accomplishments</w:t>
      </w:r>
    </w:p>
    <w:p>
      <w:pPr>
        <w:spacing w:after="0" w:line="153" w:lineRule="exact"/>
        <w:rPr>
          <w:sz w:val="20"/>
          <w:szCs w:val="20"/>
          <w:color w:val="auto"/>
        </w:rPr>
      </w:pPr>
    </w:p>
    <w:p>
      <w:pPr>
        <w:ind w:left="180" w:hanging="178"/>
        <w:spacing w:after="0"/>
        <w:tabs>
          <w:tab w:leader="none" w:pos="180" w:val="left"/>
        </w:tabs>
        <w:numPr>
          <w:ilvl w:val="0"/>
          <w:numId w:val="123"/>
        </w:numPr>
        <w:rPr>
          <w:rFonts w:ascii="Arial" w:cs="Arial" w:eastAsia="Arial" w:hAnsi="Arial"/>
          <w:sz w:val="14"/>
          <w:szCs w:val="14"/>
          <w:color w:val="4395D4"/>
        </w:rPr>
      </w:pPr>
      <w:r>
        <w:rPr>
          <w:rFonts w:ascii="Arial" w:cs="Arial" w:eastAsia="Arial" w:hAnsi="Arial"/>
          <w:sz w:val="14"/>
          <w:szCs w:val="14"/>
          <w:color w:val="231F20"/>
        </w:rPr>
        <w:t>Integrated Aqua/Peoples legal, risk, and insurance programs.</w:t>
      </w:r>
    </w:p>
    <w:p>
      <w:pPr>
        <w:spacing w:after="0" w:line="81" w:lineRule="exact"/>
        <w:rPr>
          <w:rFonts w:ascii="Arial" w:cs="Arial" w:eastAsia="Arial" w:hAnsi="Arial"/>
          <w:sz w:val="14"/>
          <w:szCs w:val="14"/>
          <w:color w:val="4395D4"/>
        </w:rPr>
      </w:pPr>
    </w:p>
    <w:p>
      <w:pPr>
        <w:ind w:left="180" w:right="100" w:hanging="178"/>
        <w:spacing w:after="0" w:line="278" w:lineRule="auto"/>
        <w:tabs>
          <w:tab w:leader="none" w:pos="181" w:val="left"/>
        </w:tabs>
        <w:numPr>
          <w:ilvl w:val="0"/>
          <w:numId w:val="123"/>
        </w:numPr>
        <w:rPr>
          <w:rFonts w:ascii="Arial" w:cs="Arial" w:eastAsia="Arial" w:hAnsi="Arial"/>
          <w:sz w:val="14"/>
          <w:szCs w:val="14"/>
          <w:color w:val="4395D4"/>
        </w:rPr>
      </w:pPr>
      <w:r>
        <w:rPr>
          <w:rFonts w:ascii="Arial" w:cs="Arial" w:eastAsia="Arial" w:hAnsi="Arial"/>
          <w:sz w:val="14"/>
          <w:szCs w:val="14"/>
          <w:color w:val="231F20"/>
        </w:rPr>
        <w:t>Executed companywide PFAS strategy including protecting Company’s interests in court proceedings.</w:t>
      </w:r>
    </w:p>
    <w:p>
      <w:pPr>
        <w:spacing w:after="0" w:line="22" w:lineRule="exact"/>
        <w:rPr>
          <w:rFonts w:ascii="Arial" w:cs="Arial" w:eastAsia="Arial" w:hAnsi="Arial"/>
          <w:sz w:val="14"/>
          <w:szCs w:val="14"/>
          <w:color w:val="4395D4"/>
        </w:rPr>
      </w:pPr>
    </w:p>
    <w:p>
      <w:pPr>
        <w:ind w:left="180" w:hanging="178"/>
        <w:spacing w:after="0" w:line="278" w:lineRule="auto"/>
        <w:tabs>
          <w:tab w:leader="none" w:pos="181" w:val="left"/>
        </w:tabs>
        <w:numPr>
          <w:ilvl w:val="0"/>
          <w:numId w:val="123"/>
        </w:numPr>
        <w:rPr>
          <w:rFonts w:ascii="Arial" w:cs="Arial" w:eastAsia="Arial" w:hAnsi="Arial"/>
          <w:sz w:val="14"/>
          <w:szCs w:val="14"/>
          <w:color w:val="4395D4"/>
        </w:rPr>
      </w:pPr>
      <w:r>
        <w:rPr>
          <w:rFonts w:ascii="Arial" w:cs="Arial" w:eastAsia="Arial" w:hAnsi="Arial"/>
          <w:sz w:val="14"/>
          <w:szCs w:val="14"/>
          <w:color w:val="231F20"/>
        </w:rPr>
        <w:t>Led the Peoples closing, including securing $331 million in term loans and closing the $750 million in PIPE financing.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84455</wp:posOffset>
            </wp:positionV>
            <wp:extent cx="7139940" cy="825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13994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left="180" w:right="520" w:hanging="180"/>
        <w:spacing w:after="0" w:line="278" w:lineRule="auto"/>
        <w:tabs>
          <w:tab w:leader="none" w:pos="181" w:val="left"/>
        </w:tabs>
        <w:numPr>
          <w:ilvl w:val="0"/>
          <w:numId w:val="124"/>
        </w:numPr>
        <w:rPr>
          <w:rFonts w:ascii="Arial" w:cs="Arial" w:eastAsia="Arial" w:hAnsi="Arial"/>
          <w:sz w:val="14"/>
          <w:szCs w:val="14"/>
          <w:color w:val="4395D4"/>
        </w:rPr>
      </w:pPr>
      <w:r>
        <w:rPr>
          <w:rFonts w:ascii="Arial" w:cs="Arial" w:eastAsia="Arial" w:hAnsi="Arial"/>
          <w:sz w:val="14"/>
          <w:szCs w:val="14"/>
          <w:color w:val="231F20"/>
        </w:rPr>
        <w:t>Led the Company’s legal efforts to progress the closing of the Company’s DELCORA Acquisition.</w:t>
      </w:r>
    </w:p>
    <w:p>
      <w:pPr>
        <w:spacing w:after="0" w:line="22" w:lineRule="exact"/>
        <w:rPr>
          <w:rFonts w:ascii="Arial" w:cs="Arial" w:eastAsia="Arial" w:hAnsi="Arial"/>
          <w:sz w:val="14"/>
          <w:szCs w:val="14"/>
          <w:color w:val="4395D4"/>
        </w:rPr>
      </w:pPr>
    </w:p>
    <w:p>
      <w:pPr>
        <w:ind w:left="180" w:right="20" w:hanging="180"/>
        <w:spacing w:after="0" w:line="278" w:lineRule="auto"/>
        <w:tabs>
          <w:tab w:leader="none" w:pos="181" w:val="left"/>
        </w:tabs>
        <w:numPr>
          <w:ilvl w:val="0"/>
          <w:numId w:val="124"/>
        </w:numPr>
        <w:rPr>
          <w:rFonts w:ascii="Arial" w:cs="Arial" w:eastAsia="Arial" w:hAnsi="Arial"/>
          <w:sz w:val="14"/>
          <w:szCs w:val="14"/>
          <w:color w:val="4395D4"/>
        </w:rPr>
      </w:pPr>
      <w:r>
        <w:rPr>
          <w:rFonts w:ascii="Arial" w:cs="Arial" w:eastAsia="Arial" w:hAnsi="Arial"/>
          <w:sz w:val="14"/>
          <w:szCs w:val="14"/>
          <w:color w:val="231F20"/>
        </w:rPr>
        <w:t xml:space="preserve">Led legal team in the $1.1 billion public debt offering and the </w:t>
      </w:r>
      <w:r>
        <w:rPr>
          <w:rFonts w:ascii="Arial" w:cs="Arial" w:eastAsia="Arial" w:hAnsi="Arial"/>
          <w:sz w:val="14"/>
          <w:szCs w:val="14"/>
          <w:color w:val="000000"/>
        </w:rPr>
        <w:t>$308 million forward</w:t>
      </w:r>
      <w:r>
        <w:rPr>
          <w:rFonts w:ascii="Arial" w:cs="Arial" w:eastAsia="Arial" w:hAnsi="Arial"/>
          <w:sz w:val="14"/>
          <w:szCs w:val="14"/>
          <w:color w:val="231F20"/>
        </w:rPr>
        <w:t xml:space="preserve"> </w:t>
      </w:r>
      <w:r>
        <w:rPr>
          <w:rFonts w:ascii="Arial" w:cs="Arial" w:eastAsia="Arial" w:hAnsi="Arial"/>
          <w:sz w:val="14"/>
          <w:szCs w:val="14"/>
          <w:color w:val="000000"/>
        </w:rPr>
        <w:t>sale of common equity.</w:t>
      </w:r>
    </w:p>
    <w:p>
      <w:pPr>
        <w:spacing w:after="0" w:line="22" w:lineRule="exact"/>
        <w:rPr>
          <w:rFonts w:ascii="Arial" w:cs="Arial" w:eastAsia="Arial" w:hAnsi="Arial"/>
          <w:sz w:val="14"/>
          <w:szCs w:val="14"/>
          <w:color w:val="4395D4"/>
        </w:rPr>
      </w:pPr>
    </w:p>
    <w:p>
      <w:pPr>
        <w:ind w:left="180" w:hanging="180"/>
        <w:spacing w:after="0"/>
        <w:tabs>
          <w:tab w:leader="none" w:pos="180" w:val="left"/>
        </w:tabs>
        <w:numPr>
          <w:ilvl w:val="0"/>
          <w:numId w:val="124"/>
        </w:numPr>
        <w:rPr>
          <w:rFonts w:ascii="Arial" w:cs="Arial" w:eastAsia="Arial" w:hAnsi="Arial"/>
          <w:sz w:val="14"/>
          <w:szCs w:val="14"/>
          <w:color w:val="4395D4"/>
        </w:rPr>
      </w:pPr>
      <w:r>
        <w:rPr>
          <w:rFonts w:ascii="Arial" w:cs="Arial" w:eastAsia="Arial" w:hAnsi="Arial"/>
          <w:sz w:val="14"/>
          <w:szCs w:val="14"/>
          <w:color w:val="231F20"/>
        </w:rPr>
        <w:t>Led the legal defense of the Company’s large litigation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-2073910</wp:posOffset>
            </wp:positionV>
            <wp:extent cx="2917825" cy="106997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2917825" cy="1069975"/>
                    </a:xfrm>
                    <a:prstGeom prst="rect">
                      <a:avLst/>
                    </a:prstGeom>
                    <a:noFill/>
                  </pic:spPr>
                </pic:pic>
              </a:graphicData>
            </a:graphic>
          </wp:anchor>
        </w:drawing>
      </w:r>
    </w:p>
    <w:p>
      <w:pPr>
        <w:spacing w:after="0" w:line="237" w:lineRule="exact"/>
        <w:rPr>
          <w:sz w:val="20"/>
          <w:szCs w:val="20"/>
          <w:color w:val="auto"/>
        </w:rPr>
      </w:pPr>
    </w:p>
    <w:p>
      <w:pPr>
        <w:sectPr>
          <w:pgSz w:w="11900" w:h="16838" w:orient="portrait"/>
          <w:cols w:equalWidth="0" w:num="2">
            <w:col w:w="5400" w:space="460"/>
            <w:col w:w="5380"/>
          </w:cols>
          <w:pgMar w:left="320" w:top="637" w:right="339" w:bottom="1440" w:gutter="0" w:footer="0" w:header="0"/>
          <w:type w:val="continuous"/>
        </w:sectPr>
      </w:pPr>
    </w:p>
    <w:p>
      <w:pPr>
        <w:ind w:left="7940"/>
        <w:spacing w:after="0"/>
        <w:tabs>
          <w:tab w:leader="none" w:pos="11060" w:val="left"/>
        </w:tabs>
        <w:rPr>
          <w:sz w:val="20"/>
          <w:szCs w:val="20"/>
          <w:color w:val="auto"/>
        </w:rPr>
      </w:pPr>
      <w:r>
        <w:rPr>
          <w:rFonts w:ascii="Arial" w:cs="Arial" w:eastAsia="Arial" w:hAnsi="Arial"/>
          <w:sz w:val="12"/>
          <w:szCs w:val="12"/>
          <w:color w:val="4395D4"/>
        </w:rPr>
        <w:t xml:space="preserve">ESSENTIAL UTILITIES, INC. </w:t>
      </w:r>
      <w:r>
        <w:rPr>
          <w:rFonts w:ascii="Arial" w:cs="Arial" w:eastAsia="Arial" w:hAnsi="Arial"/>
          <w:sz w:val="12"/>
          <w:szCs w:val="12"/>
          <w:color w:val="455986"/>
        </w:rPr>
        <w:t>2021 PROXY STATEMENT</w:t>
      </w:r>
      <w:r>
        <w:rPr>
          <w:sz w:val="20"/>
          <w:szCs w:val="20"/>
          <w:color w:val="auto"/>
        </w:rPr>
        <w:tab/>
      </w:r>
      <w:r>
        <w:rPr>
          <w:rFonts w:ascii="Arial" w:cs="Arial" w:eastAsia="Arial" w:hAnsi="Arial"/>
          <w:sz w:val="14"/>
          <w:szCs w:val="14"/>
          <w:color w:val="455986"/>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346710</wp:posOffset>
            </wp:positionV>
            <wp:extent cx="7139940" cy="2413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139940" cy="24130"/>
                    </a:xfrm>
                    <a:prstGeom prst="rect">
                      <a:avLst/>
                    </a:prstGeom>
                    <a:noFill/>
                  </pic:spPr>
                </pic:pic>
              </a:graphicData>
            </a:graphic>
          </wp:anchor>
        </w:drawing>
      </w:r>
    </w:p>
    <w:p>
      <w:pPr>
        <w:sectPr>
          <w:pgSz w:w="11900" w:h="16838" w:orient="portrait"/>
          <w:cols w:equalWidth="0" w:num="1">
            <w:col w:w="11240"/>
          </w:cols>
          <w:pgMar w:left="320" w:top="637" w:right="339" w:bottom="1440" w:gutter="0" w:footer="0" w:header="0"/>
          <w:type w:val="continuous"/>
        </w:sectPr>
      </w:pPr>
    </w:p>
    <w:bookmarkStart w:id="66" w:name="page67"/>
    <w:bookmarkEnd w:id="66"/>
    <w:p>
      <w:pPr>
        <w:spacing w:after="0"/>
        <w:rPr>
          <w:sz w:val="20"/>
          <w:szCs w:val="20"/>
          <w:color w:val="auto"/>
        </w:rPr>
      </w:pPr>
      <w:r>
        <w:rPr>
          <w:rFonts w:ascii="Arial" w:cs="Arial" w:eastAsia="Arial" w:hAnsi="Arial"/>
          <w:sz w:val="14"/>
          <w:szCs w:val="14"/>
          <w:b w:val="1"/>
          <w:bCs w:val="1"/>
          <w:color w:val="455986"/>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27940</wp:posOffset>
            </wp:positionV>
            <wp:extent cx="7139940" cy="825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139940" cy="8255"/>
                    </a:xfrm>
                    <a:prstGeom prst="rect">
                      <a:avLst/>
                    </a:prstGeom>
                    <a:noFill/>
                  </pic:spPr>
                </pic:pic>
              </a:graphicData>
            </a:graphic>
          </wp:anchor>
        </w:drawing>
      </w:r>
    </w:p>
    <w:p>
      <w:pPr>
        <w:spacing w:after="0" w:line="76" w:lineRule="exact"/>
        <w:rPr>
          <w:sz w:val="20"/>
          <w:szCs w:val="20"/>
          <w:color w:val="auto"/>
        </w:rPr>
      </w:pPr>
    </w:p>
    <w:p>
      <w:pPr>
        <w:spacing w:after="0"/>
        <w:rPr>
          <w:sz w:val="20"/>
          <w:szCs w:val="20"/>
          <w:color w:val="auto"/>
        </w:rPr>
      </w:pPr>
      <w:r>
        <w:rPr>
          <w:rFonts w:ascii="Arial" w:cs="Arial" w:eastAsia="Arial" w:hAnsi="Arial"/>
          <w:sz w:val="14"/>
          <w:szCs w:val="14"/>
          <w:color w:val="4395D4"/>
        </w:rPr>
        <w:t xml:space="preserve">Section 5 </w:t>
      </w:r>
      <w:r>
        <w:rPr>
          <w:rFonts w:ascii="Arial" w:cs="Arial" w:eastAsia="Arial" w:hAnsi="Arial"/>
          <w:sz w:val="14"/>
          <w:szCs w:val="14"/>
          <w:color w:val="231F20"/>
        </w:rPr>
        <w:t>Our 2021 Short- and Long-Term Incentive Program</w:t>
      </w:r>
    </w:p>
    <w:p>
      <w:pPr>
        <w:spacing w:after="0" w:line="145" w:lineRule="exact"/>
        <w:rPr>
          <w:sz w:val="20"/>
          <w:szCs w:val="20"/>
          <w:color w:val="auto"/>
        </w:rPr>
      </w:pPr>
    </w:p>
    <w:p>
      <w:pPr>
        <w:spacing w:after="0"/>
        <w:rPr>
          <w:sz w:val="20"/>
          <w:szCs w:val="20"/>
          <w:color w:val="auto"/>
        </w:rPr>
      </w:pPr>
      <w:r>
        <w:rPr>
          <w:rFonts w:ascii="Arial" w:cs="Arial" w:eastAsia="Arial" w:hAnsi="Arial"/>
          <w:sz w:val="34"/>
          <w:szCs w:val="34"/>
          <w:b w:val="1"/>
          <w:bCs w:val="1"/>
          <w:color w:val="4395D4"/>
        </w:rPr>
        <w:t>Section 5</w:t>
      </w:r>
    </w:p>
    <w:p>
      <w:pPr>
        <w:spacing w:after="0" w:line="175" w:lineRule="exact"/>
        <w:rPr>
          <w:sz w:val="20"/>
          <w:szCs w:val="20"/>
          <w:color w:val="auto"/>
        </w:rPr>
      </w:pPr>
    </w:p>
    <w:p>
      <w:pPr>
        <w:spacing w:after="0"/>
        <w:rPr>
          <w:sz w:val="20"/>
          <w:szCs w:val="20"/>
          <w:color w:val="auto"/>
        </w:rPr>
      </w:pPr>
      <w:r>
        <w:rPr>
          <w:rFonts w:ascii="Arial" w:cs="Arial" w:eastAsia="Arial" w:hAnsi="Arial"/>
          <w:sz w:val="24"/>
          <w:szCs w:val="24"/>
          <w:b w:val="1"/>
          <w:bCs w:val="1"/>
          <w:color w:val="455986"/>
        </w:rPr>
        <w:t>Our 2021 Short- and Long-Term Incentive Program</w:t>
      </w:r>
    </w:p>
    <w:p>
      <w:pPr>
        <w:spacing w:after="0" w:line="156" w:lineRule="exact"/>
        <w:rPr>
          <w:sz w:val="20"/>
          <w:szCs w:val="20"/>
          <w:color w:val="auto"/>
        </w:rPr>
      </w:pPr>
    </w:p>
    <w:p>
      <w:pPr>
        <w:spacing w:after="0"/>
        <w:rPr>
          <w:sz w:val="20"/>
          <w:szCs w:val="20"/>
          <w:color w:val="auto"/>
        </w:rPr>
      </w:pPr>
      <w:r>
        <w:rPr>
          <w:rFonts w:ascii="Arial" w:cs="Arial" w:eastAsia="Arial" w:hAnsi="Arial"/>
          <w:sz w:val="20"/>
          <w:szCs w:val="20"/>
          <w:b w:val="1"/>
          <w:bCs w:val="1"/>
          <w:color w:val="231F20"/>
        </w:rPr>
        <w:t>2021 Short-Term Incentive Program</w:t>
      </w:r>
    </w:p>
    <w:p>
      <w:pPr>
        <w:spacing w:after="0" w:line="162" w:lineRule="exact"/>
        <w:rPr>
          <w:sz w:val="20"/>
          <w:szCs w:val="20"/>
          <w:color w:val="auto"/>
        </w:rPr>
      </w:pPr>
    </w:p>
    <w:p>
      <w:pPr>
        <w:spacing w:after="0"/>
        <w:rPr>
          <w:sz w:val="20"/>
          <w:szCs w:val="20"/>
          <w:color w:val="auto"/>
        </w:rPr>
      </w:pPr>
      <w:r>
        <w:rPr>
          <w:rFonts w:ascii="Arial" w:cs="Arial" w:eastAsia="Arial" w:hAnsi="Arial"/>
          <w:sz w:val="17"/>
          <w:szCs w:val="17"/>
          <w:b w:val="1"/>
          <w:bCs w:val="1"/>
          <w:color w:val="4395D4"/>
        </w:rPr>
        <w:t>New Diversity and Environmental Stewardship Metrics</w:t>
      </w:r>
    </w:p>
    <w:p>
      <w:pPr>
        <w:spacing w:after="0" w:line="153" w:lineRule="exact"/>
        <w:rPr>
          <w:sz w:val="20"/>
          <w:szCs w:val="20"/>
          <w:color w:val="auto"/>
        </w:rPr>
      </w:pPr>
    </w:p>
    <w:p>
      <w:pPr>
        <w:ind w:right="20"/>
        <w:spacing w:after="0" w:line="245" w:lineRule="auto"/>
        <w:rPr>
          <w:sz w:val="20"/>
          <w:szCs w:val="20"/>
          <w:color w:val="auto"/>
        </w:rPr>
      </w:pPr>
      <w:r>
        <w:rPr>
          <w:rFonts w:ascii="Arial" w:cs="Arial" w:eastAsia="Arial" w:hAnsi="Arial"/>
          <w:sz w:val="14"/>
          <w:szCs w:val="14"/>
          <w:color w:val="231F20"/>
        </w:rPr>
        <w:t>For 2021, we are adding a new diversity metric (10% weighting) to our short-term incentive plan. The goal is to tie our diversity targets directly to executive compensation, encouraging our NEOs to recognize and build diversity in our operations. Besides our financial performance measures, the plan includes metrics around water and wastewater compliance, gas leaks and infrastructure improvement, customer satisfaction, and employee safety. We believe this incentive program builds on and supports an already strong foundation of management oversight of ESG.</w:t>
      </w:r>
    </w:p>
    <w:p>
      <w:pPr>
        <w:spacing w:after="0" w:line="108" w:lineRule="exact"/>
        <w:rPr>
          <w:sz w:val="20"/>
          <w:szCs w:val="20"/>
          <w:color w:val="auto"/>
        </w:rPr>
      </w:pPr>
    </w:p>
    <w:p>
      <w:pPr>
        <w:spacing w:after="0"/>
        <w:rPr>
          <w:sz w:val="20"/>
          <w:szCs w:val="20"/>
          <w:color w:val="auto"/>
        </w:rPr>
      </w:pPr>
      <w:r>
        <w:rPr>
          <w:rFonts w:ascii="Arial" w:cs="Arial" w:eastAsia="Arial" w:hAnsi="Arial"/>
          <w:sz w:val="14"/>
          <w:szCs w:val="14"/>
          <w:color w:val="231F20"/>
        </w:rPr>
        <w:t>The goal is to encourage our executive to focus on core issues associated with driving long-term shareholder growth and to recognize and build diversity in our operations.</w:t>
      </w:r>
    </w:p>
    <w:p>
      <w:pPr>
        <w:spacing w:after="0" w:line="145" w:lineRule="exact"/>
        <w:rPr>
          <w:sz w:val="20"/>
          <w:szCs w:val="20"/>
          <w:color w:val="auto"/>
        </w:rPr>
      </w:pPr>
    </w:p>
    <w:p>
      <w:pPr>
        <w:ind w:right="380"/>
        <w:spacing w:after="0" w:line="278" w:lineRule="auto"/>
        <w:rPr>
          <w:sz w:val="20"/>
          <w:szCs w:val="20"/>
          <w:color w:val="auto"/>
        </w:rPr>
      </w:pPr>
      <w:r>
        <w:rPr>
          <w:rFonts w:ascii="Arial" w:cs="Arial" w:eastAsia="Arial" w:hAnsi="Arial"/>
          <w:sz w:val="14"/>
          <w:szCs w:val="14"/>
          <w:color w:val="231F20"/>
        </w:rPr>
        <w:t>We are proud of the progress we have made in diversity, but we believe we can improve. As a Company, we have set goals to make a difference and are sharing our data openly to hold ourselves accountable, but we are also working with our customers and partners in the industry to move faster together to diversity, inclusion and equity.</w:t>
      </w:r>
    </w:p>
    <w:p>
      <w:pPr>
        <w:spacing w:after="0" w:line="86" w:lineRule="exact"/>
        <w:rPr>
          <w:sz w:val="20"/>
          <w:szCs w:val="20"/>
          <w:color w:val="auto"/>
        </w:rPr>
      </w:pPr>
    </w:p>
    <w:p>
      <w:pPr>
        <w:ind w:right="140"/>
        <w:spacing w:after="0" w:line="245" w:lineRule="auto"/>
        <w:rPr>
          <w:sz w:val="20"/>
          <w:szCs w:val="20"/>
          <w:color w:val="auto"/>
        </w:rPr>
      </w:pPr>
      <w:r>
        <w:rPr>
          <w:rFonts w:ascii="Arial" w:cs="Arial" w:eastAsia="Arial" w:hAnsi="Arial"/>
          <w:sz w:val="14"/>
          <w:szCs w:val="14"/>
          <w:color w:val="231F20"/>
        </w:rPr>
        <w:t>Essential believes that supplier diversity is critical for our communities as well as for our business. We want to source from and partner with businesses owned by individuals representative of the diverse communities and neighborhoods where we live, work, and operate each day. This also enriches and strengthens local economies, increases sourcing options, and fosters collaboration and innovation. We have a multiyear plan of increasing the proportion of controllable spend with diverse suppliers from 8.6% today across the company to 15%.</w:t>
      </w:r>
    </w:p>
    <w:p>
      <w:pPr>
        <w:spacing w:after="0" w:line="105" w:lineRule="exact"/>
        <w:rPr>
          <w:sz w:val="20"/>
          <w:szCs w:val="20"/>
          <w:color w:val="auto"/>
        </w:rPr>
      </w:pPr>
    </w:p>
    <w:p>
      <w:pPr>
        <w:spacing w:after="0"/>
        <w:rPr>
          <w:sz w:val="20"/>
          <w:szCs w:val="20"/>
          <w:color w:val="auto"/>
        </w:rPr>
      </w:pPr>
      <w:r>
        <w:rPr>
          <w:rFonts w:ascii="Arial" w:cs="Arial" w:eastAsia="Arial" w:hAnsi="Arial"/>
          <w:sz w:val="17"/>
          <w:szCs w:val="17"/>
          <w:b w:val="1"/>
          <w:bCs w:val="1"/>
          <w:color w:val="231F20"/>
        </w:rPr>
        <w:t>Proposed 2021 Essential Short-Term Incentive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110490</wp:posOffset>
            </wp:positionV>
            <wp:extent cx="5421630" cy="168592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5421630" cy="16859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ind w:right="140"/>
        <w:spacing w:after="0"/>
        <w:rPr>
          <w:sz w:val="20"/>
          <w:szCs w:val="20"/>
          <w:color w:val="auto"/>
        </w:rPr>
      </w:pPr>
      <w:r>
        <w:rPr>
          <w:rFonts w:ascii="Arial" w:cs="Arial" w:eastAsia="Arial" w:hAnsi="Arial"/>
          <w:sz w:val="14"/>
          <w:szCs w:val="14"/>
          <w:color w:val="231F20"/>
        </w:rPr>
        <w:t>The utilities industry has lagged other sectors in attracting and retaining employees of color. Essential sees great opportunity to strengthen our diversity, equity, and inclusion program. The goal we are setting is based on local labor demographic data to ensure that our employee diversity reflects the communities that we serve. We have a range of diverse recruitment tactics and we believe tying compensation to this is the right decision to accelerate change. We also want to ensure employees of color experience equity and inclusion at Essential. This is why in recent years we have introduced unconscious bias training workshops and employee resource groups, and plan to adopt further supporting practices to achieve our multi-year target of 17% employees of color.</w:t>
      </w:r>
    </w:p>
    <w:p>
      <w:pPr>
        <w:spacing w:after="0" w:line="114" w:lineRule="exact"/>
        <w:rPr>
          <w:sz w:val="20"/>
          <w:szCs w:val="20"/>
          <w:color w:val="auto"/>
        </w:rPr>
      </w:pPr>
    </w:p>
    <w:p>
      <w:pPr>
        <w:spacing w:after="0" w:line="253" w:lineRule="auto"/>
        <w:rPr>
          <w:sz w:val="20"/>
          <w:szCs w:val="20"/>
          <w:color w:val="auto"/>
        </w:rPr>
      </w:pPr>
      <w:r>
        <w:rPr>
          <w:rFonts w:ascii="Arial" w:cs="Arial" w:eastAsia="Arial" w:hAnsi="Arial"/>
          <w:sz w:val="14"/>
          <w:szCs w:val="14"/>
          <w:color w:val="231F20"/>
        </w:rPr>
        <w:t>Besides financial measures and this new 10% weighting on diversity, our short-term incentive plan includes metrics around water and wastewater compliance, gas leaks and infrastructure improvement, customer satisfaction, and employee safety. We believe this incentive program builds on and supports an already strong foundation of management oversight of ESG.</w:t>
      </w:r>
    </w:p>
    <w:p>
      <w:pPr>
        <w:spacing w:after="0" w:line="103" w:lineRule="exact"/>
        <w:rPr>
          <w:sz w:val="20"/>
          <w:szCs w:val="20"/>
          <w:color w:val="auto"/>
        </w:rPr>
      </w:pPr>
    </w:p>
    <w:p>
      <w:pPr>
        <w:spacing w:after="0"/>
        <w:rPr>
          <w:sz w:val="20"/>
          <w:szCs w:val="20"/>
          <w:color w:val="auto"/>
        </w:rPr>
      </w:pPr>
      <w:r>
        <w:rPr>
          <w:rFonts w:ascii="Arial" w:cs="Arial" w:eastAsia="Arial" w:hAnsi="Arial"/>
          <w:sz w:val="14"/>
          <w:szCs w:val="14"/>
          <w:color w:val="231F20"/>
        </w:rPr>
        <w:t>The goal is to properly incent management to focus on core issues associated with driving long-term shareholder growth and to recognize and build diversity in our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121920</wp:posOffset>
            </wp:positionV>
            <wp:extent cx="7139940" cy="825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139940" cy="8255"/>
                    </a:xfrm>
                    <a:prstGeom prst="rect">
                      <a:avLst/>
                    </a:prstGeom>
                    <a:noFill/>
                  </pic:spPr>
                </pic:pic>
              </a:graphicData>
            </a:graphic>
          </wp:anchor>
        </w:drawing>
      </w:r>
    </w:p>
    <w:p>
      <w:pPr>
        <w:spacing w:after="0" w:line="242" w:lineRule="exact"/>
        <w:rPr>
          <w:sz w:val="20"/>
          <w:szCs w:val="20"/>
          <w:color w:val="auto"/>
        </w:rPr>
      </w:pPr>
    </w:p>
    <w:p>
      <w:pPr>
        <w:ind w:left="300" w:hanging="298"/>
        <w:spacing w:after="0"/>
        <w:tabs>
          <w:tab w:leader="none" w:pos="300" w:val="left"/>
        </w:tabs>
        <w:numPr>
          <w:ilvl w:val="0"/>
          <w:numId w:val="125"/>
        </w:numPr>
        <w:rPr>
          <w:rFonts w:ascii="Arial" w:cs="Arial" w:eastAsia="Arial" w:hAnsi="Arial"/>
          <w:sz w:val="15"/>
          <w:szCs w:val="15"/>
          <w:color w:val="455986"/>
        </w:rPr>
      </w:pPr>
      <w:r>
        <w:rPr>
          <w:rFonts w:ascii="Arial" w:cs="Arial" w:eastAsia="Arial" w:hAnsi="Arial"/>
          <w:sz w:val="12"/>
          <w:szCs w:val="12"/>
          <w:color w:val="4395D4"/>
        </w:rPr>
        <w:t xml:space="preserve">ESSENTIAL UTILITIES, INC. </w:t>
      </w:r>
      <w:r>
        <w:rPr>
          <w:rFonts w:ascii="Arial" w:cs="Arial" w:eastAsia="Arial" w:hAnsi="Arial"/>
          <w:sz w:val="12"/>
          <w:szCs w:val="12"/>
          <w:color w:val="455986"/>
        </w:rPr>
        <w:t>2021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316230</wp:posOffset>
            </wp:positionV>
            <wp:extent cx="7139940" cy="2413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139940" cy="24130"/>
                    </a:xfrm>
                    <a:prstGeom prst="rect">
                      <a:avLst/>
                    </a:prstGeom>
                    <a:noFill/>
                  </pic:spPr>
                </pic:pic>
              </a:graphicData>
            </a:graphic>
          </wp:anchor>
        </w:drawing>
      </w:r>
    </w:p>
    <w:p>
      <w:pPr>
        <w:sectPr>
          <w:pgSz w:w="11900" w:h="16838" w:orient="portrait"/>
          <w:cols w:equalWidth="0" w:num="1">
            <w:col w:w="11220"/>
          </w:cols>
          <w:pgMar w:left="320" w:top="636" w:right="359" w:bottom="1440" w:gutter="0" w:footer="0" w:header="0"/>
        </w:sectPr>
      </w:pPr>
    </w:p>
    <w:bookmarkStart w:id="67" w:name="page68"/>
    <w:bookmarkEnd w:id="67"/>
    <w:p>
      <w:pPr>
        <w:spacing w:after="0"/>
        <w:rPr>
          <w:sz w:val="20"/>
          <w:szCs w:val="20"/>
          <w:color w:val="auto"/>
        </w:rPr>
      </w:pPr>
      <w:r>
        <w:rPr>
          <w:rFonts w:ascii="Arial" w:cs="Arial" w:eastAsia="Arial" w:hAnsi="Arial"/>
          <w:sz w:val="14"/>
          <w:szCs w:val="14"/>
          <w:b w:val="1"/>
          <w:bCs w:val="1"/>
          <w:color w:val="455986"/>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27940</wp:posOffset>
            </wp:positionV>
            <wp:extent cx="7139940" cy="825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139940" cy="8255"/>
                    </a:xfrm>
                    <a:prstGeom prst="rect">
                      <a:avLst/>
                    </a:prstGeom>
                    <a:noFill/>
                  </pic:spPr>
                </pic:pic>
              </a:graphicData>
            </a:graphic>
          </wp:anchor>
        </w:drawing>
      </w:r>
    </w:p>
    <w:p>
      <w:pPr>
        <w:spacing w:after="0" w:line="76" w:lineRule="exact"/>
        <w:rPr>
          <w:sz w:val="20"/>
          <w:szCs w:val="20"/>
          <w:color w:val="auto"/>
        </w:rPr>
      </w:pPr>
    </w:p>
    <w:p>
      <w:pPr>
        <w:spacing w:after="0"/>
        <w:rPr>
          <w:sz w:val="20"/>
          <w:szCs w:val="20"/>
          <w:color w:val="auto"/>
        </w:rPr>
      </w:pPr>
      <w:r>
        <w:rPr>
          <w:rFonts w:ascii="Arial" w:cs="Arial" w:eastAsia="Arial" w:hAnsi="Arial"/>
          <w:sz w:val="14"/>
          <w:szCs w:val="14"/>
          <w:color w:val="4395D4"/>
        </w:rPr>
        <w:t xml:space="preserve">Section 5 </w:t>
      </w:r>
      <w:r>
        <w:rPr>
          <w:rFonts w:ascii="Arial" w:cs="Arial" w:eastAsia="Arial" w:hAnsi="Arial"/>
          <w:sz w:val="14"/>
          <w:szCs w:val="14"/>
          <w:color w:val="231F20"/>
        </w:rPr>
        <w:t>Our 2021 Short- and Long-Term Incentive Program</w:t>
      </w:r>
    </w:p>
    <w:p>
      <w:pPr>
        <w:spacing w:after="0" w:line="174" w:lineRule="exact"/>
        <w:rPr>
          <w:sz w:val="20"/>
          <w:szCs w:val="20"/>
          <w:color w:val="auto"/>
        </w:rPr>
      </w:pPr>
    </w:p>
    <w:p>
      <w:pPr>
        <w:spacing w:after="0"/>
        <w:rPr>
          <w:sz w:val="20"/>
          <w:szCs w:val="20"/>
          <w:color w:val="auto"/>
        </w:rPr>
      </w:pPr>
      <w:r>
        <w:rPr>
          <w:rFonts w:ascii="Arial" w:cs="Arial" w:eastAsia="Arial" w:hAnsi="Arial"/>
          <w:sz w:val="14"/>
          <w:szCs w:val="14"/>
          <w:color w:val="231F20"/>
        </w:rPr>
        <w:t>Below is the 2021 STI Plan that the Compensation Committee adopted for all named executive officers:</w:t>
      </w:r>
    </w:p>
    <w:p>
      <w:pPr>
        <w:spacing w:after="0" w:line="132" w:lineRule="exact"/>
        <w:rPr>
          <w:sz w:val="20"/>
          <w:szCs w:val="20"/>
          <w:color w:val="auto"/>
        </w:rPr>
      </w:pPr>
    </w:p>
    <w:p>
      <w:pPr>
        <w:spacing w:after="0"/>
        <w:rPr>
          <w:sz w:val="20"/>
          <w:szCs w:val="20"/>
          <w:color w:val="auto"/>
        </w:rPr>
      </w:pPr>
      <w:r>
        <w:rPr>
          <w:rFonts w:ascii="Arial" w:cs="Arial" w:eastAsia="Arial" w:hAnsi="Arial"/>
          <w:sz w:val="20"/>
          <w:szCs w:val="20"/>
          <w:b w:val="1"/>
          <w:bCs w:val="1"/>
          <w:color w:val="231F20"/>
        </w:rPr>
        <w:t>2021 Essential Short-Term Incentive Plan – Metrics, Weighting and Target Payout Levels</w:t>
      </w:r>
    </w:p>
    <w:p>
      <w:pPr>
        <w:spacing w:after="0" w:line="166" w:lineRule="exact"/>
        <w:rPr>
          <w:sz w:val="20"/>
          <w:szCs w:val="20"/>
          <w:color w:val="auto"/>
        </w:rPr>
      </w:pPr>
    </w:p>
    <w:p>
      <w:pPr>
        <w:ind w:right="180"/>
        <w:spacing w:after="0" w:line="278" w:lineRule="auto"/>
        <w:rPr>
          <w:sz w:val="20"/>
          <w:szCs w:val="20"/>
          <w:color w:val="auto"/>
        </w:rPr>
      </w:pPr>
      <w:r>
        <w:rPr>
          <w:rFonts w:ascii="Arial" w:cs="Arial" w:eastAsia="Arial" w:hAnsi="Arial"/>
          <w:sz w:val="14"/>
          <w:szCs w:val="14"/>
          <w:color w:val="231F20"/>
        </w:rPr>
        <w:t>Each metric associated with the 2021 STI plan was carefully considered and appropriately weighted. The chart below illustrates each metric and shows the targets that are to be met to achieve certain payouts:</w: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2280" w:type="dxa"/>
            <w:vAlign w:val="bottom"/>
            <w:vMerge w:val="restart"/>
          </w:tcPr>
          <w:p>
            <w:pPr>
              <w:spacing w:after="0"/>
              <w:rPr>
                <w:sz w:val="20"/>
                <w:szCs w:val="20"/>
                <w:color w:val="auto"/>
              </w:rPr>
            </w:pPr>
            <w:r>
              <w:rPr>
                <w:rFonts w:ascii="Arial" w:cs="Arial" w:eastAsia="Arial" w:hAnsi="Arial"/>
                <w:sz w:val="14"/>
                <w:szCs w:val="14"/>
                <w:color w:val="455986"/>
              </w:rPr>
              <w:t>Metric</w:t>
            </w:r>
          </w:p>
        </w:tc>
        <w:tc>
          <w:tcPr>
            <w:tcW w:w="3980" w:type="dxa"/>
            <w:vAlign w:val="bottom"/>
            <w:gridSpan w:val="2"/>
            <w:vMerge w:val="restart"/>
          </w:tcPr>
          <w:p>
            <w:pPr>
              <w:ind w:left="320"/>
              <w:spacing w:after="0"/>
              <w:rPr>
                <w:sz w:val="20"/>
                <w:szCs w:val="20"/>
                <w:color w:val="auto"/>
              </w:rPr>
            </w:pPr>
            <w:r>
              <w:rPr>
                <w:rFonts w:ascii="Arial" w:cs="Arial" w:eastAsia="Arial" w:hAnsi="Arial"/>
                <w:sz w:val="14"/>
                <w:szCs w:val="14"/>
                <w:color w:val="455986"/>
              </w:rPr>
              <w:t>Metric Component</w:t>
            </w:r>
          </w:p>
        </w:tc>
        <w:tc>
          <w:tcPr>
            <w:tcW w:w="1700" w:type="dxa"/>
            <w:vAlign w:val="bottom"/>
            <w:vMerge w:val="restart"/>
          </w:tcPr>
          <w:p>
            <w:pPr>
              <w:jc w:val="right"/>
              <w:ind w:right="268"/>
              <w:spacing w:after="0"/>
              <w:rPr>
                <w:sz w:val="20"/>
                <w:szCs w:val="20"/>
                <w:color w:val="auto"/>
              </w:rPr>
            </w:pPr>
            <w:r>
              <w:rPr>
                <w:rFonts w:ascii="Arial" w:cs="Arial" w:eastAsia="Arial" w:hAnsi="Arial"/>
                <w:sz w:val="14"/>
                <w:szCs w:val="14"/>
                <w:color w:val="455986"/>
              </w:rPr>
              <w:t>Weight</w:t>
            </w:r>
          </w:p>
        </w:tc>
        <w:tc>
          <w:tcPr>
            <w:tcW w:w="880" w:type="dxa"/>
            <w:vAlign w:val="bottom"/>
            <w:tcBorders>
              <w:bottom w:val="single" w:sz="8" w:color="4395D4"/>
            </w:tcBorders>
          </w:tcPr>
          <w:p>
            <w:pPr>
              <w:spacing w:after="0"/>
              <w:rPr>
                <w:sz w:val="14"/>
                <w:szCs w:val="14"/>
                <w:color w:val="auto"/>
              </w:rPr>
            </w:pPr>
          </w:p>
        </w:tc>
        <w:tc>
          <w:tcPr>
            <w:tcW w:w="1500" w:type="dxa"/>
            <w:vAlign w:val="bottom"/>
            <w:tcBorders>
              <w:bottom w:val="single" w:sz="8" w:color="4395D4"/>
            </w:tcBorders>
            <w:gridSpan w:val="3"/>
          </w:tcPr>
          <w:p>
            <w:pPr>
              <w:jc w:val="center"/>
              <w:spacing w:after="0"/>
              <w:rPr>
                <w:sz w:val="20"/>
                <w:szCs w:val="20"/>
                <w:color w:val="auto"/>
              </w:rPr>
            </w:pPr>
            <w:r>
              <w:rPr>
                <w:rFonts w:ascii="Arial" w:cs="Arial" w:eastAsia="Arial" w:hAnsi="Arial"/>
                <w:sz w:val="12"/>
                <w:szCs w:val="12"/>
                <w:color w:val="455986"/>
                <w:w w:val="98"/>
              </w:rPr>
              <w:t>2021 Target Payout Levels</w:t>
            </w:r>
          </w:p>
        </w:tc>
        <w:tc>
          <w:tcPr>
            <w:tcW w:w="900" w:type="dxa"/>
            <w:vAlign w:val="bottom"/>
            <w:tcBorders>
              <w:bottom w:val="single" w:sz="8" w:color="4395D4"/>
            </w:tcBorders>
          </w:tcPr>
          <w:p>
            <w:pPr>
              <w:spacing w:after="0"/>
              <w:rPr>
                <w:sz w:val="14"/>
                <w:szCs w:val="14"/>
                <w:color w:val="auto"/>
              </w:rPr>
            </w:pPr>
          </w:p>
        </w:tc>
        <w:tc>
          <w:tcPr>
            <w:tcW w:w="0" w:type="dxa"/>
            <w:vAlign w:val="bottom"/>
          </w:tcPr>
          <w:p>
            <w:pPr>
              <w:spacing w:after="0"/>
              <w:rPr>
                <w:sz w:val="1"/>
                <w:szCs w:val="1"/>
                <w:color w:val="auto"/>
              </w:rPr>
            </w:pPr>
          </w:p>
        </w:tc>
      </w:tr>
      <w:tr>
        <w:trPr>
          <w:trHeight w:val="152"/>
        </w:trPr>
        <w:tc>
          <w:tcPr>
            <w:tcW w:w="2280" w:type="dxa"/>
            <w:vAlign w:val="bottom"/>
            <w:tcBorders>
              <w:bottom w:val="single" w:sz="8" w:color="4395D4"/>
            </w:tcBorders>
            <w:vMerge w:val="continue"/>
          </w:tcPr>
          <w:p>
            <w:pPr>
              <w:spacing w:after="0"/>
              <w:rPr>
                <w:sz w:val="13"/>
                <w:szCs w:val="13"/>
                <w:color w:val="auto"/>
              </w:rPr>
            </w:pPr>
          </w:p>
        </w:tc>
        <w:tc>
          <w:tcPr>
            <w:tcW w:w="3980" w:type="dxa"/>
            <w:vAlign w:val="bottom"/>
            <w:tcBorders>
              <w:bottom w:val="single" w:sz="8" w:color="4395D4"/>
            </w:tcBorders>
            <w:gridSpan w:val="2"/>
            <w:vMerge w:val="continue"/>
          </w:tcPr>
          <w:p>
            <w:pPr>
              <w:spacing w:after="0"/>
              <w:rPr>
                <w:sz w:val="13"/>
                <w:szCs w:val="13"/>
                <w:color w:val="auto"/>
              </w:rPr>
            </w:pPr>
          </w:p>
        </w:tc>
        <w:tc>
          <w:tcPr>
            <w:tcW w:w="1700" w:type="dxa"/>
            <w:vAlign w:val="bottom"/>
            <w:tcBorders>
              <w:bottom w:val="single" w:sz="8" w:color="4395D4"/>
            </w:tcBorders>
            <w:vMerge w:val="continue"/>
          </w:tcPr>
          <w:p>
            <w:pPr>
              <w:spacing w:after="0"/>
              <w:rPr>
                <w:sz w:val="13"/>
                <w:szCs w:val="13"/>
                <w:color w:val="auto"/>
              </w:rPr>
            </w:pPr>
          </w:p>
        </w:tc>
        <w:tc>
          <w:tcPr>
            <w:tcW w:w="880" w:type="dxa"/>
            <w:vAlign w:val="bottom"/>
            <w:tcBorders>
              <w:bottom w:val="single" w:sz="8" w:color="4395D4"/>
            </w:tcBorders>
          </w:tcPr>
          <w:p>
            <w:pPr>
              <w:ind w:left="100"/>
              <w:spacing w:after="0" w:line="153" w:lineRule="exact"/>
              <w:rPr>
                <w:sz w:val="20"/>
                <w:szCs w:val="20"/>
                <w:color w:val="auto"/>
              </w:rPr>
            </w:pPr>
            <w:r>
              <w:rPr>
                <w:rFonts w:ascii="Arial" w:cs="Arial" w:eastAsia="Arial" w:hAnsi="Arial"/>
                <w:sz w:val="14"/>
                <w:szCs w:val="14"/>
                <w:color w:val="455986"/>
              </w:rPr>
              <w:t>Threshold</w:t>
            </w:r>
          </w:p>
        </w:tc>
        <w:tc>
          <w:tcPr>
            <w:tcW w:w="220" w:type="dxa"/>
            <w:vAlign w:val="bottom"/>
            <w:tcBorders>
              <w:bottom w:val="single" w:sz="8" w:color="4395D4"/>
            </w:tcBorders>
          </w:tcPr>
          <w:p>
            <w:pPr>
              <w:spacing w:after="0"/>
              <w:rPr>
                <w:sz w:val="13"/>
                <w:szCs w:val="13"/>
                <w:color w:val="auto"/>
              </w:rPr>
            </w:pPr>
          </w:p>
        </w:tc>
        <w:tc>
          <w:tcPr>
            <w:tcW w:w="1280" w:type="dxa"/>
            <w:vAlign w:val="bottom"/>
            <w:tcBorders>
              <w:bottom w:val="single" w:sz="8" w:color="4395D4"/>
            </w:tcBorders>
            <w:gridSpan w:val="2"/>
          </w:tcPr>
          <w:p>
            <w:pPr>
              <w:jc w:val="center"/>
              <w:ind w:right="200"/>
              <w:spacing w:after="0" w:line="153" w:lineRule="exact"/>
              <w:rPr>
                <w:sz w:val="20"/>
                <w:szCs w:val="20"/>
                <w:color w:val="auto"/>
              </w:rPr>
            </w:pPr>
            <w:r>
              <w:rPr>
                <w:rFonts w:ascii="Arial" w:cs="Arial" w:eastAsia="Arial" w:hAnsi="Arial"/>
                <w:sz w:val="14"/>
                <w:szCs w:val="14"/>
                <w:b w:val="1"/>
                <w:bCs w:val="1"/>
                <w:color w:val="4395D4"/>
              </w:rPr>
              <w:t>Target</w:t>
            </w:r>
          </w:p>
        </w:tc>
        <w:tc>
          <w:tcPr>
            <w:tcW w:w="900" w:type="dxa"/>
            <w:vAlign w:val="bottom"/>
            <w:tcBorders>
              <w:bottom w:val="single" w:sz="8" w:color="4395D4"/>
            </w:tcBorders>
          </w:tcPr>
          <w:p>
            <w:pPr>
              <w:jc w:val="right"/>
              <w:ind w:right="88"/>
              <w:spacing w:after="0" w:line="153" w:lineRule="exact"/>
              <w:rPr>
                <w:sz w:val="20"/>
                <w:szCs w:val="20"/>
                <w:color w:val="auto"/>
              </w:rPr>
            </w:pPr>
            <w:r>
              <w:rPr>
                <w:rFonts w:ascii="Arial" w:cs="Arial" w:eastAsia="Arial" w:hAnsi="Arial"/>
                <w:sz w:val="14"/>
                <w:szCs w:val="14"/>
                <w:color w:val="455986"/>
              </w:rPr>
              <w:t>Maximum</w:t>
            </w:r>
          </w:p>
        </w:tc>
        <w:tc>
          <w:tcPr>
            <w:tcW w:w="0" w:type="dxa"/>
            <w:vAlign w:val="bottom"/>
          </w:tcPr>
          <w:p>
            <w:pPr>
              <w:spacing w:after="0"/>
              <w:rPr>
                <w:sz w:val="1"/>
                <w:szCs w:val="1"/>
                <w:color w:val="auto"/>
              </w:rPr>
            </w:pPr>
          </w:p>
        </w:tc>
      </w:tr>
      <w:tr>
        <w:trPr>
          <w:trHeight w:val="31"/>
        </w:trPr>
        <w:tc>
          <w:tcPr>
            <w:tcW w:w="2280" w:type="dxa"/>
            <w:vAlign w:val="bottom"/>
            <w:vMerge w:val="restart"/>
          </w:tcPr>
          <w:p>
            <w:pPr>
              <w:spacing w:after="0"/>
              <w:rPr>
                <w:sz w:val="20"/>
                <w:szCs w:val="20"/>
                <w:color w:val="auto"/>
              </w:rPr>
            </w:pPr>
            <w:r>
              <w:rPr>
                <w:rFonts w:ascii="Arial" w:cs="Arial" w:eastAsia="Arial" w:hAnsi="Arial"/>
                <w:sz w:val="14"/>
                <w:szCs w:val="14"/>
                <w:b w:val="1"/>
                <w:bCs w:val="1"/>
                <w:color w:val="455986"/>
              </w:rPr>
              <w:t>Financial (50%)</w:t>
            </w:r>
          </w:p>
        </w:tc>
        <w:tc>
          <w:tcPr>
            <w:tcW w:w="3980" w:type="dxa"/>
            <w:vAlign w:val="bottom"/>
            <w:gridSpan w:val="2"/>
            <w:vMerge w:val="restart"/>
          </w:tcPr>
          <w:p>
            <w:pPr>
              <w:ind w:left="320"/>
              <w:spacing w:after="0"/>
              <w:rPr>
                <w:sz w:val="20"/>
                <w:szCs w:val="20"/>
                <w:color w:val="auto"/>
              </w:rPr>
            </w:pPr>
            <w:r>
              <w:rPr>
                <w:rFonts w:ascii="Arial" w:cs="Arial" w:eastAsia="Arial" w:hAnsi="Arial"/>
                <w:sz w:val="14"/>
                <w:szCs w:val="14"/>
                <w:color w:val="231F20"/>
              </w:rPr>
              <w:t>Essential Earning Per Share</w:t>
            </w:r>
          </w:p>
        </w:tc>
        <w:tc>
          <w:tcPr>
            <w:tcW w:w="1700" w:type="dxa"/>
            <w:vAlign w:val="bottom"/>
            <w:vMerge w:val="restart"/>
          </w:tcPr>
          <w:p>
            <w:pPr>
              <w:jc w:val="right"/>
              <w:ind w:right="268"/>
              <w:spacing w:after="0"/>
              <w:rPr>
                <w:sz w:val="20"/>
                <w:szCs w:val="20"/>
                <w:color w:val="auto"/>
              </w:rPr>
            </w:pPr>
            <w:r>
              <w:rPr>
                <w:rFonts w:ascii="Arial" w:cs="Arial" w:eastAsia="Arial" w:hAnsi="Arial"/>
                <w:sz w:val="14"/>
                <w:szCs w:val="14"/>
                <w:b w:val="1"/>
                <w:bCs w:val="1"/>
                <w:color w:val="4395D4"/>
              </w:rPr>
              <w:t>35.00%</w:t>
            </w:r>
          </w:p>
        </w:tc>
        <w:tc>
          <w:tcPr>
            <w:tcW w:w="8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3"/>
        </w:trPr>
        <w:tc>
          <w:tcPr>
            <w:tcW w:w="2280" w:type="dxa"/>
            <w:vAlign w:val="bottom"/>
            <w:vMerge w:val="continue"/>
          </w:tcPr>
          <w:p>
            <w:pPr>
              <w:spacing w:after="0"/>
              <w:rPr>
                <w:sz w:val="13"/>
                <w:szCs w:val="13"/>
                <w:color w:val="auto"/>
              </w:rPr>
            </w:pPr>
          </w:p>
        </w:tc>
        <w:tc>
          <w:tcPr>
            <w:tcW w:w="3980" w:type="dxa"/>
            <w:vAlign w:val="bottom"/>
            <w:gridSpan w:val="2"/>
            <w:vMerge w:val="continue"/>
          </w:tcPr>
          <w:p>
            <w:pPr>
              <w:spacing w:after="0"/>
              <w:rPr>
                <w:sz w:val="13"/>
                <w:szCs w:val="13"/>
                <w:color w:val="auto"/>
              </w:rPr>
            </w:pPr>
          </w:p>
        </w:tc>
        <w:tc>
          <w:tcPr>
            <w:tcW w:w="1700" w:type="dxa"/>
            <w:vAlign w:val="bottom"/>
            <w:vMerge w:val="continue"/>
          </w:tcPr>
          <w:p>
            <w:pPr>
              <w:spacing w:after="0"/>
              <w:rPr>
                <w:sz w:val="13"/>
                <w:szCs w:val="13"/>
                <w:color w:val="auto"/>
              </w:rPr>
            </w:pPr>
          </w:p>
        </w:tc>
        <w:tc>
          <w:tcPr>
            <w:tcW w:w="880" w:type="dxa"/>
            <w:vAlign w:val="bottom"/>
            <w:shd w:val="clear" w:color="auto" w:fill="EAEBEC"/>
          </w:tcPr>
          <w:p>
            <w:pPr>
              <w:ind w:left="100"/>
              <w:spacing w:after="0" w:line="153" w:lineRule="exact"/>
              <w:rPr>
                <w:sz w:val="20"/>
                <w:szCs w:val="20"/>
                <w:color w:val="auto"/>
              </w:rPr>
            </w:pPr>
            <w:r>
              <w:rPr>
                <w:rFonts w:ascii="Arial" w:cs="Arial" w:eastAsia="Arial" w:hAnsi="Arial"/>
                <w:sz w:val="14"/>
                <w:szCs w:val="14"/>
                <w:color w:val="231F20"/>
              </w:rPr>
              <w:t>$ 1.61</w:t>
            </w:r>
          </w:p>
        </w:tc>
        <w:tc>
          <w:tcPr>
            <w:tcW w:w="220" w:type="dxa"/>
            <w:vAlign w:val="bottom"/>
            <w:shd w:val="clear" w:color="auto" w:fill="EAEBEC"/>
          </w:tcPr>
          <w:p>
            <w:pPr>
              <w:spacing w:after="0"/>
              <w:rPr>
                <w:sz w:val="13"/>
                <w:szCs w:val="13"/>
                <w:color w:val="auto"/>
              </w:rPr>
            </w:pPr>
          </w:p>
        </w:tc>
        <w:tc>
          <w:tcPr>
            <w:tcW w:w="1080" w:type="dxa"/>
            <w:vAlign w:val="bottom"/>
            <w:shd w:val="clear" w:color="auto" w:fill="D1D2D3"/>
          </w:tcPr>
          <w:p>
            <w:pPr>
              <w:jc w:val="center"/>
              <w:spacing w:after="0" w:line="153" w:lineRule="exact"/>
              <w:rPr>
                <w:sz w:val="20"/>
                <w:szCs w:val="20"/>
                <w:color w:val="auto"/>
              </w:rPr>
            </w:pPr>
            <w:r>
              <w:rPr>
                <w:rFonts w:ascii="Arial" w:cs="Arial" w:eastAsia="Arial" w:hAnsi="Arial"/>
                <w:sz w:val="14"/>
                <w:szCs w:val="14"/>
                <w:b w:val="1"/>
                <w:bCs w:val="1"/>
                <w:color w:val="4395D4"/>
              </w:rPr>
              <w:t>$1.66</w:t>
            </w:r>
          </w:p>
        </w:tc>
        <w:tc>
          <w:tcPr>
            <w:tcW w:w="200" w:type="dxa"/>
            <w:vAlign w:val="bottom"/>
            <w:shd w:val="clear" w:color="auto" w:fill="ADAFB2"/>
          </w:tcPr>
          <w:p>
            <w:pPr>
              <w:spacing w:after="0"/>
              <w:rPr>
                <w:sz w:val="13"/>
                <w:szCs w:val="13"/>
                <w:color w:val="auto"/>
              </w:rPr>
            </w:pPr>
          </w:p>
        </w:tc>
        <w:tc>
          <w:tcPr>
            <w:tcW w:w="900" w:type="dxa"/>
            <w:vAlign w:val="bottom"/>
            <w:shd w:val="clear" w:color="auto" w:fill="ADAFB2"/>
          </w:tcPr>
          <w:p>
            <w:pPr>
              <w:jc w:val="right"/>
              <w:ind w:right="88"/>
              <w:spacing w:after="0" w:line="153" w:lineRule="exact"/>
              <w:rPr>
                <w:sz w:val="20"/>
                <w:szCs w:val="20"/>
                <w:color w:val="auto"/>
              </w:rPr>
            </w:pPr>
            <w:r>
              <w:rPr>
                <w:rFonts w:ascii="Arial" w:cs="Arial" w:eastAsia="Arial" w:hAnsi="Arial"/>
                <w:sz w:val="14"/>
                <w:szCs w:val="14"/>
                <w:color w:val="FFFFFF"/>
              </w:rPr>
              <w:t>$1.71</w:t>
            </w:r>
          </w:p>
        </w:tc>
        <w:tc>
          <w:tcPr>
            <w:tcW w:w="0" w:type="dxa"/>
            <w:vAlign w:val="bottom"/>
          </w:tcPr>
          <w:p>
            <w:pPr>
              <w:spacing w:after="0"/>
              <w:rPr>
                <w:sz w:val="1"/>
                <w:szCs w:val="1"/>
                <w:color w:val="auto"/>
              </w:rPr>
            </w:pPr>
          </w:p>
        </w:tc>
      </w:tr>
      <w:tr>
        <w:trPr>
          <w:trHeight w:val="51"/>
        </w:trPr>
        <w:tc>
          <w:tcPr>
            <w:tcW w:w="2280" w:type="dxa"/>
            <w:vAlign w:val="bottom"/>
          </w:tcPr>
          <w:p>
            <w:pPr>
              <w:spacing w:after="0"/>
              <w:rPr>
                <w:sz w:val="4"/>
                <w:szCs w:val="4"/>
                <w:color w:val="auto"/>
              </w:rPr>
            </w:pPr>
          </w:p>
        </w:tc>
        <w:tc>
          <w:tcPr>
            <w:tcW w:w="320" w:type="dxa"/>
            <w:vAlign w:val="bottom"/>
          </w:tcPr>
          <w:p>
            <w:pPr>
              <w:spacing w:after="0"/>
              <w:rPr>
                <w:sz w:val="4"/>
                <w:szCs w:val="4"/>
                <w:color w:val="auto"/>
              </w:rPr>
            </w:pPr>
          </w:p>
        </w:tc>
        <w:tc>
          <w:tcPr>
            <w:tcW w:w="3660" w:type="dxa"/>
            <w:vAlign w:val="bottom"/>
            <w:tcBorders>
              <w:bottom w:val="single" w:sz="8" w:color="auto"/>
            </w:tcBorders>
          </w:tcPr>
          <w:p>
            <w:pPr>
              <w:spacing w:after="0"/>
              <w:rPr>
                <w:sz w:val="4"/>
                <w:szCs w:val="4"/>
                <w:color w:val="auto"/>
              </w:rPr>
            </w:pPr>
          </w:p>
        </w:tc>
        <w:tc>
          <w:tcPr>
            <w:tcW w:w="170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08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31"/>
        </w:trPr>
        <w:tc>
          <w:tcPr>
            <w:tcW w:w="2280" w:type="dxa"/>
            <w:vAlign w:val="bottom"/>
          </w:tcPr>
          <w:p>
            <w:pPr>
              <w:spacing w:after="0"/>
              <w:rPr>
                <w:sz w:val="2"/>
                <w:szCs w:val="2"/>
                <w:color w:val="auto"/>
              </w:rPr>
            </w:pPr>
          </w:p>
        </w:tc>
        <w:tc>
          <w:tcPr>
            <w:tcW w:w="3980" w:type="dxa"/>
            <w:vAlign w:val="bottom"/>
            <w:gridSpan w:val="2"/>
            <w:vMerge w:val="restart"/>
          </w:tcPr>
          <w:p>
            <w:pPr>
              <w:ind w:left="320"/>
              <w:spacing w:after="0"/>
              <w:rPr>
                <w:sz w:val="20"/>
                <w:szCs w:val="20"/>
                <w:color w:val="auto"/>
              </w:rPr>
            </w:pPr>
            <w:r>
              <w:rPr>
                <w:rFonts w:ascii="Arial" w:cs="Arial" w:eastAsia="Arial" w:hAnsi="Arial"/>
                <w:sz w:val="14"/>
                <w:szCs w:val="14"/>
                <w:color w:val="231F20"/>
              </w:rPr>
              <w:t>Essential ROE</w:t>
            </w:r>
          </w:p>
        </w:tc>
        <w:tc>
          <w:tcPr>
            <w:tcW w:w="1700" w:type="dxa"/>
            <w:vAlign w:val="bottom"/>
            <w:vMerge w:val="restart"/>
          </w:tcPr>
          <w:p>
            <w:pPr>
              <w:jc w:val="right"/>
              <w:ind w:right="268"/>
              <w:spacing w:after="0"/>
              <w:rPr>
                <w:sz w:val="20"/>
                <w:szCs w:val="20"/>
                <w:color w:val="auto"/>
              </w:rPr>
            </w:pPr>
            <w:r>
              <w:rPr>
                <w:rFonts w:ascii="Arial" w:cs="Arial" w:eastAsia="Arial" w:hAnsi="Arial"/>
                <w:sz w:val="14"/>
                <w:szCs w:val="14"/>
                <w:b w:val="1"/>
                <w:bCs w:val="1"/>
                <w:color w:val="4395D4"/>
              </w:rPr>
              <w:t>15.00%</w:t>
            </w:r>
          </w:p>
        </w:tc>
        <w:tc>
          <w:tcPr>
            <w:tcW w:w="8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3"/>
        </w:trPr>
        <w:tc>
          <w:tcPr>
            <w:tcW w:w="2280" w:type="dxa"/>
            <w:vAlign w:val="bottom"/>
          </w:tcPr>
          <w:p>
            <w:pPr>
              <w:spacing w:after="0"/>
              <w:rPr>
                <w:sz w:val="13"/>
                <w:szCs w:val="13"/>
                <w:color w:val="auto"/>
              </w:rPr>
            </w:pPr>
          </w:p>
        </w:tc>
        <w:tc>
          <w:tcPr>
            <w:tcW w:w="3980" w:type="dxa"/>
            <w:vAlign w:val="bottom"/>
            <w:gridSpan w:val="2"/>
            <w:vMerge w:val="continue"/>
          </w:tcPr>
          <w:p>
            <w:pPr>
              <w:spacing w:after="0"/>
              <w:rPr>
                <w:sz w:val="13"/>
                <w:szCs w:val="13"/>
                <w:color w:val="auto"/>
              </w:rPr>
            </w:pPr>
          </w:p>
        </w:tc>
        <w:tc>
          <w:tcPr>
            <w:tcW w:w="1700" w:type="dxa"/>
            <w:vAlign w:val="bottom"/>
            <w:vMerge w:val="continue"/>
          </w:tcPr>
          <w:p>
            <w:pPr>
              <w:spacing w:after="0"/>
              <w:rPr>
                <w:sz w:val="13"/>
                <w:szCs w:val="13"/>
                <w:color w:val="auto"/>
              </w:rPr>
            </w:pPr>
          </w:p>
        </w:tc>
        <w:tc>
          <w:tcPr>
            <w:tcW w:w="880" w:type="dxa"/>
            <w:vAlign w:val="bottom"/>
            <w:shd w:val="clear" w:color="auto" w:fill="EAEBEC"/>
          </w:tcPr>
          <w:p>
            <w:pPr>
              <w:ind w:left="100"/>
              <w:spacing w:after="0" w:line="153" w:lineRule="exact"/>
              <w:rPr>
                <w:sz w:val="20"/>
                <w:szCs w:val="20"/>
                <w:color w:val="auto"/>
              </w:rPr>
            </w:pPr>
            <w:r>
              <w:rPr>
                <w:rFonts w:ascii="Arial" w:cs="Arial" w:eastAsia="Arial" w:hAnsi="Arial"/>
                <w:sz w:val="14"/>
                <w:szCs w:val="14"/>
                <w:color w:val="auto"/>
              </w:rPr>
              <w:t>4.52%</w:t>
            </w:r>
          </w:p>
        </w:tc>
        <w:tc>
          <w:tcPr>
            <w:tcW w:w="220" w:type="dxa"/>
            <w:vAlign w:val="bottom"/>
            <w:shd w:val="clear" w:color="auto" w:fill="EAEBEC"/>
          </w:tcPr>
          <w:p>
            <w:pPr>
              <w:spacing w:after="0"/>
              <w:rPr>
                <w:sz w:val="13"/>
                <w:szCs w:val="13"/>
                <w:color w:val="auto"/>
              </w:rPr>
            </w:pPr>
          </w:p>
        </w:tc>
        <w:tc>
          <w:tcPr>
            <w:tcW w:w="1080" w:type="dxa"/>
            <w:vAlign w:val="bottom"/>
            <w:shd w:val="clear" w:color="auto" w:fill="D1D2D3"/>
          </w:tcPr>
          <w:p>
            <w:pPr>
              <w:jc w:val="center"/>
              <w:spacing w:after="0" w:line="153" w:lineRule="exact"/>
              <w:rPr>
                <w:sz w:val="20"/>
                <w:szCs w:val="20"/>
                <w:color w:val="auto"/>
              </w:rPr>
            </w:pPr>
            <w:r>
              <w:rPr>
                <w:rFonts w:ascii="Arial" w:cs="Arial" w:eastAsia="Arial" w:hAnsi="Arial"/>
                <w:sz w:val="14"/>
                <w:szCs w:val="14"/>
                <w:b w:val="1"/>
                <w:bCs w:val="1"/>
                <w:color w:val="4395D4"/>
              </w:rPr>
              <w:t>9.52%</w:t>
            </w:r>
          </w:p>
        </w:tc>
        <w:tc>
          <w:tcPr>
            <w:tcW w:w="200" w:type="dxa"/>
            <w:vAlign w:val="bottom"/>
            <w:shd w:val="clear" w:color="auto" w:fill="ADAFB2"/>
          </w:tcPr>
          <w:p>
            <w:pPr>
              <w:spacing w:after="0"/>
              <w:rPr>
                <w:sz w:val="13"/>
                <w:szCs w:val="13"/>
                <w:color w:val="auto"/>
              </w:rPr>
            </w:pPr>
          </w:p>
        </w:tc>
        <w:tc>
          <w:tcPr>
            <w:tcW w:w="900" w:type="dxa"/>
            <w:vAlign w:val="bottom"/>
            <w:shd w:val="clear" w:color="auto" w:fill="ADAFB2"/>
          </w:tcPr>
          <w:p>
            <w:pPr>
              <w:jc w:val="right"/>
              <w:ind w:right="88"/>
              <w:spacing w:after="0" w:line="153" w:lineRule="exact"/>
              <w:rPr>
                <w:sz w:val="20"/>
                <w:szCs w:val="20"/>
                <w:color w:val="auto"/>
              </w:rPr>
            </w:pPr>
            <w:r>
              <w:rPr>
                <w:rFonts w:ascii="Arial" w:cs="Arial" w:eastAsia="Arial" w:hAnsi="Arial"/>
                <w:sz w:val="14"/>
                <w:szCs w:val="14"/>
                <w:color w:val="FFFFFF"/>
              </w:rPr>
              <w:t>14.52%</w:t>
            </w:r>
          </w:p>
        </w:tc>
        <w:tc>
          <w:tcPr>
            <w:tcW w:w="0" w:type="dxa"/>
            <w:vAlign w:val="bottom"/>
          </w:tcPr>
          <w:p>
            <w:pPr>
              <w:spacing w:after="0"/>
              <w:rPr>
                <w:sz w:val="1"/>
                <w:szCs w:val="1"/>
                <w:color w:val="auto"/>
              </w:rPr>
            </w:pPr>
          </w:p>
        </w:tc>
      </w:tr>
      <w:tr>
        <w:trPr>
          <w:trHeight w:val="38"/>
        </w:trPr>
        <w:tc>
          <w:tcPr>
            <w:tcW w:w="2280" w:type="dxa"/>
            <w:vAlign w:val="bottom"/>
            <w:tcBorders>
              <w:bottom w:val="single" w:sz="8" w:color="auto"/>
            </w:tcBorders>
          </w:tcPr>
          <w:p>
            <w:pPr>
              <w:spacing w:after="0"/>
              <w:rPr>
                <w:sz w:val="3"/>
                <w:szCs w:val="3"/>
                <w:color w:val="auto"/>
              </w:rPr>
            </w:pPr>
          </w:p>
        </w:tc>
        <w:tc>
          <w:tcPr>
            <w:tcW w:w="3980" w:type="dxa"/>
            <w:vAlign w:val="bottom"/>
            <w:tcBorders>
              <w:bottom w:val="single" w:sz="8" w:color="auto"/>
            </w:tcBorders>
            <w:gridSpan w:val="2"/>
          </w:tcPr>
          <w:p>
            <w:pPr>
              <w:spacing w:after="0"/>
              <w:rPr>
                <w:sz w:val="3"/>
                <w:szCs w:val="3"/>
                <w:color w:val="auto"/>
              </w:rPr>
            </w:pPr>
          </w:p>
        </w:tc>
        <w:tc>
          <w:tcPr>
            <w:tcW w:w="170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31"/>
        </w:trPr>
        <w:tc>
          <w:tcPr>
            <w:tcW w:w="2280" w:type="dxa"/>
            <w:vAlign w:val="bottom"/>
            <w:vMerge w:val="restart"/>
          </w:tcPr>
          <w:p>
            <w:pPr>
              <w:spacing w:after="0"/>
              <w:rPr>
                <w:sz w:val="20"/>
                <w:szCs w:val="20"/>
                <w:color w:val="auto"/>
              </w:rPr>
            </w:pPr>
            <w:r>
              <w:rPr>
                <w:rFonts w:ascii="Arial" w:cs="Arial" w:eastAsia="Arial" w:hAnsi="Arial"/>
                <w:sz w:val="14"/>
                <w:szCs w:val="14"/>
                <w:b w:val="1"/>
                <w:bCs w:val="1"/>
                <w:color w:val="455986"/>
              </w:rPr>
              <w:t>Safety (20%)</w:t>
            </w:r>
          </w:p>
        </w:tc>
        <w:tc>
          <w:tcPr>
            <w:tcW w:w="3980" w:type="dxa"/>
            <w:vAlign w:val="bottom"/>
            <w:gridSpan w:val="2"/>
            <w:vMerge w:val="restart"/>
          </w:tcPr>
          <w:p>
            <w:pPr>
              <w:ind w:left="320"/>
              <w:spacing w:after="0"/>
              <w:rPr>
                <w:sz w:val="20"/>
                <w:szCs w:val="20"/>
                <w:color w:val="auto"/>
              </w:rPr>
            </w:pPr>
            <w:r>
              <w:rPr>
                <w:rFonts w:ascii="Arial" w:cs="Arial" w:eastAsia="Arial" w:hAnsi="Arial"/>
                <w:sz w:val="14"/>
                <w:szCs w:val="14"/>
                <w:color w:val="231F20"/>
              </w:rPr>
              <w:t>Essential Lost Time/Restricted Time</w:t>
            </w:r>
          </w:p>
        </w:tc>
        <w:tc>
          <w:tcPr>
            <w:tcW w:w="1700" w:type="dxa"/>
            <w:vAlign w:val="bottom"/>
            <w:vMerge w:val="restart"/>
          </w:tcPr>
          <w:p>
            <w:pPr>
              <w:jc w:val="right"/>
              <w:ind w:right="268"/>
              <w:spacing w:after="0"/>
              <w:rPr>
                <w:sz w:val="20"/>
                <w:szCs w:val="20"/>
                <w:color w:val="auto"/>
              </w:rPr>
            </w:pPr>
            <w:r>
              <w:rPr>
                <w:rFonts w:ascii="Arial" w:cs="Arial" w:eastAsia="Arial" w:hAnsi="Arial"/>
                <w:sz w:val="14"/>
                <w:szCs w:val="14"/>
                <w:b w:val="1"/>
                <w:bCs w:val="1"/>
                <w:color w:val="4395D4"/>
              </w:rPr>
              <w:t>5.00%</w:t>
            </w:r>
          </w:p>
        </w:tc>
        <w:tc>
          <w:tcPr>
            <w:tcW w:w="8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3"/>
        </w:trPr>
        <w:tc>
          <w:tcPr>
            <w:tcW w:w="2280" w:type="dxa"/>
            <w:vAlign w:val="bottom"/>
            <w:vMerge w:val="continue"/>
          </w:tcPr>
          <w:p>
            <w:pPr>
              <w:spacing w:after="0"/>
              <w:rPr>
                <w:sz w:val="13"/>
                <w:szCs w:val="13"/>
                <w:color w:val="auto"/>
              </w:rPr>
            </w:pPr>
          </w:p>
        </w:tc>
        <w:tc>
          <w:tcPr>
            <w:tcW w:w="3980" w:type="dxa"/>
            <w:vAlign w:val="bottom"/>
            <w:gridSpan w:val="2"/>
            <w:vMerge w:val="continue"/>
          </w:tcPr>
          <w:p>
            <w:pPr>
              <w:spacing w:after="0"/>
              <w:rPr>
                <w:sz w:val="13"/>
                <w:szCs w:val="13"/>
                <w:color w:val="auto"/>
              </w:rPr>
            </w:pPr>
          </w:p>
        </w:tc>
        <w:tc>
          <w:tcPr>
            <w:tcW w:w="1700" w:type="dxa"/>
            <w:vAlign w:val="bottom"/>
            <w:vMerge w:val="continue"/>
          </w:tcPr>
          <w:p>
            <w:pPr>
              <w:spacing w:after="0"/>
              <w:rPr>
                <w:sz w:val="13"/>
                <w:szCs w:val="13"/>
                <w:color w:val="auto"/>
              </w:rPr>
            </w:pPr>
          </w:p>
        </w:tc>
        <w:tc>
          <w:tcPr>
            <w:tcW w:w="880" w:type="dxa"/>
            <w:vAlign w:val="bottom"/>
            <w:shd w:val="clear" w:color="auto" w:fill="EAEBEC"/>
          </w:tcPr>
          <w:p>
            <w:pPr>
              <w:ind w:left="100"/>
              <w:spacing w:after="0" w:line="153" w:lineRule="exact"/>
              <w:rPr>
                <w:sz w:val="20"/>
                <w:szCs w:val="20"/>
                <w:color w:val="auto"/>
              </w:rPr>
            </w:pPr>
            <w:r>
              <w:rPr>
                <w:rFonts w:ascii="Arial" w:cs="Arial" w:eastAsia="Arial" w:hAnsi="Arial"/>
                <w:sz w:val="14"/>
                <w:szCs w:val="14"/>
                <w:color w:val="auto"/>
              </w:rPr>
              <w:t>2.0</w:t>
            </w:r>
          </w:p>
        </w:tc>
        <w:tc>
          <w:tcPr>
            <w:tcW w:w="220" w:type="dxa"/>
            <w:vAlign w:val="bottom"/>
            <w:shd w:val="clear" w:color="auto" w:fill="EAEBEC"/>
          </w:tcPr>
          <w:p>
            <w:pPr>
              <w:spacing w:after="0"/>
              <w:rPr>
                <w:sz w:val="13"/>
                <w:szCs w:val="13"/>
                <w:color w:val="auto"/>
              </w:rPr>
            </w:pPr>
          </w:p>
        </w:tc>
        <w:tc>
          <w:tcPr>
            <w:tcW w:w="1080" w:type="dxa"/>
            <w:vAlign w:val="bottom"/>
            <w:shd w:val="clear" w:color="auto" w:fill="D1D2D3"/>
          </w:tcPr>
          <w:p>
            <w:pPr>
              <w:jc w:val="center"/>
              <w:spacing w:after="0" w:line="153" w:lineRule="exact"/>
              <w:rPr>
                <w:sz w:val="20"/>
                <w:szCs w:val="20"/>
                <w:color w:val="auto"/>
              </w:rPr>
            </w:pPr>
            <w:r>
              <w:rPr>
                <w:rFonts w:ascii="Arial" w:cs="Arial" w:eastAsia="Arial" w:hAnsi="Arial"/>
                <w:sz w:val="14"/>
                <w:szCs w:val="14"/>
                <w:b w:val="1"/>
                <w:bCs w:val="1"/>
                <w:color w:val="4395D4"/>
              </w:rPr>
              <w:t>1.65</w:t>
            </w:r>
          </w:p>
        </w:tc>
        <w:tc>
          <w:tcPr>
            <w:tcW w:w="200" w:type="dxa"/>
            <w:vAlign w:val="bottom"/>
            <w:shd w:val="clear" w:color="auto" w:fill="ADAFB2"/>
          </w:tcPr>
          <w:p>
            <w:pPr>
              <w:spacing w:after="0"/>
              <w:rPr>
                <w:sz w:val="13"/>
                <w:szCs w:val="13"/>
                <w:color w:val="auto"/>
              </w:rPr>
            </w:pPr>
          </w:p>
        </w:tc>
        <w:tc>
          <w:tcPr>
            <w:tcW w:w="900" w:type="dxa"/>
            <w:vAlign w:val="bottom"/>
            <w:shd w:val="clear" w:color="auto" w:fill="ADAFB2"/>
          </w:tcPr>
          <w:p>
            <w:pPr>
              <w:jc w:val="right"/>
              <w:ind w:right="88"/>
              <w:spacing w:after="0" w:line="153" w:lineRule="exact"/>
              <w:rPr>
                <w:sz w:val="20"/>
                <w:szCs w:val="20"/>
                <w:color w:val="auto"/>
              </w:rPr>
            </w:pPr>
            <w:r>
              <w:rPr>
                <w:rFonts w:ascii="Arial" w:cs="Arial" w:eastAsia="Arial" w:hAnsi="Arial"/>
                <w:sz w:val="14"/>
                <w:szCs w:val="14"/>
                <w:color w:val="FFFFFF"/>
              </w:rPr>
              <w:t>1.0</w:t>
            </w:r>
          </w:p>
        </w:tc>
        <w:tc>
          <w:tcPr>
            <w:tcW w:w="0" w:type="dxa"/>
            <w:vAlign w:val="bottom"/>
          </w:tcPr>
          <w:p>
            <w:pPr>
              <w:spacing w:after="0"/>
              <w:rPr>
                <w:sz w:val="1"/>
                <w:szCs w:val="1"/>
                <w:color w:val="auto"/>
              </w:rPr>
            </w:pPr>
          </w:p>
        </w:tc>
      </w:tr>
      <w:tr>
        <w:trPr>
          <w:trHeight w:val="51"/>
        </w:trPr>
        <w:tc>
          <w:tcPr>
            <w:tcW w:w="2280" w:type="dxa"/>
            <w:vAlign w:val="bottom"/>
          </w:tcPr>
          <w:p>
            <w:pPr>
              <w:spacing w:after="0"/>
              <w:rPr>
                <w:sz w:val="4"/>
                <w:szCs w:val="4"/>
                <w:color w:val="auto"/>
              </w:rPr>
            </w:pPr>
          </w:p>
        </w:tc>
        <w:tc>
          <w:tcPr>
            <w:tcW w:w="320" w:type="dxa"/>
            <w:vAlign w:val="bottom"/>
          </w:tcPr>
          <w:p>
            <w:pPr>
              <w:spacing w:after="0"/>
              <w:rPr>
                <w:sz w:val="4"/>
                <w:szCs w:val="4"/>
                <w:color w:val="auto"/>
              </w:rPr>
            </w:pPr>
          </w:p>
        </w:tc>
        <w:tc>
          <w:tcPr>
            <w:tcW w:w="3660" w:type="dxa"/>
            <w:vAlign w:val="bottom"/>
            <w:tcBorders>
              <w:bottom w:val="single" w:sz="8" w:color="auto"/>
            </w:tcBorders>
          </w:tcPr>
          <w:p>
            <w:pPr>
              <w:spacing w:after="0"/>
              <w:rPr>
                <w:sz w:val="4"/>
                <w:szCs w:val="4"/>
                <w:color w:val="auto"/>
              </w:rPr>
            </w:pPr>
          </w:p>
        </w:tc>
        <w:tc>
          <w:tcPr>
            <w:tcW w:w="170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08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31"/>
        </w:trPr>
        <w:tc>
          <w:tcPr>
            <w:tcW w:w="2280" w:type="dxa"/>
            <w:vAlign w:val="bottom"/>
          </w:tcPr>
          <w:p>
            <w:pPr>
              <w:spacing w:after="0"/>
              <w:rPr>
                <w:sz w:val="2"/>
                <w:szCs w:val="2"/>
                <w:color w:val="auto"/>
              </w:rPr>
            </w:pPr>
          </w:p>
        </w:tc>
        <w:tc>
          <w:tcPr>
            <w:tcW w:w="3980" w:type="dxa"/>
            <w:vAlign w:val="bottom"/>
            <w:gridSpan w:val="2"/>
            <w:vMerge w:val="restart"/>
          </w:tcPr>
          <w:p>
            <w:pPr>
              <w:ind w:left="320"/>
              <w:spacing w:after="0"/>
              <w:rPr>
                <w:sz w:val="20"/>
                <w:szCs w:val="20"/>
                <w:color w:val="auto"/>
              </w:rPr>
            </w:pPr>
            <w:r>
              <w:rPr>
                <w:rFonts w:ascii="Arial" w:cs="Arial" w:eastAsia="Arial" w:hAnsi="Arial"/>
                <w:sz w:val="14"/>
                <w:szCs w:val="14"/>
                <w:color w:val="231F20"/>
              </w:rPr>
              <w:t>Essential Responsible Vehicle Accident Rate</w:t>
            </w:r>
          </w:p>
        </w:tc>
        <w:tc>
          <w:tcPr>
            <w:tcW w:w="1700" w:type="dxa"/>
            <w:vAlign w:val="bottom"/>
            <w:vMerge w:val="restart"/>
          </w:tcPr>
          <w:p>
            <w:pPr>
              <w:jc w:val="right"/>
              <w:ind w:right="268"/>
              <w:spacing w:after="0"/>
              <w:rPr>
                <w:sz w:val="20"/>
                <w:szCs w:val="20"/>
                <w:color w:val="auto"/>
              </w:rPr>
            </w:pPr>
            <w:r>
              <w:rPr>
                <w:rFonts w:ascii="Arial" w:cs="Arial" w:eastAsia="Arial" w:hAnsi="Arial"/>
                <w:sz w:val="14"/>
                <w:szCs w:val="14"/>
                <w:b w:val="1"/>
                <w:bCs w:val="1"/>
                <w:color w:val="4395D4"/>
              </w:rPr>
              <w:t>5.00%</w:t>
            </w:r>
          </w:p>
        </w:tc>
        <w:tc>
          <w:tcPr>
            <w:tcW w:w="8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3"/>
        </w:trPr>
        <w:tc>
          <w:tcPr>
            <w:tcW w:w="2280" w:type="dxa"/>
            <w:vAlign w:val="bottom"/>
          </w:tcPr>
          <w:p>
            <w:pPr>
              <w:spacing w:after="0"/>
              <w:rPr>
                <w:sz w:val="13"/>
                <w:szCs w:val="13"/>
                <w:color w:val="auto"/>
              </w:rPr>
            </w:pPr>
          </w:p>
        </w:tc>
        <w:tc>
          <w:tcPr>
            <w:tcW w:w="3980" w:type="dxa"/>
            <w:vAlign w:val="bottom"/>
            <w:gridSpan w:val="2"/>
            <w:vMerge w:val="continue"/>
          </w:tcPr>
          <w:p>
            <w:pPr>
              <w:spacing w:after="0"/>
              <w:rPr>
                <w:sz w:val="13"/>
                <w:szCs w:val="13"/>
                <w:color w:val="auto"/>
              </w:rPr>
            </w:pPr>
          </w:p>
        </w:tc>
        <w:tc>
          <w:tcPr>
            <w:tcW w:w="1700" w:type="dxa"/>
            <w:vAlign w:val="bottom"/>
            <w:vMerge w:val="continue"/>
          </w:tcPr>
          <w:p>
            <w:pPr>
              <w:spacing w:after="0"/>
              <w:rPr>
                <w:sz w:val="13"/>
                <w:szCs w:val="13"/>
                <w:color w:val="auto"/>
              </w:rPr>
            </w:pPr>
          </w:p>
        </w:tc>
        <w:tc>
          <w:tcPr>
            <w:tcW w:w="880" w:type="dxa"/>
            <w:vAlign w:val="bottom"/>
            <w:shd w:val="clear" w:color="auto" w:fill="EAEBEC"/>
          </w:tcPr>
          <w:p>
            <w:pPr>
              <w:ind w:left="100"/>
              <w:spacing w:after="0" w:line="153" w:lineRule="exact"/>
              <w:rPr>
                <w:sz w:val="20"/>
                <w:szCs w:val="20"/>
                <w:color w:val="auto"/>
              </w:rPr>
            </w:pPr>
            <w:r>
              <w:rPr>
                <w:rFonts w:ascii="Arial" w:cs="Arial" w:eastAsia="Arial" w:hAnsi="Arial"/>
                <w:sz w:val="14"/>
                <w:szCs w:val="14"/>
                <w:color w:val="231F20"/>
              </w:rPr>
              <w:t>3.2</w:t>
            </w:r>
          </w:p>
        </w:tc>
        <w:tc>
          <w:tcPr>
            <w:tcW w:w="220" w:type="dxa"/>
            <w:vAlign w:val="bottom"/>
            <w:shd w:val="clear" w:color="auto" w:fill="EAEBEC"/>
          </w:tcPr>
          <w:p>
            <w:pPr>
              <w:spacing w:after="0"/>
              <w:rPr>
                <w:sz w:val="13"/>
                <w:szCs w:val="13"/>
                <w:color w:val="auto"/>
              </w:rPr>
            </w:pPr>
          </w:p>
        </w:tc>
        <w:tc>
          <w:tcPr>
            <w:tcW w:w="1080" w:type="dxa"/>
            <w:vAlign w:val="bottom"/>
            <w:shd w:val="clear" w:color="auto" w:fill="D1D2D3"/>
          </w:tcPr>
          <w:p>
            <w:pPr>
              <w:jc w:val="center"/>
              <w:spacing w:after="0" w:line="153" w:lineRule="exact"/>
              <w:rPr>
                <w:sz w:val="20"/>
                <w:szCs w:val="20"/>
                <w:color w:val="auto"/>
              </w:rPr>
            </w:pPr>
            <w:r>
              <w:rPr>
                <w:rFonts w:ascii="Arial" w:cs="Arial" w:eastAsia="Arial" w:hAnsi="Arial"/>
                <w:sz w:val="14"/>
                <w:szCs w:val="14"/>
                <w:b w:val="1"/>
                <w:bCs w:val="1"/>
                <w:color w:val="4395D4"/>
              </w:rPr>
              <w:t>2.7</w:t>
            </w:r>
          </w:p>
        </w:tc>
        <w:tc>
          <w:tcPr>
            <w:tcW w:w="200" w:type="dxa"/>
            <w:vAlign w:val="bottom"/>
            <w:shd w:val="clear" w:color="auto" w:fill="ADAFB2"/>
          </w:tcPr>
          <w:p>
            <w:pPr>
              <w:spacing w:after="0"/>
              <w:rPr>
                <w:sz w:val="13"/>
                <w:szCs w:val="13"/>
                <w:color w:val="auto"/>
              </w:rPr>
            </w:pPr>
          </w:p>
        </w:tc>
        <w:tc>
          <w:tcPr>
            <w:tcW w:w="900" w:type="dxa"/>
            <w:vAlign w:val="bottom"/>
            <w:shd w:val="clear" w:color="auto" w:fill="ADAFB2"/>
          </w:tcPr>
          <w:p>
            <w:pPr>
              <w:jc w:val="right"/>
              <w:ind w:right="88"/>
              <w:spacing w:after="0" w:line="153" w:lineRule="exact"/>
              <w:rPr>
                <w:sz w:val="20"/>
                <w:szCs w:val="20"/>
                <w:color w:val="auto"/>
              </w:rPr>
            </w:pPr>
            <w:r>
              <w:rPr>
                <w:rFonts w:ascii="Arial" w:cs="Arial" w:eastAsia="Arial" w:hAnsi="Arial"/>
                <w:sz w:val="14"/>
                <w:szCs w:val="14"/>
                <w:color w:val="FFFFFF"/>
              </w:rPr>
              <w:t>2.2</w:t>
            </w:r>
          </w:p>
        </w:tc>
        <w:tc>
          <w:tcPr>
            <w:tcW w:w="0" w:type="dxa"/>
            <w:vAlign w:val="bottom"/>
          </w:tcPr>
          <w:p>
            <w:pPr>
              <w:spacing w:after="0"/>
              <w:rPr>
                <w:sz w:val="1"/>
                <w:szCs w:val="1"/>
                <w:color w:val="auto"/>
              </w:rPr>
            </w:pPr>
          </w:p>
        </w:tc>
      </w:tr>
      <w:tr>
        <w:trPr>
          <w:trHeight w:val="51"/>
        </w:trPr>
        <w:tc>
          <w:tcPr>
            <w:tcW w:w="2280" w:type="dxa"/>
            <w:vAlign w:val="bottom"/>
          </w:tcPr>
          <w:p>
            <w:pPr>
              <w:spacing w:after="0"/>
              <w:rPr>
                <w:sz w:val="4"/>
                <w:szCs w:val="4"/>
                <w:color w:val="auto"/>
              </w:rPr>
            </w:pPr>
          </w:p>
        </w:tc>
        <w:tc>
          <w:tcPr>
            <w:tcW w:w="320" w:type="dxa"/>
            <w:vAlign w:val="bottom"/>
          </w:tcPr>
          <w:p>
            <w:pPr>
              <w:spacing w:after="0"/>
              <w:rPr>
                <w:sz w:val="4"/>
                <w:szCs w:val="4"/>
                <w:color w:val="auto"/>
              </w:rPr>
            </w:pPr>
          </w:p>
        </w:tc>
        <w:tc>
          <w:tcPr>
            <w:tcW w:w="3660" w:type="dxa"/>
            <w:vAlign w:val="bottom"/>
            <w:tcBorders>
              <w:bottom w:val="single" w:sz="8" w:color="auto"/>
            </w:tcBorders>
          </w:tcPr>
          <w:p>
            <w:pPr>
              <w:spacing w:after="0"/>
              <w:rPr>
                <w:sz w:val="4"/>
                <w:szCs w:val="4"/>
                <w:color w:val="auto"/>
              </w:rPr>
            </w:pPr>
          </w:p>
        </w:tc>
        <w:tc>
          <w:tcPr>
            <w:tcW w:w="170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08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31"/>
        </w:trPr>
        <w:tc>
          <w:tcPr>
            <w:tcW w:w="2280" w:type="dxa"/>
            <w:vAlign w:val="bottom"/>
          </w:tcPr>
          <w:p>
            <w:pPr>
              <w:spacing w:after="0"/>
              <w:rPr>
                <w:sz w:val="2"/>
                <w:szCs w:val="2"/>
                <w:color w:val="auto"/>
              </w:rPr>
            </w:pPr>
          </w:p>
        </w:tc>
        <w:tc>
          <w:tcPr>
            <w:tcW w:w="3980" w:type="dxa"/>
            <w:vAlign w:val="bottom"/>
            <w:gridSpan w:val="2"/>
            <w:vMerge w:val="restart"/>
          </w:tcPr>
          <w:p>
            <w:pPr>
              <w:ind w:left="320"/>
              <w:spacing w:after="0"/>
              <w:rPr>
                <w:sz w:val="20"/>
                <w:szCs w:val="20"/>
                <w:color w:val="auto"/>
              </w:rPr>
            </w:pPr>
            <w:r>
              <w:rPr>
                <w:rFonts w:ascii="Arial" w:cs="Arial" w:eastAsia="Arial" w:hAnsi="Arial"/>
                <w:sz w:val="14"/>
                <w:szCs w:val="14"/>
                <w:color w:val="231F20"/>
              </w:rPr>
              <w:t>Peoples Gas Safety</w:t>
            </w:r>
          </w:p>
        </w:tc>
        <w:tc>
          <w:tcPr>
            <w:tcW w:w="1700" w:type="dxa"/>
            <w:vAlign w:val="bottom"/>
            <w:vMerge w:val="restart"/>
          </w:tcPr>
          <w:p>
            <w:pPr>
              <w:jc w:val="right"/>
              <w:ind w:right="268"/>
              <w:spacing w:after="0"/>
              <w:rPr>
                <w:sz w:val="20"/>
                <w:szCs w:val="20"/>
                <w:color w:val="auto"/>
              </w:rPr>
            </w:pPr>
            <w:r>
              <w:rPr>
                <w:rFonts w:ascii="Arial" w:cs="Arial" w:eastAsia="Arial" w:hAnsi="Arial"/>
                <w:sz w:val="14"/>
                <w:szCs w:val="14"/>
                <w:b w:val="1"/>
                <w:bCs w:val="1"/>
                <w:color w:val="4395D4"/>
              </w:rPr>
              <w:t>10.00%</w:t>
            </w:r>
          </w:p>
        </w:tc>
        <w:tc>
          <w:tcPr>
            <w:tcW w:w="8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3"/>
        </w:trPr>
        <w:tc>
          <w:tcPr>
            <w:tcW w:w="2280" w:type="dxa"/>
            <w:vAlign w:val="bottom"/>
          </w:tcPr>
          <w:p>
            <w:pPr>
              <w:spacing w:after="0"/>
              <w:rPr>
                <w:sz w:val="13"/>
                <w:szCs w:val="13"/>
                <w:color w:val="auto"/>
              </w:rPr>
            </w:pPr>
          </w:p>
        </w:tc>
        <w:tc>
          <w:tcPr>
            <w:tcW w:w="3980" w:type="dxa"/>
            <w:vAlign w:val="bottom"/>
            <w:gridSpan w:val="2"/>
            <w:vMerge w:val="continue"/>
          </w:tcPr>
          <w:p>
            <w:pPr>
              <w:spacing w:after="0"/>
              <w:rPr>
                <w:sz w:val="13"/>
                <w:szCs w:val="13"/>
                <w:color w:val="auto"/>
              </w:rPr>
            </w:pPr>
          </w:p>
        </w:tc>
        <w:tc>
          <w:tcPr>
            <w:tcW w:w="1700" w:type="dxa"/>
            <w:vAlign w:val="bottom"/>
            <w:vMerge w:val="continue"/>
          </w:tcPr>
          <w:p>
            <w:pPr>
              <w:spacing w:after="0"/>
              <w:rPr>
                <w:sz w:val="13"/>
                <w:szCs w:val="13"/>
                <w:color w:val="auto"/>
              </w:rPr>
            </w:pPr>
          </w:p>
        </w:tc>
        <w:tc>
          <w:tcPr>
            <w:tcW w:w="880" w:type="dxa"/>
            <w:vAlign w:val="bottom"/>
            <w:shd w:val="clear" w:color="auto" w:fill="EAEBEC"/>
          </w:tcPr>
          <w:p>
            <w:pPr>
              <w:ind w:left="100"/>
              <w:spacing w:after="0" w:line="153" w:lineRule="exact"/>
              <w:rPr>
                <w:sz w:val="20"/>
                <w:szCs w:val="20"/>
                <w:color w:val="auto"/>
              </w:rPr>
            </w:pPr>
            <w:r>
              <w:rPr>
                <w:rFonts w:ascii="Arial" w:cs="Arial" w:eastAsia="Arial" w:hAnsi="Arial"/>
                <w:sz w:val="14"/>
                <w:szCs w:val="14"/>
                <w:color w:val="231F20"/>
              </w:rPr>
              <w:t>99.98%</w:t>
            </w:r>
          </w:p>
        </w:tc>
        <w:tc>
          <w:tcPr>
            <w:tcW w:w="220" w:type="dxa"/>
            <w:vAlign w:val="bottom"/>
            <w:shd w:val="clear" w:color="auto" w:fill="EAEBEC"/>
          </w:tcPr>
          <w:p>
            <w:pPr>
              <w:spacing w:after="0"/>
              <w:rPr>
                <w:sz w:val="13"/>
                <w:szCs w:val="13"/>
                <w:color w:val="auto"/>
              </w:rPr>
            </w:pPr>
          </w:p>
        </w:tc>
        <w:tc>
          <w:tcPr>
            <w:tcW w:w="1080" w:type="dxa"/>
            <w:vAlign w:val="bottom"/>
            <w:shd w:val="clear" w:color="auto" w:fill="D1D2D3"/>
          </w:tcPr>
          <w:p>
            <w:pPr>
              <w:jc w:val="center"/>
              <w:spacing w:after="0" w:line="153" w:lineRule="exact"/>
              <w:rPr>
                <w:sz w:val="20"/>
                <w:szCs w:val="20"/>
                <w:color w:val="auto"/>
              </w:rPr>
            </w:pPr>
            <w:r>
              <w:rPr>
                <w:rFonts w:ascii="Arial" w:cs="Arial" w:eastAsia="Arial" w:hAnsi="Arial"/>
                <w:sz w:val="14"/>
                <w:szCs w:val="14"/>
                <w:b w:val="1"/>
                <w:bCs w:val="1"/>
                <w:color w:val="4395D4"/>
              </w:rPr>
              <w:t>99.99%</w:t>
            </w:r>
          </w:p>
        </w:tc>
        <w:tc>
          <w:tcPr>
            <w:tcW w:w="200" w:type="dxa"/>
            <w:vAlign w:val="bottom"/>
            <w:shd w:val="clear" w:color="auto" w:fill="ADAFB2"/>
          </w:tcPr>
          <w:p>
            <w:pPr>
              <w:spacing w:after="0"/>
              <w:rPr>
                <w:sz w:val="13"/>
                <w:szCs w:val="13"/>
                <w:color w:val="auto"/>
              </w:rPr>
            </w:pPr>
          </w:p>
        </w:tc>
        <w:tc>
          <w:tcPr>
            <w:tcW w:w="900" w:type="dxa"/>
            <w:vAlign w:val="bottom"/>
            <w:shd w:val="clear" w:color="auto" w:fill="ADAFB2"/>
          </w:tcPr>
          <w:p>
            <w:pPr>
              <w:jc w:val="right"/>
              <w:ind w:right="88"/>
              <w:spacing w:after="0" w:line="153" w:lineRule="exact"/>
              <w:rPr>
                <w:sz w:val="20"/>
                <w:szCs w:val="20"/>
                <w:color w:val="auto"/>
              </w:rPr>
            </w:pPr>
            <w:r>
              <w:rPr>
                <w:rFonts w:ascii="Arial" w:cs="Arial" w:eastAsia="Arial" w:hAnsi="Arial"/>
                <w:sz w:val="14"/>
                <w:szCs w:val="14"/>
                <w:color w:val="FFFFFF"/>
              </w:rPr>
              <w:t>100.00%</w:t>
            </w:r>
          </w:p>
        </w:tc>
        <w:tc>
          <w:tcPr>
            <w:tcW w:w="0" w:type="dxa"/>
            <w:vAlign w:val="bottom"/>
          </w:tcPr>
          <w:p>
            <w:pPr>
              <w:spacing w:after="0"/>
              <w:rPr>
                <w:sz w:val="1"/>
                <w:szCs w:val="1"/>
                <w:color w:val="auto"/>
              </w:rPr>
            </w:pPr>
          </w:p>
        </w:tc>
      </w:tr>
      <w:tr>
        <w:trPr>
          <w:trHeight w:val="38"/>
        </w:trPr>
        <w:tc>
          <w:tcPr>
            <w:tcW w:w="2280" w:type="dxa"/>
            <w:vAlign w:val="bottom"/>
            <w:tcBorders>
              <w:bottom w:val="single" w:sz="8" w:color="auto"/>
            </w:tcBorders>
          </w:tcPr>
          <w:p>
            <w:pPr>
              <w:spacing w:after="0"/>
              <w:rPr>
                <w:sz w:val="3"/>
                <w:szCs w:val="3"/>
                <w:color w:val="auto"/>
              </w:rPr>
            </w:pPr>
          </w:p>
        </w:tc>
        <w:tc>
          <w:tcPr>
            <w:tcW w:w="3980" w:type="dxa"/>
            <w:vAlign w:val="bottom"/>
            <w:tcBorders>
              <w:bottom w:val="single" w:sz="8" w:color="auto"/>
            </w:tcBorders>
            <w:gridSpan w:val="2"/>
          </w:tcPr>
          <w:p>
            <w:pPr>
              <w:spacing w:after="0"/>
              <w:rPr>
                <w:sz w:val="3"/>
                <w:szCs w:val="3"/>
                <w:color w:val="auto"/>
              </w:rPr>
            </w:pPr>
          </w:p>
        </w:tc>
        <w:tc>
          <w:tcPr>
            <w:tcW w:w="170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31"/>
        </w:trPr>
        <w:tc>
          <w:tcPr>
            <w:tcW w:w="2280" w:type="dxa"/>
            <w:vAlign w:val="bottom"/>
            <w:vMerge w:val="restart"/>
          </w:tcPr>
          <w:p>
            <w:pPr>
              <w:spacing w:after="0"/>
              <w:rPr>
                <w:sz w:val="20"/>
                <w:szCs w:val="20"/>
                <w:color w:val="auto"/>
              </w:rPr>
            </w:pPr>
            <w:r>
              <w:rPr>
                <w:rFonts w:ascii="Arial" w:cs="Arial" w:eastAsia="Arial" w:hAnsi="Arial"/>
                <w:sz w:val="14"/>
                <w:szCs w:val="14"/>
                <w:b w:val="1"/>
                <w:bCs w:val="1"/>
                <w:color w:val="455986"/>
              </w:rPr>
              <w:t>Customer Satisfaction (10%)</w:t>
            </w:r>
          </w:p>
        </w:tc>
        <w:tc>
          <w:tcPr>
            <w:tcW w:w="3980" w:type="dxa"/>
            <w:vAlign w:val="bottom"/>
            <w:gridSpan w:val="2"/>
            <w:vMerge w:val="restart"/>
          </w:tcPr>
          <w:p>
            <w:pPr>
              <w:ind w:left="320"/>
              <w:spacing w:after="0"/>
              <w:rPr>
                <w:sz w:val="20"/>
                <w:szCs w:val="20"/>
                <w:color w:val="auto"/>
              </w:rPr>
            </w:pPr>
            <w:r>
              <w:rPr>
                <w:rFonts w:ascii="Arial" w:cs="Arial" w:eastAsia="Arial" w:hAnsi="Arial"/>
                <w:sz w:val="14"/>
                <w:szCs w:val="14"/>
                <w:color w:val="231F20"/>
              </w:rPr>
              <w:t>Essential Service Level</w:t>
            </w:r>
          </w:p>
        </w:tc>
        <w:tc>
          <w:tcPr>
            <w:tcW w:w="1700" w:type="dxa"/>
            <w:vAlign w:val="bottom"/>
            <w:vMerge w:val="restart"/>
          </w:tcPr>
          <w:p>
            <w:pPr>
              <w:jc w:val="right"/>
              <w:ind w:right="268"/>
              <w:spacing w:after="0"/>
              <w:rPr>
                <w:sz w:val="20"/>
                <w:szCs w:val="20"/>
                <w:color w:val="auto"/>
              </w:rPr>
            </w:pPr>
            <w:r>
              <w:rPr>
                <w:rFonts w:ascii="Arial" w:cs="Arial" w:eastAsia="Arial" w:hAnsi="Arial"/>
                <w:sz w:val="14"/>
                <w:szCs w:val="14"/>
                <w:b w:val="1"/>
                <w:bCs w:val="1"/>
                <w:color w:val="4395D4"/>
              </w:rPr>
              <w:t>10.00%</w:t>
            </w:r>
          </w:p>
        </w:tc>
        <w:tc>
          <w:tcPr>
            <w:tcW w:w="8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3"/>
        </w:trPr>
        <w:tc>
          <w:tcPr>
            <w:tcW w:w="2280" w:type="dxa"/>
            <w:vAlign w:val="bottom"/>
            <w:vMerge w:val="continue"/>
          </w:tcPr>
          <w:p>
            <w:pPr>
              <w:spacing w:after="0"/>
              <w:rPr>
                <w:sz w:val="13"/>
                <w:szCs w:val="13"/>
                <w:color w:val="auto"/>
              </w:rPr>
            </w:pPr>
          </w:p>
        </w:tc>
        <w:tc>
          <w:tcPr>
            <w:tcW w:w="3980" w:type="dxa"/>
            <w:vAlign w:val="bottom"/>
            <w:gridSpan w:val="2"/>
            <w:vMerge w:val="continue"/>
          </w:tcPr>
          <w:p>
            <w:pPr>
              <w:spacing w:after="0"/>
              <w:rPr>
                <w:sz w:val="13"/>
                <w:szCs w:val="13"/>
                <w:color w:val="auto"/>
              </w:rPr>
            </w:pPr>
          </w:p>
        </w:tc>
        <w:tc>
          <w:tcPr>
            <w:tcW w:w="1700" w:type="dxa"/>
            <w:vAlign w:val="bottom"/>
            <w:vMerge w:val="continue"/>
          </w:tcPr>
          <w:p>
            <w:pPr>
              <w:spacing w:after="0"/>
              <w:rPr>
                <w:sz w:val="13"/>
                <w:szCs w:val="13"/>
                <w:color w:val="auto"/>
              </w:rPr>
            </w:pPr>
          </w:p>
        </w:tc>
        <w:tc>
          <w:tcPr>
            <w:tcW w:w="880" w:type="dxa"/>
            <w:vAlign w:val="bottom"/>
            <w:shd w:val="clear" w:color="auto" w:fill="EAEBEC"/>
          </w:tcPr>
          <w:p>
            <w:pPr>
              <w:ind w:left="100"/>
              <w:spacing w:after="0" w:line="153" w:lineRule="exact"/>
              <w:rPr>
                <w:sz w:val="20"/>
                <w:szCs w:val="20"/>
                <w:color w:val="auto"/>
              </w:rPr>
            </w:pPr>
            <w:r>
              <w:rPr>
                <w:rFonts w:ascii="Arial" w:cs="Arial" w:eastAsia="Arial" w:hAnsi="Arial"/>
                <w:sz w:val="14"/>
                <w:szCs w:val="14"/>
                <w:color w:val="231F20"/>
              </w:rPr>
              <w:t>80%/30sec</w:t>
            </w:r>
          </w:p>
        </w:tc>
        <w:tc>
          <w:tcPr>
            <w:tcW w:w="220" w:type="dxa"/>
            <w:vAlign w:val="bottom"/>
            <w:shd w:val="clear" w:color="auto" w:fill="EAEBEC"/>
          </w:tcPr>
          <w:p>
            <w:pPr>
              <w:spacing w:after="0"/>
              <w:rPr>
                <w:sz w:val="13"/>
                <w:szCs w:val="13"/>
                <w:color w:val="auto"/>
              </w:rPr>
            </w:pPr>
          </w:p>
        </w:tc>
        <w:tc>
          <w:tcPr>
            <w:tcW w:w="1080" w:type="dxa"/>
            <w:vAlign w:val="bottom"/>
            <w:shd w:val="clear" w:color="auto" w:fill="D1D2D3"/>
          </w:tcPr>
          <w:p>
            <w:pPr>
              <w:jc w:val="center"/>
              <w:spacing w:after="0" w:line="153" w:lineRule="exact"/>
              <w:rPr>
                <w:sz w:val="20"/>
                <w:szCs w:val="20"/>
                <w:color w:val="auto"/>
              </w:rPr>
            </w:pPr>
            <w:r>
              <w:rPr>
                <w:rFonts w:ascii="Arial" w:cs="Arial" w:eastAsia="Arial" w:hAnsi="Arial"/>
                <w:sz w:val="14"/>
                <w:szCs w:val="14"/>
                <w:b w:val="1"/>
                <w:bCs w:val="1"/>
                <w:color w:val="4395D4"/>
              </w:rPr>
              <w:t>82%/30sec</w:t>
            </w:r>
          </w:p>
        </w:tc>
        <w:tc>
          <w:tcPr>
            <w:tcW w:w="200" w:type="dxa"/>
            <w:vAlign w:val="bottom"/>
            <w:shd w:val="clear" w:color="auto" w:fill="ADAFB2"/>
          </w:tcPr>
          <w:p>
            <w:pPr>
              <w:spacing w:after="0"/>
              <w:rPr>
                <w:sz w:val="13"/>
                <w:szCs w:val="13"/>
                <w:color w:val="auto"/>
              </w:rPr>
            </w:pPr>
          </w:p>
        </w:tc>
        <w:tc>
          <w:tcPr>
            <w:tcW w:w="900" w:type="dxa"/>
            <w:vAlign w:val="bottom"/>
            <w:shd w:val="clear" w:color="auto" w:fill="ADAFB2"/>
          </w:tcPr>
          <w:p>
            <w:pPr>
              <w:jc w:val="right"/>
              <w:ind w:right="88"/>
              <w:spacing w:after="0" w:line="153" w:lineRule="exact"/>
              <w:rPr>
                <w:sz w:val="20"/>
                <w:szCs w:val="20"/>
                <w:color w:val="auto"/>
              </w:rPr>
            </w:pPr>
            <w:r>
              <w:rPr>
                <w:rFonts w:ascii="Arial" w:cs="Arial" w:eastAsia="Arial" w:hAnsi="Arial"/>
                <w:sz w:val="14"/>
                <w:szCs w:val="14"/>
                <w:color w:val="FFFFFF"/>
              </w:rPr>
              <w:t>84%/30sec</w:t>
            </w:r>
          </w:p>
        </w:tc>
        <w:tc>
          <w:tcPr>
            <w:tcW w:w="0" w:type="dxa"/>
            <w:vAlign w:val="bottom"/>
          </w:tcPr>
          <w:p>
            <w:pPr>
              <w:spacing w:after="0"/>
              <w:rPr>
                <w:sz w:val="1"/>
                <w:szCs w:val="1"/>
                <w:color w:val="auto"/>
              </w:rPr>
            </w:pPr>
          </w:p>
        </w:tc>
      </w:tr>
      <w:tr>
        <w:trPr>
          <w:trHeight w:val="38"/>
        </w:trPr>
        <w:tc>
          <w:tcPr>
            <w:tcW w:w="2280" w:type="dxa"/>
            <w:vAlign w:val="bottom"/>
            <w:tcBorders>
              <w:bottom w:val="single" w:sz="8" w:color="auto"/>
            </w:tcBorders>
          </w:tcPr>
          <w:p>
            <w:pPr>
              <w:spacing w:after="0"/>
              <w:rPr>
                <w:sz w:val="3"/>
                <w:szCs w:val="3"/>
                <w:color w:val="auto"/>
              </w:rPr>
            </w:pPr>
          </w:p>
        </w:tc>
        <w:tc>
          <w:tcPr>
            <w:tcW w:w="3980" w:type="dxa"/>
            <w:vAlign w:val="bottom"/>
            <w:tcBorders>
              <w:bottom w:val="single" w:sz="8" w:color="auto"/>
            </w:tcBorders>
            <w:gridSpan w:val="2"/>
          </w:tcPr>
          <w:p>
            <w:pPr>
              <w:spacing w:after="0"/>
              <w:rPr>
                <w:sz w:val="3"/>
                <w:szCs w:val="3"/>
                <w:color w:val="auto"/>
              </w:rPr>
            </w:pPr>
          </w:p>
        </w:tc>
        <w:tc>
          <w:tcPr>
            <w:tcW w:w="170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31"/>
        </w:trPr>
        <w:tc>
          <w:tcPr>
            <w:tcW w:w="2280" w:type="dxa"/>
            <w:vAlign w:val="bottom"/>
            <w:vMerge w:val="restart"/>
          </w:tcPr>
          <w:p>
            <w:pPr>
              <w:spacing w:after="0"/>
              <w:rPr>
                <w:sz w:val="20"/>
                <w:szCs w:val="20"/>
                <w:color w:val="auto"/>
              </w:rPr>
            </w:pPr>
            <w:r>
              <w:rPr>
                <w:rFonts w:ascii="Arial" w:cs="Arial" w:eastAsia="Arial" w:hAnsi="Arial"/>
                <w:sz w:val="14"/>
                <w:szCs w:val="14"/>
                <w:b w:val="1"/>
                <w:bCs w:val="1"/>
                <w:color w:val="455986"/>
              </w:rPr>
              <w:t>Environmental</w:t>
            </w:r>
          </w:p>
        </w:tc>
        <w:tc>
          <w:tcPr>
            <w:tcW w:w="3980" w:type="dxa"/>
            <w:vAlign w:val="bottom"/>
            <w:gridSpan w:val="2"/>
            <w:vMerge w:val="restart"/>
          </w:tcPr>
          <w:p>
            <w:pPr>
              <w:ind w:left="320"/>
              <w:spacing w:after="0"/>
              <w:rPr>
                <w:sz w:val="20"/>
                <w:szCs w:val="20"/>
                <w:color w:val="auto"/>
              </w:rPr>
            </w:pPr>
            <w:r>
              <w:rPr>
                <w:rFonts w:ascii="Arial" w:cs="Arial" w:eastAsia="Arial" w:hAnsi="Arial"/>
                <w:sz w:val="14"/>
                <w:szCs w:val="14"/>
                <w:color w:val="231F20"/>
              </w:rPr>
              <w:t>Aqua Water Compliance</w:t>
            </w:r>
          </w:p>
        </w:tc>
        <w:tc>
          <w:tcPr>
            <w:tcW w:w="1700" w:type="dxa"/>
            <w:vAlign w:val="bottom"/>
            <w:vMerge w:val="restart"/>
          </w:tcPr>
          <w:p>
            <w:pPr>
              <w:jc w:val="right"/>
              <w:ind w:right="268"/>
              <w:spacing w:after="0"/>
              <w:rPr>
                <w:sz w:val="20"/>
                <w:szCs w:val="20"/>
                <w:color w:val="auto"/>
              </w:rPr>
            </w:pPr>
            <w:r>
              <w:rPr>
                <w:rFonts w:ascii="Arial" w:cs="Arial" w:eastAsia="Arial" w:hAnsi="Arial"/>
                <w:sz w:val="14"/>
                <w:szCs w:val="14"/>
                <w:b w:val="1"/>
                <w:bCs w:val="1"/>
                <w:color w:val="4395D4"/>
              </w:rPr>
              <w:t>2.50%</w:t>
            </w:r>
          </w:p>
        </w:tc>
        <w:tc>
          <w:tcPr>
            <w:tcW w:w="8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3"/>
        </w:trPr>
        <w:tc>
          <w:tcPr>
            <w:tcW w:w="2280" w:type="dxa"/>
            <w:vAlign w:val="bottom"/>
            <w:vMerge w:val="continue"/>
          </w:tcPr>
          <w:p>
            <w:pPr>
              <w:spacing w:after="0"/>
              <w:rPr>
                <w:sz w:val="13"/>
                <w:szCs w:val="13"/>
                <w:color w:val="auto"/>
              </w:rPr>
            </w:pPr>
          </w:p>
        </w:tc>
        <w:tc>
          <w:tcPr>
            <w:tcW w:w="3980" w:type="dxa"/>
            <w:vAlign w:val="bottom"/>
            <w:gridSpan w:val="2"/>
            <w:vMerge w:val="continue"/>
          </w:tcPr>
          <w:p>
            <w:pPr>
              <w:spacing w:after="0"/>
              <w:rPr>
                <w:sz w:val="13"/>
                <w:szCs w:val="13"/>
                <w:color w:val="auto"/>
              </w:rPr>
            </w:pPr>
          </w:p>
        </w:tc>
        <w:tc>
          <w:tcPr>
            <w:tcW w:w="1700" w:type="dxa"/>
            <w:vAlign w:val="bottom"/>
            <w:vMerge w:val="continue"/>
          </w:tcPr>
          <w:p>
            <w:pPr>
              <w:spacing w:after="0"/>
              <w:rPr>
                <w:sz w:val="13"/>
                <w:szCs w:val="13"/>
                <w:color w:val="auto"/>
              </w:rPr>
            </w:pPr>
          </w:p>
        </w:tc>
        <w:tc>
          <w:tcPr>
            <w:tcW w:w="880" w:type="dxa"/>
            <w:vAlign w:val="bottom"/>
            <w:shd w:val="clear" w:color="auto" w:fill="EAEBEC"/>
          </w:tcPr>
          <w:p>
            <w:pPr>
              <w:ind w:left="100"/>
              <w:spacing w:after="0" w:line="153" w:lineRule="exact"/>
              <w:rPr>
                <w:sz w:val="20"/>
                <w:szCs w:val="20"/>
                <w:color w:val="auto"/>
              </w:rPr>
            </w:pPr>
            <w:r>
              <w:rPr>
                <w:rFonts w:ascii="Arial" w:cs="Arial" w:eastAsia="Arial" w:hAnsi="Arial"/>
                <w:sz w:val="14"/>
                <w:szCs w:val="14"/>
                <w:color w:val="231F20"/>
              </w:rPr>
              <w:t>99.30%</w:t>
            </w:r>
          </w:p>
        </w:tc>
        <w:tc>
          <w:tcPr>
            <w:tcW w:w="220" w:type="dxa"/>
            <w:vAlign w:val="bottom"/>
            <w:shd w:val="clear" w:color="auto" w:fill="EAEBEC"/>
          </w:tcPr>
          <w:p>
            <w:pPr>
              <w:spacing w:after="0"/>
              <w:rPr>
                <w:sz w:val="13"/>
                <w:szCs w:val="13"/>
                <w:color w:val="auto"/>
              </w:rPr>
            </w:pPr>
          </w:p>
        </w:tc>
        <w:tc>
          <w:tcPr>
            <w:tcW w:w="1080" w:type="dxa"/>
            <w:vAlign w:val="bottom"/>
            <w:shd w:val="clear" w:color="auto" w:fill="D1D2D3"/>
          </w:tcPr>
          <w:p>
            <w:pPr>
              <w:jc w:val="center"/>
              <w:spacing w:after="0" w:line="153" w:lineRule="exact"/>
              <w:rPr>
                <w:sz w:val="20"/>
                <w:szCs w:val="20"/>
                <w:color w:val="auto"/>
              </w:rPr>
            </w:pPr>
            <w:r>
              <w:rPr>
                <w:rFonts w:ascii="Arial" w:cs="Arial" w:eastAsia="Arial" w:hAnsi="Arial"/>
                <w:sz w:val="14"/>
                <w:szCs w:val="14"/>
                <w:b w:val="1"/>
                <w:bCs w:val="1"/>
                <w:color w:val="4395D4"/>
              </w:rPr>
              <w:t>99.70%</w:t>
            </w:r>
          </w:p>
        </w:tc>
        <w:tc>
          <w:tcPr>
            <w:tcW w:w="200" w:type="dxa"/>
            <w:vAlign w:val="bottom"/>
            <w:shd w:val="clear" w:color="auto" w:fill="ADAFB2"/>
          </w:tcPr>
          <w:p>
            <w:pPr>
              <w:spacing w:after="0"/>
              <w:rPr>
                <w:sz w:val="13"/>
                <w:szCs w:val="13"/>
                <w:color w:val="auto"/>
              </w:rPr>
            </w:pPr>
          </w:p>
        </w:tc>
        <w:tc>
          <w:tcPr>
            <w:tcW w:w="900" w:type="dxa"/>
            <w:vAlign w:val="bottom"/>
            <w:shd w:val="clear" w:color="auto" w:fill="ADAFB2"/>
          </w:tcPr>
          <w:p>
            <w:pPr>
              <w:jc w:val="right"/>
              <w:ind w:right="88"/>
              <w:spacing w:after="0" w:line="153" w:lineRule="exact"/>
              <w:rPr>
                <w:sz w:val="20"/>
                <w:szCs w:val="20"/>
                <w:color w:val="auto"/>
              </w:rPr>
            </w:pPr>
            <w:r>
              <w:rPr>
                <w:rFonts w:ascii="Arial" w:cs="Arial" w:eastAsia="Arial" w:hAnsi="Arial"/>
                <w:sz w:val="14"/>
                <w:szCs w:val="14"/>
                <w:color w:val="FFFFFF"/>
              </w:rPr>
              <w:t>100.00%</w:t>
            </w:r>
          </w:p>
        </w:tc>
        <w:tc>
          <w:tcPr>
            <w:tcW w:w="0" w:type="dxa"/>
            <w:vAlign w:val="bottom"/>
          </w:tcPr>
          <w:p>
            <w:pPr>
              <w:spacing w:after="0"/>
              <w:rPr>
                <w:sz w:val="1"/>
                <w:szCs w:val="1"/>
                <w:color w:val="auto"/>
              </w:rPr>
            </w:pPr>
          </w:p>
        </w:tc>
      </w:tr>
      <w:tr>
        <w:trPr>
          <w:trHeight w:val="51"/>
        </w:trPr>
        <w:tc>
          <w:tcPr>
            <w:tcW w:w="2280" w:type="dxa"/>
            <w:vAlign w:val="bottom"/>
          </w:tcPr>
          <w:p>
            <w:pPr>
              <w:spacing w:after="0"/>
              <w:rPr>
                <w:sz w:val="4"/>
                <w:szCs w:val="4"/>
                <w:color w:val="auto"/>
              </w:rPr>
            </w:pPr>
          </w:p>
        </w:tc>
        <w:tc>
          <w:tcPr>
            <w:tcW w:w="320" w:type="dxa"/>
            <w:vAlign w:val="bottom"/>
          </w:tcPr>
          <w:p>
            <w:pPr>
              <w:spacing w:after="0"/>
              <w:rPr>
                <w:sz w:val="4"/>
                <w:szCs w:val="4"/>
                <w:color w:val="auto"/>
              </w:rPr>
            </w:pPr>
          </w:p>
        </w:tc>
        <w:tc>
          <w:tcPr>
            <w:tcW w:w="3660" w:type="dxa"/>
            <w:vAlign w:val="bottom"/>
            <w:tcBorders>
              <w:bottom w:val="single" w:sz="8" w:color="auto"/>
            </w:tcBorders>
          </w:tcPr>
          <w:p>
            <w:pPr>
              <w:spacing w:after="0"/>
              <w:rPr>
                <w:sz w:val="4"/>
                <w:szCs w:val="4"/>
                <w:color w:val="auto"/>
              </w:rPr>
            </w:pPr>
          </w:p>
        </w:tc>
        <w:tc>
          <w:tcPr>
            <w:tcW w:w="170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08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31"/>
        </w:trPr>
        <w:tc>
          <w:tcPr>
            <w:tcW w:w="2280" w:type="dxa"/>
            <w:vAlign w:val="bottom"/>
            <w:vMerge w:val="restart"/>
          </w:tcPr>
          <w:p>
            <w:pPr>
              <w:spacing w:after="0"/>
              <w:rPr>
                <w:sz w:val="20"/>
                <w:szCs w:val="20"/>
                <w:color w:val="auto"/>
              </w:rPr>
            </w:pPr>
            <w:r>
              <w:rPr>
                <w:rFonts w:ascii="Arial" w:cs="Arial" w:eastAsia="Arial" w:hAnsi="Arial"/>
                <w:sz w:val="14"/>
                <w:szCs w:val="14"/>
                <w:b w:val="1"/>
                <w:bCs w:val="1"/>
                <w:color w:val="455986"/>
              </w:rPr>
              <w:t>Stewardship (10%)</w:t>
            </w:r>
          </w:p>
        </w:tc>
        <w:tc>
          <w:tcPr>
            <w:tcW w:w="3980" w:type="dxa"/>
            <w:vAlign w:val="bottom"/>
            <w:gridSpan w:val="2"/>
            <w:vMerge w:val="restart"/>
          </w:tcPr>
          <w:p>
            <w:pPr>
              <w:ind w:left="320"/>
              <w:spacing w:after="0"/>
              <w:rPr>
                <w:sz w:val="20"/>
                <w:szCs w:val="20"/>
                <w:color w:val="auto"/>
              </w:rPr>
            </w:pPr>
            <w:r>
              <w:rPr>
                <w:rFonts w:ascii="Arial" w:cs="Arial" w:eastAsia="Arial" w:hAnsi="Arial"/>
                <w:sz w:val="14"/>
                <w:szCs w:val="14"/>
                <w:color w:val="231F20"/>
              </w:rPr>
              <w:t>Aqua Wastewater Compliance</w:t>
            </w:r>
          </w:p>
        </w:tc>
        <w:tc>
          <w:tcPr>
            <w:tcW w:w="1700" w:type="dxa"/>
            <w:vAlign w:val="bottom"/>
            <w:vMerge w:val="restart"/>
          </w:tcPr>
          <w:p>
            <w:pPr>
              <w:jc w:val="right"/>
              <w:ind w:right="268"/>
              <w:spacing w:after="0"/>
              <w:rPr>
                <w:sz w:val="20"/>
                <w:szCs w:val="20"/>
                <w:color w:val="auto"/>
              </w:rPr>
            </w:pPr>
            <w:r>
              <w:rPr>
                <w:rFonts w:ascii="Arial" w:cs="Arial" w:eastAsia="Arial" w:hAnsi="Arial"/>
                <w:sz w:val="14"/>
                <w:szCs w:val="14"/>
                <w:b w:val="1"/>
                <w:bCs w:val="1"/>
                <w:color w:val="4395D4"/>
              </w:rPr>
              <w:t>2.50%</w:t>
            </w:r>
          </w:p>
        </w:tc>
        <w:tc>
          <w:tcPr>
            <w:tcW w:w="8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3"/>
        </w:trPr>
        <w:tc>
          <w:tcPr>
            <w:tcW w:w="2280" w:type="dxa"/>
            <w:vAlign w:val="bottom"/>
            <w:vMerge w:val="continue"/>
          </w:tcPr>
          <w:p>
            <w:pPr>
              <w:spacing w:after="0"/>
              <w:rPr>
                <w:sz w:val="13"/>
                <w:szCs w:val="13"/>
                <w:color w:val="auto"/>
              </w:rPr>
            </w:pPr>
          </w:p>
        </w:tc>
        <w:tc>
          <w:tcPr>
            <w:tcW w:w="3980" w:type="dxa"/>
            <w:vAlign w:val="bottom"/>
            <w:gridSpan w:val="2"/>
            <w:vMerge w:val="continue"/>
          </w:tcPr>
          <w:p>
            <w:pPr>
              <w:spacing w:after="0"/>
              <w:rPr>
                <w:sz w:val="13"/>
                <w:szCs w:val="13"/>
                <w:color w:val="auto"/>
              </w:rPr>
            </w:pPr>
          </w:p>
        </w:tc>
        <w:tc>
          <w:tcPr>
            <w:tcW w:w="1700" w:type="dxa"/>
            <w:vAlign w:val="bottom"/>
            <w:vMerge w:val="continue"/>
          </w:tcPr>
          <w:p>
            <w:pPr>
              <w:spacing w:after="0"/>
              <w:rPr>
                <w:sz w:val="13"/>
                <w:szCs w:val="13"/>
                <w:color w:val="auto"/>
              </w:rPr>
            </w:pPr>
          </w:p>
        </w:tc>
        <w:tc>
          <w:tcPr>
            <w:tcW w:w="880" w:type="dxa"/>
            <w:vAlign w:val="bottom"/>
            <w:shd w:val="clear" w:color="auto" w:fill="EAEBEC"/>
          </w:tcPr>
          <w:p>
            <w:pPr>
              <w:ind w:left="100"/>
              <w:spacing w:after="0" w:line="153" w:lineRule="exact"/>
              <w:rPr>
                <w:sz w:val="20"/>
                <w:szCs w:val="20"/>
                <w:color w:val="auto"/>
              </w:rPr>
            </w:pPr>
            <w:r>
              <w:rPr>
                <w:rFonts w:ascii="Arial" w:cs="Arial" w:eastAsia="Arial" w:hAnsi="Arial"/>
                <w:sz w:val="14"/>
                <w:szCs w:val="14"/>
                <w:color w:val="231F20"/>
              </w:rPr>
              <w:t>93.00%</w:t>
            </w:r>
          </w:p>
        </w:tc>
        <w:tc>
          <w:tcPr>
            <w:tcW w:w="220" w:type="dxa"/>
            <w:vAlign w:val="bottom"/>
            <w:shd w:val="clear" w:color="auto" w:fill="EAEBEC"/>
          </w:tcPr>
          <w:p>
            <w:pPr>
              <w:spacing w:after="0"/>
              <w:rPr>
                <w:sz w:val="13"/>
                <w:szCs w:val="13"/>
                <w:color w:val="auto"/>
              </w:rPr>
            </w:pPr>
          </w:p>
        </w:tc>
        <w:tc>
          <w:tcPr>
            <w:tcW w:w="1080" w:type="dxa"/>
            <w:vAlign w:val="bottom"/>
            <w:shd w:val="clear" w:color="auto" w:fill="D1D2D3"/>
          </w:tcPr>
          <w:p>
            <w:pPr>
              <w:jc w:val="center"/>
              <w:spacing w:after="0" w:line="153" w:lineRule="exact"/>
              <w:rPr>
                <w:sz w:val="20"/>
                <w:szCs w:val="20"/>
                <w:color w:val="auto"/>
              </w:rPr>
            </w:pPr>
            <w:r>
              <w:rPr>
                <w:rFonts w:ascii="Arial" w:cs="Arial" w:eastAsia="Arial" w:hAnsi="Arial"/>
                <w:sz w:val="14"/>
                <w:szCs w:val="14"/>
                <w:b w:val="1"/>
                <w:bCs w:val="1"/>
                <w:color w:val="4395D4"/>
              </w:rPr>
              <w:t>95.50%</w:t>
            </w:r>
          </w:p>
        </w:tc>
        <w:tc>
          <w:tcPr>
            <w:tcW w:w="200" w:type="dxa"/>
            <w:vAlign w:val="bottom"/>
            <w:shd w:val="clear" w:color="auto" w:fill="ADAFB2"/>
          </w:tcPr>
          <w:p>
            <w:pPr>
              <w:spacing w:after="0"/>
              <w:rPr>
                <w:sz w:val="13"/>
                <w:szCs w:val="13"/>
                <w:color w:val="auto"/>
              </w:rPr>
            </w:pPr>
          </w:p>
        </w:tc>
        <w:tc>
          <w:tcPr>
            <w:tcW w:w="900" w:type="dxa"/>
            <w:vAlign w:val="bottom"/>
            <w:shd w:val="clear" w:color="auto" w:fill="ADAFB2"/>
          </w:tcPr>
          <w:p>
            <w:pPr>
              <w:jc w:val="right"/>
              <w:ind w:right="88"/>
              <w:spacing w:after="0" w:line="153" w:lineRule="exact"/>
              <w:rPr>
                <w:sz w:val="20"/>
                <w:szCs w:val="20"/>
                <w:color w:val="auto"/>
              </w:rPr>
            </w:pPr>
            <w:r>
              <w:rPr>
                <w:rFonts w:ascii="Arial" w:cs="Arial" w:eastAsia="Arial" w:hAnsi="Arial"/>
                <w:sz w:val="14"/>
                <w:szCs w:val="14"/>
                <w:color w:val="FFFFFF"/>
              </w:rPr>
              <w:t>98.00%</w:t>
            </w:r>
          </w:p>
        </w:tc>
        <w:tc>
          <w:tcPr>
            <w:tcW w:w="0" w:type="dxa"/>
            <w:vAlign w:val="bottom"/>
          </w:tcPr>
          <w:p>
            <w:pPr>
              <w:spacing w:after="0"/>
              <w:rPr>
                <w:sz w:val="1"/>
                <w:szCs w:val="1"/>
                <w:color w:val="auto"/>
              </w:rPr>
            </w:pPr>
          </w:p>
        </w:tc>
      </w:tr>
      <w:tr>
        <w:trPr>
          <w:trHeight w:val="51"/>
        </w:trPr>
        <w:tc>
          <w:tcPr>
            <w:tcW w:w="2280" w:type="dxa"/>
            <w:vAlign w:val="bottom"/>
          </w:tcPr>
          <w:p>
            <w:pPr>
              <w:spacing w:after="0"/>
              <w:rPr>
                <w:sz w:val="4"/>
                <w:szCs w:val="4"/>
                <w:color w:val="auto"/>
              </w:rPr>
            </w:pPr>
          </w:p>
        </w:tc>
        <w:tc>
          <w:tcPr>
            <w:tcW w:w="320" w:type="dxa"/>
            <w:vAlign w:val="bottom"/>
          </w:tcPr>
          <w:p>
            <w:pPr>
              <w:spacing w:after="0"/>
              <w:rPr>
                <w:sz w:val="4"/>
                <w:szCs w:val="4"/>
                <w:color w:val="auto"/>
              </w:rPr>
            </w:pPr>
          </w:p>
        </w:tc>
        <w:tc>
          <w:tcPr>
            <w:tcW w:w="3660" w:type="dxa"/>
            <w:vAlign w:val="bottom"/>
            <w:tcBorders>
              <w:bottom w:val="single" w:sz="8" w:color="auto"/>
            </w:tcBorders>
          </w:tcPr>
          <w:p>
            <w:pPr>
              <w:spacing w:after="0"/>
              <w:rPr>
                <w:sz w:val="4"/>
                <w:szCs w:val="4"/>
                <w:color w:val="auto"/>
              </w:rPr>
            </w:pPr>
          </w:p>
        </w:tc>
        <w:tc>
          <w:tcPr>
            <w:tcW w:w="170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08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31"/>
        </w:trPr>
        <w:tc>
          <w:tcPr>
            <w:tcW w:w="2280" w:type="dxa"/>
            <w:vAlign w:val="bottom"/>
          </w:tcPr>
          <w:p>
            <w:pPr>
              <w:spacing w:after="0"/>
              <w:rPr>
                <w:sz w:val="2"/>
                <w:szCs w:val="2"/>
                <w:color w:val="auto"/>
              </w:rPr>
            </w:pPr>
          </w:p>
        </w:tc>
        <w:tc>
          <w:tcPr>
            <w:tcW w:w="3980" w:type="dxa"/>
            <w:vAlign w:val="bottom"/>
            <w:gridSpan w:val="2"/>
            <w:vMerge w:val="restart"/>
          </w:tcPr>
          <w:p>
            <w:pPr>
              <w:ind w:left="320"/>
              <w:spacing w:after="0"/>
              <w:rPr>
                <w:sz w:val="20"/>
                <w:szCs w:val="20"/>
                <w:color w:val="auto"/>
              </w:rPr>
            </w:pPr>
            <w:r>
              <w:rPr>
                <w:rFonts w:ascii="Arial" w:cs="Arial" w:eastAsia="Arial" w:hAnsi="Arial"/>
                <w:sz w:val="14"/>
                <w:szCs w:val="14"/>
                <w:color w:val="231F20"/>
              </w:rPr>
              <w:t>Peoples Gas Leaks</w:t>
            </w:r>
          </w:p>
        </w:tc>
        <w:tc>
          <w:tcPr>
            <w:tcW w:w="1700" w:type="dxa"/>
            <w:vAlign w:val="bottom"/>
            <w:vMerge w:val="restart"/>
          </w:tcPr>
          <w:p>
            <w:pPr>
              <w:jc w:val="right"/>
              <w:ind w:right="268"/>
              <w:spacing w:after="0"/>
              <w:rPr>
                <w:sz w:val="20"/>
                <w:szCs w:val="20"/>
                <w:color w:val="auto"/>
              </w:rPr>
            </w:pPr>
            <w:r>
              <w:rPr>
                <w:rFonts w:ascii="Arial" w:cs="Arial" w:eastAsia="Arial" w:hAnsi="Arial"/>
                <w:sz w:val="14"/>
                <w:szCs w:val="14"/>
                <w:b w:val="1"/>
                <w:bCs w:val="1"/>
                <w:color w:val="4395D4"/>
              </w:rPr>
              <w:t>2.50%</w:t>
            </w:r>
          </w:p>
        </w:tc>
        <w:tc>
          <w:tcPr>
            <w:tcW w:w="8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3"/>
        </w:trPr>
        <w:tc>
          <w:tcPr>
            <w:tcW w:w="2280" w:type="dxa"/>
            <w:vAlign w:val="bottom"/>
          </w:tcPr>
          <w:p>
            <w:pPr>
              <w:spacing w:after="0"/>
              <w:rPr>
                <w:sz w:val="13"/>
                <w:szCs w:val="13"/>
                <w:color w:val="auto"/>
              </w:rPr>
            </w:pPr>
          </w:p>
        </w:tc>
        <w:tc>
          <w:tcPr>
            <w:tcW w:w="3980" w:type="dxa"/>
            <w:vAlign w:val="bottom"/>
            <w:gridSpan w:val="2"/>
            <w:vMerge w:val="continue"/>
          </w:tcPr>
          <w:p>
            <w:pPr>
              <w:spacing w:after="0"/>
              <w:rPr>
                <w:sz w:val="13"/>
                <w:szCs w:val="13"/>
                <w:color w:val="auto"/>
              </w:rPr>
            </w:pPr>
          </w:p>
        </w:tc>
        <w:tc>
          <w:tcPr>
            <w:tcW w:w="1700" w:type="dxa"/>
            <w:vAlign w:val="bottom"/>
            <w:vMerge w:val="continue"/>
          </w:tcPr>
          <w:p>
            <w:pPr>
              <w:spacing w:after="0"/>
              <w:rPr>
                <w:sz w:val="13"/>
                <w:szCs w:val="13"/>
                <w:color w:val="auto"/>
              </w:rPr>
            </w:pPr>
          </w:p>
        </w:tc>
        <w:tc>
          <w:tcPr>
            <w:tcW w:w="880" w:type="dxa"/>
            <w:vAlign w:val="bottom"/>
            <w:shd w:val="clear" w:color="auto" w:fill="EAEBEC"/>
          </w:tcPr>
          <w:p>
            <w:pPr>
              <w:ind w:left="100"/>
              <w:spacing w:after="0" w:line="153" w:lineRule="exact"/>
              <w:rPr>
                <w:sz w:val="20"/>
                <w:szCs w:val="20"/>
                <w:color w:val="auto"/>
              </w:rPr>
            </w:pPr>
            <w:r>
              <w:rPr>
                <w:rFonts w:ascii="Arial" w:cs="Arial" w:eastAsia="Arial" w:hAnsi="Arial"/>
                <w:sz w:val="14"/>
                <w:szCs w:val="14"/>
                <w:color w:val="231F20"/>
              </w:rPr>
              <w:t>800</w:t>
            </w:r>
          </w:p>
        </w:tc>
        <w:tc>
          <w:tcPr>
            <w:tcW w:w="220" w:type="dxa"/>
            <w:vAlign w:val="bottom"/>
            <w:shd w:val="clear" w:color="auto" w:fill="EAEBEC"/>
          </w:tcPr>
          <w:p>
            <w:pPr>
              <w:spacing w:after="0"/>
              <w:rPr>
                <w:sz w:val="13"/>
                <w:szCs w:val="13"/>
                <w:color w:val="auto"/>
              </w:rPr>
            </w:pPr>
          </w:p>
        </w:tc>
        <w:tc>
          <w:tcPr>
            <w:tcW w:w="1080" w:type="dxa"/>
            <w:vAlign w:val="bottom"/>
            <w:shd w:val="clear" w:color="auto" w:fill="D1D2D3"/>
          </w:tcPr>
          <w:p>
            <w:pPr>
              <w:jc w:val="center"/>
              <w:spacing w:after="0" w:line="153" w:lineRule="exact"/>
              <w:rPr>
                <w:sz w:val="20"/>
                <w:szCs w:val="20"/>
                <w:color w:val="auto"/>
              </w:rPr>
            </w:pPr>
            <w:r>
              <w:rPr>
                <w:rFonts w:ascii="Arial" w:cs="Arial" w:eastAsia="Arial" w:hAnsi="Arial"/>
                <w:sz w:val="14"/>
                <w:szCs w:val="14"/>
                <w:b w:val="1"/>
                <w:bCs w:val="1"/>
                <w:color w:val="4395D4"/>
              </w:rPr>
              <w:t>700</w:t>
            </w:r>
          </w:p>
        </w:tc>
        <w:tc>
          <w:tcPr>
            <w:tcW w:w="200" w:type="dxa"/>
            <w:vAlign w:val="bottom"/>
            <w:shd w:val="clear" w:color="auto" w:fill="ADAFB2"/>
          </w:tcPr>
          <w:p>
            <w:pPr>
              <w:spacing w:after="0"/>
              <w:rPr>
                <w:sz w:val="13"/>
                <w:szCs w:val="13"/>
                <w:color w:val="auto"/>
              </w:rPr>
            </w:pPr>
          </w:p>
        </w:tc>
        <w:tc>
          <w:tcPr>
            <w:tcW w:w="900" w:type="dxa"/>
            <w:vAlign w:val="bottom"/>
            <w:shd w:val="clear" w:color="auto" w:fill="ADAFB2"/>
          </w:tcPr>
          <w:p>
            <w:pPr>
              <w:jc w:val="right"/>
              <w:ind w:right="88"/>
              <w:spacing w:after="0" w:line="153" w:lineRule="exact"/>
              <w:rPr>
                <w:sz w:val="20"/>
                <w:szCs w:val="20"/>
                <w:color w:val="auto"/>
              </w:rPr>
            </w:pPr>
            <w:r>
              <w:rPr>
                <w:rFonts w:ascii="Arial" w:cs="Arial" w:eastAsia="Arial" w:hAnsi="Arial"/>
                <w:sz w:val="14"/>
                <w:szCs w:val="14"/>
                <w:color w:val="FFFFFF"/>
              </w:rPr>
              <w:t>600</w:t>
            </w:r>
          </w:p>
        </w:tc>
        <w:tc>
          <w:tcPr>
            <w:tcW w:w="0" w:type="dxa"/>
            <w:vAlign w:val="bottom"/>
          </w:tcPr>
          <w:p>
            <w:pPr>
              <w:spacing w:after="0"/>
              <w:rPr>
                <w:sz w:val="1"/>
                <w:szCs w:val="1"/>
                <w:color w:val="auto"/>
              </w:rPr>
            </w:pPr>
          </w:p>
        </w:tc>
      </w:tr>
      <w:tr>
        <w:trPr>
          <w:trHeight w:val="51"/>
        </w:trPr>
        <w:tc>
          <w:tcPr>
            <w:tcW w:w="2280" w:type="dxa"/>
            <w:vAlign w:val="bottom"/>
          </w:tcPr>
          <w:p>
            <w:pPr>
              <w:spacing w:after="0"/>
              <w:rPr>
                <w:sz w:val="4"/>
                <w:szCs w:val="4"/>
                <w:color w:val="auto"/>
              </w:rPr>
            </w:pPr>
          </w:p>
        </w:tc>
        <w:tc>
          <w:tcPr>
            <w:tcW w:w="320" w:type="dxa"/>
            <w:vAlign w:val="bottom"/>
          </w:tcPr>
          <w:p>
            <w:pPr>
              <w:spacing w:after="0"/>
              <w:rPr>
                <w:sz w:val="4"/>
                <w:szCs w:val="4"/>
                <w:color w:val="auto"/>
              </w:rPr>
            </w:pPr>
          </w:p>
        </w:tc>
        <w:tc>
          <w:tcPr>
            <w:tcW w:w="3660" w:type="dxa"/>
            <w:vAlign w:val="bottom"/>
            <w:tcBorders>
              <w:bottom w:val="single" w:sz="8" w:color="auto"/>
            </w:tcBorders>
          </w:tcPr>
          <w:p>
            <w:pPr>
              <w:spacing w:after="0"/>
              <w:rPr>
                <w:sz w:val="4"/>
                <w:szCs w:val="4"/>
                <w:color w:val="auto"/>
              </w:rPr>
            </w:pPr>
          </w:p>
        </w:tc>
        <w:tc>
          <w:tcPr>
            <w:tcW w:w="170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08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31"/>
        </w:trPr>
        <w:tc>
          <w:tcPr>
            <w:tcW w:w="2280" w:type="dxa"/>
            <w:vAlign w:val="bottom"/>
          </w:tcPr>
          <w:p>
            <w:pPr>
              <w:spacing w:after="0"/>
              <w:rPr>
                <w:sz w:val="2"/>
                <w:szCs w:val="2"/>
                <w:color w:val="auto"/>
              </w:rPr>
            </w:pPr>
          </w:p>
        </w:tc>
        <w:tc>
          <w:tcPr>
            <w:tcW w:w="3980" w:type="dxa"/>
            <w:vAlign w:val="bottom"/>
            <w:gridSpan w:val="2"/>
            <w:vMerge w:val="restart"/>
          </w:tcPr>
          <w:p>
            <w:pPr>
              <w:ind w:left="320"/>
              <w:spacing w:after="0"/>
              <w:rPr>
                <w:sz w:val="20"/>
                <w:szCs w:val="20"/>
                <w:color w:val="auto"/>
              </w:rPr>
            </w:pPr>
            <w:r>
              <w:rPr>
                <w:rFonts w:ascii="Arial" w:cs="Arial" w:eastAsia="Arial" w:hAnsi="Arial"/>
                <w:sz w:val="14"/>
                <w:szCs w:val="14"/>
                <w:color w:val="231F20"/>
              </w:rPr>
              <w:t>Peoples Gas LTIIP</w:t>
            </w:r>
          </w:p>
        </w:tc>
        <w:tc>
          <w:tcPr>
            <w:tcW w:w="1700" w:type="dxa"/>
            <w:vAlign w:val="bottom"/>
            <w:vMerge w:val="restart"/>
          </w:tcPr>
          <w:p>
            <w:pPr>
              <w:jc w:val="right"/>
              <w:ind w:right="268"/>
              <w:spacing w:after="0"/>
              <w:rPr>
                <w:sz w:val="20"/>
                <w:szCs w:val="20"/>
                <w:color w:val="auto"/>
              </w:rPr>
            </w:pPr>
            <w:r>
              <w:rPr>
                <w:rFonts w:ascii="Arial" w:cs="Arial" w:eastAsia="Arial" w:hAnsi="Arial"/>
                <w:sz w:val="14"/>
                <w:szCs w:val="14"/>
                <w:b w:val="1"/>
                <w:bCs w:val="1"/>
                <w:color w:val="4395D4"/>
              </w:rPr>
              <w:t>2.50%</w:t>
            </w:r>
          </w:p>
        </w:tc>
        <w:tc>
          <w:tcPr>
            <w:tcW w:w="8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3"/>
        </w:trPr>
        <w:tc>
          <w:tcPr>
            <w:tcW w:w="2280" w:type="dxa"/>
            <w:vAlign w:val="bottom"/>
          </w:tcPr>
          <w:p>
            <w:pPr>
              <w:spacing w:after="0"/>
              <w:rPr>
                <w:sz w:val="13"/>
                <w:szCs w:val="13"/>
                <w:color w:val="auto"/>
              </w:rPr>
            </w:pPr>
          </w:p>
        </w:tc>
        <w:tc>
          <w:tcPr>
            <w:tcW w:w="3980" w:type="dxa"/>
            <w:vAlign w:val="bottom"/>
            <w:gridSpan w:val="2"/>
            <w:vMerge w:val="continue"/>
          </w:tcPr>
          <w:p>
            <w:pPr>
              <w:spacing w:after="0"/>
              <w:rPr>
                <w:sz w:val="13"/>
                <w:szCs w:val="13"/>
                <w:color w:val="auto"/>
              </w:rPr>
            </w:pPr>
          </w:p>
        </w:tc>
        <w:tc>
          <w:tcPr>
            <w:tcW w:w="1700" w:type="dxa"/>
            <w:vAlign w:val="bottom"/>
            <w:vMerge w:val="continue"/>
          </w:tcPr>
          <w:p>
            <w:pPr>
              <w:spacing w:after="0"/>
              <w:rPr>
                <w:sz w:val="13"/>
                <w:szCs w:val="13"/>
                <w:color w:val="auto"/>
              </w:rPr>
            </w:pPr>
          </w:p>
        </w:tc>
        <w:tc>
          <w:tcPr>
            <w:tcW w:w="880" w:type="dxa"/>
            <w:vAlign w:val="bottom"/>
            <w:shd w:val="clear" w:color="auto" w:fill="EAEBEC"/>
          </w:tcPr>
          <w:p>
            <w:pPr>
              <w:ind w:left="100"/>
              <w:spacing w:after="0" w:line="153" w:lineRule="exact"/>
              <w:rPr>
                <w:sz w:val="20"/>
                <w:szCs w:val="20"/>
                <w:color w:val="auto"/>
              </w:rPr>
            </w:pPr>
            <w:r>
              <w:rPr>
                <w:rFonts w:ascii="Arial" w:cs="Arial" w:eastAsia="Arial" w:hAnsi="Arial"/>
                <w:sz w:val="14"/>
                <w:szCs w:val="14"/>
                <w:color w:val="231F20"/>
              </w:rPr>
              <w:t>97.50%</w:t>
            </w:r>
          </w:p>
        </w:tc>
        <w:tc>
          <w:tcPr>
            <w:tcW w:w="220" w:type="dxa"/>
            <w:vAlign w:val="bottom"/>
            <w:shd w:val="clear" w:color="auto" w:fill="EAEBEC"/>
          </w:tcPr>
          <w:p>
            <w:pPr>
              <w:spacing w:after="0"/>
              <w:rPr>
                <w:sz w:val="13"/>
                <w:szCs w:val="13"/>
                <w:color w:val="auto"/>
              </w:rPr>
            </w:pPr>
          </w:p>
        </w:tc>
        <w:tc>
          <w:tcPr>
            <w:tcW w:w="1080" w:type="dxa"/>
            <w:vAlign w:val="bottom"/>
            <w:shd w:val="clear" w:color="auto" w:fill="D1D2D3"/>
          </w:tcPr>
          <w:p>
            <w:pPr>
              <w:jc w:val="center"/>
              <w:spacing w:after="0" w:line="153" w:lineRule="exact"/>
              <w:rPr>
                <w:sz w:val="20"/>
                <w:szCs w:val="20"/>
                <w:color w:val="auto"/>
              </w:rPr>
            </w:pPr>
            <w:r>
              <w:rPr>
                <w:rFonts w:ascii="Arial" w:cs="Arial" w:eastAsia="Arial" w:hAnsi="Arial"/>
                <w:sz w:val="14"/>
                <w:szCs w:val="14"/>
                <w:b w:val="1"/>
                <w:bCs w:val="1"/>
                <w:color w:val="4395D4"/>
              </w:rPr>
              <w:t>100.00%</w:t>
            </w:r>
          </w:p>
        </w:tc>
        <w:tc>
          <w:tcPr>
            <w:tcW w:w="200" w:type="dxa"/>
            <w:vAlign w:val="bottom"/>
            <w:shd w:val="clear" w:color="auto" w:fill="ADAFB2"/>
          </w:tcPr>
          <w:p>
            <w:pPr>
              <w:spacing w:after="0"/>
              <w:rPr>
                <w:sz w:val="13"/>
                <w:szCs w:val="13"/>
                <w:color w:val="auto"/>
              </w:rPr>
            </w:pPr>
          </w:p>
        </w:tc>
        <w:tc>
          <w:tcPr>
            <w:tcW w:w="900" w:type="dxa"/>
            <w:vAlign w:val="bottom"/>
            <w:shd w:val="clear" w:color="auto" w:fill="ADAFB2"/>
          </w:tcPr>
          <w:p>
            <w:pPr>
              <w:jc w:val="right"/>
              <w:ind w:right="88"/>
              <w:spacing w:after="0" w:line="153" w:lineRule="exact"/>
              <w:rPr>
                <w:sz w:val="20"/>
                <w:szCs w:val="20"/>
                <w:color w:val="auto"/>
              </w:rPr>
            </w:pPr>
            <w:r>
              <w:rPr>
                <w:rFonts w:ascii="Arial" w:cs="Arial" w:eastAsia="Arial" w:hAnsi="Arial"/>
                <w:sz w:val="14"/>
                <w:szCs w:val="14"/>
                <w:color w:val="FFFFFF"/>
              </w:rPr>
              <w:t>102.50%</w:t>
            </w:r>
          </w:p>
        </w:tc>
        <w:tc>
          <w:tcPr>
            <w:tcW w:w="0" w:type="dxa"/>
            <w:vAlign w:val="bottom"/>
          </w:tcPr>
          <w:p>
            <w:pPr>
              <w:spacing w:after="0"/>
              <w:rPr>
                <w:sz w:val="1"/>
                <w:szCs w:val="1"/>
                <w:color w:val="auto"/>
              </w:rPr>
            </w:pPr>
          </w:p>
        </w:tc>
      </w:tr>
      <w:tr>
        <w:trPr>
          <w:trHeight w:val="38"/>
        </w:trPr>
        <w:tc>
          <w:tcPr>
            <w:tcW w:w="2280" w:type="dxa"/>
            <w:vAlign w:val="bottom"/>
            <w:tcBorders>
              <w:bottom w:val="single" w:sz="8" w:color="auto"/>
            </w:tcBorders>
          </w:tcPr>
          <w:p>
            <w:pPr>
              <w:spacing w:after="0"/>
              <w:rPr>
                <w:sz w:val="3"/>
                <w:szCs w:val="3"/>
                <w:color w:val="auto"/>
              </w:rPr>
            </w:pPr>
          </w:p>
        </w:tc>
        <w:tc>
          <w:tcPr>
            <w:tcW w:w="3980" w:type="dxa"/>
            <w:vAlign w:val="bottom"/>
            <w:tcBorders>
              <w:bottom w:val="single" w:sz="8" w:color="auto"/>
            </w:tcBorders>
            <w:gridSpan w:val="2"/>
          </w:tcPr>
          <w:p>
            <w:pPr>
              <w:spacing w:after="0"/>
              <w:rPr>
                <w:sz w:val="3"/>
                <w:szCs w:val="3"/>
                <w:color w:val="auto"/>
              </w:rPr>
            </w:pPr>
          </w:p>
        </w:tc>
        <w:tc>
          <w:tcPr>
            <w:tcW w:w="170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31"/>
        </w:trPr>
        <w:tc>
          <w:tcPr>
            <w:tcW w:w="2280" w:type="dxa"/>
            <w:vAlign w:val="bottom"/>
            <w:vMerge w:val="restart"/>
          </w:tcPr>
          <w:p>
            <w:pPr>
              <w:spacing w:after="0"/>
              <w:rPr>
                <w:sz w:val="20"/>
                <w:szCs w:val="20"/>
                <w:color w:val="auto"/>
              </w:rPr>
            </w:pPr>
            <w:r>
              <w:rPr>
                <w:rFonts w:ascii="Arial" w:cs="Arial" w:eastAsia="Arial" w:hAnsi="Arial"/>
                <w:sz w:val="14"/>
                <w:szCs w:val="14"/>
                <w:b w:val="1"/>
                <w:bCs w:val="1"/>
                <w:color w:val="455986"/>
              </w:rPr>
              <w:t>Diversity (10%)</w:t>
            </w:r>
          </w:p>
        </w:tc>
        <w:tc>
          <w:tcPr>
            <w:tcW w:w="3980" w:type="dxa"/>
            <w:vAlign w:val="bottom"/>
            <w:gridSpan w:val="2"/>
            <w:vMerge w:val="restart"/>
          </w:tcPr>
          <w:p>
            <w:pPr>
              <w:ind w:left="320"/>
              <w:spacing w:after="0"/>
              <w:rPr>
                <w:sz w:val="20"/>
                <w:szCs w:val="20"/>
                <w:color w:val="auto"/>
              </w:rPr>
            </w:pPr>
            <w:r>
              <w:rPr>
                <w:rFonts w:ascii="Arial" w:cs="Arial" w:eastAsia="Arial" w:hAnsi="Arial"/>
                <w:sz w:val="14"/>
                <w:szCs w:val="14"/>
                <w:color w:val="231F20"/>
              </w:rPr>
              <w:t>Supplier Diversity</w:t>
            </w:r>
          </w:p>
        </w:tc>
        <w:tc>
          <w:tcPr>
            <w:tcW w:w="1700" w:type="dxa"/>
            <w:vAlign w:val="bottom"/>
            <w:vMerge w:val="restart"/>
          </w:tcPr>
          <w:p>
            <w:pPr>
              <w:jc w:val="right"/>
              <w:ind w:right="268"/>
              <w:spacing w:after="0"/>
              <w:rPr>
                <w:sz w:val="20"/>
                <w:szCs w:val="20"/>
                <w:color w:val="auto"/>
              </w:rPr>
            </w:pPr>
            <w:r>
              <w:rPr>
                <w:rFonts w:ascii="Arial" w:cs="Arial" w:eastAsia="Arial" w:hAnsi="Arial"/>
                <w:sz w:val="14"/>
                <w:szCs w:val="14"/>
                <w:b w:val="1"/>
                <w:bCs w:val="1"/>
                <w:color w:val="4395D4"/>
              </w:rPr>
              <w:t>5.00%</w:t>
            </w:r>
          </w:p>
        </w:tc>
        <w:tc>
          <w:tcPr>
            <w:tcW w:w="8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3"/>
        </w:trPr>
        <w:tc>
          <w:tcPr>
            <w:tcW w:w="2280" w:type="dxa"/>
            <w:vAlign w:val="bottom"/>
            <w:vMerge w:val="continue"/>
          </w:tcPr>
          <w:p>
            <w:pPr>
              <w:spacing w:after="0"/>
              <w:rPr>
                <w:sz w:val="13"/>
                <w:szCs w:val="13"/>
                <w:color w:val="auto"/>
              </w:rPr>
            </w:pPr>
          </w:p>
        </w:tc>
        <w:tc>
          <w:tcPr>
            <w:tcW w:w="3980" w:type="dxa"/>
            <w:vAlign w:val="bottom"/>
            <w:gridSpan w:val="2"/>
            <w:vMerge w:val="continue"/>
          </w:tcPr>
          <w:p>
            <w:pPr>
              <w:spacing w:after="0"/>
              <w:rPr>
                <w:sz w:val="13"/>
                <w:szCs w:val="13"/>
                <w:color w:val="auto"/>
              </w:rPr>
            </w:pPr>
          </w:p>
        </w:tc>
        <w:tc>
          <w:tcPr>
            <w:tcW w:w="1700" w:type="dxa"/>
            <w:vAlign w:val="bottom"/>
            <w:vMerge w:val="continue"/>
          </w:tcPr>
          <w:p>
            <w:pPr>
              <w:spacing w:after="0"/>
              <w:rPr>
                <w:sz w:val="13"/>
                <w:szCs w:val="13"/>
                <w:color w:val="auto"/>
              </w:rPr>
            </w:pPr>
          </w:p>
        </w:tc>
        <w:tc>
          <w:tcPr>
            <w:tcW w:w="880" w:type="dxa"/>
            <w:vAlign w:val="bottom"/>
            <w:shd w:val="clear" w:color="auto" w:fill="EAEBEC"/>
          </w:tcPr>
          <w:p>
            <w:pPr>
              <w:ind w:left="100"/>
              <w:spacing w:after="0" w:line="153" w:lineRule="exact"/>
              <w:rPr>
                <w:sz w:val="20"/>
                <w:szCs w:val="20"/>
                <w:color w:val="auto"/>
              </w:rPr>
            </w:pPr>
            <w:r>
              <w:rPr>
                <w:rFonts w:ascii="Arial" w:cs="Arial" w:eastAsia="Arial" w:hAnsi="Arial"/>
                <w:sz w:val="14"/>
                <w:szCs w:val="14"/>
                <w:color w:val="231F20"/>
              </w:rPr>
              <w:t>11.20%</w:t>
            </w:r>
          </w:p>
        </w:tc>
        <w:tc>
          <w:tcPr>
            <w:tcW w:w="220" w:type="dxa"/>
            <w:vAlign w:val="bottom"/>
            <w:shd w:val="clear" w:color="auto" w:fill="EAEBEC"/>
          </w:tcPr>
          <w:p>
            <w:pPr>
              <w:spacing w:after="0"/>
              <w:rPr>
                <w:sz w:val="13"/>
                <w:szCs w:val="13"/>
                <w:color w:val="auto"/>
              </w:rPr>
            </w:pPr>
          </w:p>
        </w:tc>
        <w:tc>
          <w:tcPr>
            <w:tcW w:w="1080" w:type="dxa"/>
            <w:vAlign w:val="bottom"/>
            <w:shd w:val="clear" w:color="auto" w:fill="D1D2D3"/>
          </w:tcPr>
          <w:p>
            <w:pPr>
              <w:jc w:val="center"/>
              <w:spacing w:after="0" w:line="153" w:lineRule="exact"/>
              <w:rPr>
                <w:sz w:val="20"/>
                <w:szCs w:val="20"/>
                <w:color w:val="auto"/>
              </w:rPr>
            </w:pPr>
            <w:r>
              <w:rPr>
                <w:rFonts w:ascii="Arial" w:cs="Arial" w:eastAsia="Arial" w:hAnsi="Arial"/>
                <w:sz w:val="14"/>
                <w:szCs w:val="14"/>
                <w:b w:val="1"/>
                <w:bCs w:val="1"/>
                <w:color w:val="4395D4"/>
              </w:rPr>
              <w:t>14.00%</w:t>
            </w:r>
          </w:p>
        </w:tc>
        <w:tc>
          <w:tcPr>
            <w:tcW w:w="200" w:type="dxa"/>
            <w:vAlign w:val="bottom"/>
            <w:shd w:val="clear" w:color="auto" w:fill="ADAFB2"/>
          </w:tcPr>
          <w:p>
            <w:pPr>
              <w:spacing w:after="0"/>
              <w:rPr>
                <w:sz w:val="13"/>
                <w:szCs w:val="13"/>
                <w:color w:val="auto"/>
              </w:rPr>
            </w:pPr>
          </w:p>
        </w:tc>
        <w:tc>
          <w:tcPr>
            <w:tcW w:w="900" w:type="dxa"/>
            <w:vAlign w:val="bottom"/>
            <w:shd w:val="clear" w:color="auto" w:fill="ADAFB2"/>
          </w:tcPr>
          <w:p>
            <w:pPr>
              <w:jc w:val="right"/>
              <w:ind w:right="88"/>
              <w:spacing w:after="0" w:line="153" w:lineRule="exact"/>
              <w:rPr>
                <w:sz w:val="20"/>
                <w:szCs w:val="20"/>
                <w:color w:val="auto"/>
              </w:rPr>
            </w:pPr>
            <w:r>
              <w:rPr>
                <w:rFonts w:ascii="Arial" w:cs="Arial" w:eastAsia="Arial" w:hAnsi="Arial"/>
                <w:sz w:val="14"/>
                <w:szCs w:val="14"/>
                <w:color w:val="FFFFFF"/>
              </w:rPr>
              <w:t>16.80%</w:t>
            </w:r>
          </w:p>
        </w:tc>
        <w:tc>
          <w:tcPr>
            <w:tcW w:w="0" w:type="dxa"/>
            <w:vAlign w:val="bottom"/>
          </w:tcPr>
          <w:p>
            <w:pPr>
              <w:spacing w:after="0"/>
              <w:rPr>
                <w:sz w:val="1"/>
                <w:szCs w:val="1"/>
                <w:color w:val="auto"/>
              </w:rPr>
            </w:pPr>
          </w:p>
        </w:tc>
      </w:tr>
      <w:tr>
        <w:trPr>
          <w:trHeight w:val="51"/>
        </w:trPr>
        <w:tc>
          <w:tcPr>
            <w:tcW w:w="2280" w:type="dxa"/>
            <w:vAlign w:val="bottom"/>
          </w:tcPr>
          <w:p>
            <w:pPr>
              <w:spacing w:after="0"/>
              <w:rPr>
                <w:sz w:val="4"/>
                <w:szCs w:val="4"/>
                <w:color w:val="auto"/>
              </w:rPr>
            </w:pPr>
          </w:p>
        </w:tc>
        <w:tc>
          <w:tcPr>
            <w:tcW w:w="320" w:type="dxa"/>
            <w:vAlign w:val="bottom"/>
          </w:tcPr>
          <w:p>
            <w:pPr>
              <w:spacing w:after="0"/>
              <w:rPr>
                <w:sz w:val="4"/>
                <w:szCs w:val="4"/>
                <w:color w:val="auto"/>
              </w:rPr>
            </w:pPr>
          </w:p>
        </w:tc>
        <w:tc>
          <w:tcPr>
            <w:tcW w:w="3660" w:type="dxa"/>
            <w:vAlign w:val="bottom"/>
            <w:tcBorders>
              <w:bottom w:val="single" w:sz="8" w:color="auto"/>
            </w:tcBorders>
          </w:tcPr>
          <w:p>
            <w:pPr>
              <w:spacing w:after="0"/>
              <w:rPr>
                <w:sz w:val="4"/>
                <w:szCs w:val="4"/>
                <w:color w:val="auto"/>
              </w:rPr>
            </w:pPr>
          </w:p>
        </w:tc>
        <w:tc>
          <w:tcPr>
            <w:tcW w:w="170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08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31"/>
        </w:trPr>
        <w:tc>
          <w:tcPr>
            <w:tcW w:w="2280" w:type="dxa"/>
            <w:vAlign w:val="bottom"/>
          </w:tcPr>
          <w:p>
            <w:pPr>
              <w:spacing w:after="0"/>
              <w:rPr>
                <w:sz w:val="2"/>
                <w:szCs w:val="2"/>
                <w:color w:val="auto"/>
              </w:rPr>
            </w:pPr>
          </w:p>
        </w:tc>
        <w:tc>
          <w:tcPr>
            <w:tcW w:w="3980" w:type="dxa"/>
            <w:vAlign w:val="bottom"/>
            <w:gridSpan w:val="2"/>
            <w:vMerge w:val="restart"/>
          </w:tcPr>
          <w:p>
            <w:pPr>
              <w:ind w:left="320"/>
              <w:spacing w:after="0"/>
              <w:rPr>
                <w:sz w:val="20"/>
                <w:szCs w:val="20"/>
                <w:color w:val="auto"/>
              </w:rPr>
            </w:pPr>
            <w:r>
              <w:rPr>
                <w:rFonts w:ascii="Arial" w:cs="Arial" w:eastAsia="Arial" w:hAnsi="Arial"/>
                <w:sz w:val="14"/>
                <w:szCs w:val="14"/>
                <w:color w:val="231F20"/>
              </w:rPr>
              <w:t>Employee Diversity</w:t>
            </w:r>
          </w:p>
        </w:tc>
        <w:tc>
          <w:tcPr>
            <w:tcW w:w="1700" w:type="dxa"/>
            <w:vAlign w:val="bottom"/>
            <w:vMerge w:val="restart"/>
          </w:tcPr>
          <w:p>
            <w:pPr>
              <w:jc w:val="right"/>
              <w:ind w:right="268"/>
              <w:spacing w:after="0"/>
              <w:rPr>
                <w:sz w:val="20"/>
                <w:szCs w:val="20"/>
                <w:color w:val="auto"/>
              </w:rPr>
            </w:pPr>
            <w:r>
              <w:rPr>
                <w:rFonts w:ascii="Arial" w:cs="Arial" w:eastAsia="Arial" w:hAnsi="Arial"/>
                <w:sz w:val="14"/>
                <w:szCs w:val="14"/>
                <w:b w:val="1"/>
                <w:bCs w:val="1"/>
                <w:color w:val="4395D4"/>
              </w:rPr>
              <w:t>5.00%</w:t>
            </w:r>
          </w:p>
        </w:tc>
        <w:tc>
          <w:tcPr>
            <w:tcW w:w="8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3"/>
        </w:trPr>
        <w:tc>
          <w:tcPr>
            <w:tcW w:w="2280" w:type="dxa"/>
            <w:vAlign w:val="bottom"/>
          </w:tcPr>
          <w:p>
            <w:pPr>
              <w:spacing w:after="0"/>
              <w:rPr>
                <w:sz w:val="13"/>
                <w:szCs w:val="13"/>
                <w:color w:val="auto"/>
              </w:rPr>
            </w:pPr>
          </w:p>
        </w:tc>
        <w:tc>
          <w:tcPr>
            <w:tcW w:w="3980" w:type="dxa"/>
            <w:vAlign w:val="bottom"/>
            <w:gridSpan w:val="2"/>
            <w:vMerge w:val="continue"/>
          </w:tcPr>
          <w:p>
            <w:pPr>
              <w:spacing w:after="0"/>
              <w:rPr>
                <w:sz w:val="13"/>
                <w:szCs w:val="13"/>
                <w:color w:val="auto"/>
              </w:rPr>
            </w:pPr>
          </w:p>
        </w:tc>
        <w:tc>
          <w:tcPr>
            <w:tcW w:w="1700" w:type="dxa"/>
            <w:vAlign w:val="bottom"/>
            <w:vMerge w:val="continue"/>
          </w:tcPr>
          <w:p>
            <w:pPr>
              <w:spacing w:after="0"/>
              <w:rPr>
                <w:sz w:val="13"/>
                <w:szCs w:val="13"/>
                <w:color w:val="auto"/>
              </w:rPr>
            </w:pPr>
          </w:p>
        </w:tc>
        <w:tc>
          <w:tcPr>
            <w:tcW w:w="880" w:type="dxa"/>
            <w:vAlign w:val="bottom"/>
            <w:shd w:val="clear" w:color="auto" w:fill="EAEBEC"/>
          </w:tcPr>
          <w:p>
            <w:pPr>
              <w:ind w:left="100"/>
              <w:spacing w:after="0" w:line="153" w:lineRule="exact"/>
              <w:rPr>
                <w:sz w:val="20"/>
                <w:szCs w:val="20"/>
                <w:color w:val="auto"/>
              </w:rPr>
            </w:pPr>
            <w:r>
              <w:rPr>
                <w:rFonts w:ascii="Arial" w:cs="Arial" w:eastAsia="Arial" w:hAnsi="Arial"/>
                <w:sz w:val="14"/>
                <w:szCs w:val="14"/>
                <w:color w:val="231F20"/>
              </w:rPr>
              <w:t>14.20%</w:t>
            </w:r>
          </w:p>
        </w:tc>
        <w:tc>
          <w:tcPr>
            <w:tcW w:w="220" w:type="dxa"/>
            <w:vAlign w:val="bottom"/>
            <w:shd w:val="clear" w:color="auto" w:fill="EAEBEC"/>
          </w:tcPr>
          <w:p>
            <w:pPr>
              <w:spacing w:after="0"/>
              <w:rPr>
                <w:sz w:val="13"/>
                <w:szCs w:val="13"/>
                <w:color w:val="auto"/>
              </w:rPr>
            </w:pPr>
          </w:p>
        </w:tc>
        <w:tc>
          <w:tcPr>
            <w:tcW w:w="1080" w:type="dxa"/>
            <w:vAlign w:val="bottom"/>
            <w:shd w:val="clear" w:color="auto" w:fill="D1D2D3"/>
          </w:tcPr>
          <w:p>
            <w:pPr>
              <w:jc w:val="center"/>
              <w:spacing w:after="0" w:line="153" w:lineRule="exact"/>
              <w:rPr>
                <w:sz w:val="20"/>
                <w:szCs w:val="20"/>
                <w:color w:val="auto"/>
              </w:rPr>
            </w:pPr>
            <w:r>
              <w:rPr>
                <w:rFonts w:ascii="Arial" w:cs="Arial" w:eastAsia="Arial" w:hAnsi="Arial"/>
                <w:sz w:val="14"/>
                <w:szCs w:val="14"/>
                <w:b w:val="1"/>
                <w:bCs w:val="1"/>
                <w:color w:val="4395D4"/>
              </w:rPr>
              <w:t>14.50%</w:t>
            </w:r>
          </w:p>
        </w:tc>
        <w:tc>
          <w:tcPr>
            <w:tcW w:w="200" w:type="dxa"/>
            <w:vAlign w:val="bottom"/>
            <w:shd w:val="clear" w:color="auto" w:fill="ADAFB2"/>
          </w:tcPr>
          <w:p>
            <w:pPr>
              <w:spacing w:after="0"/>
              <w:rPr>
                <w:sz w:val="13"/>
                <w:szCs w:val="13"/>
                <w:color w:val="auto"/>
              </w:rPr>
            </w:pPr>
          </w:p>
        </w:tc>
        <w:tc>
          <w:tcPr>
            <w:tcW w:w="900" w:type="dxa"/>
            <w:vAlign w:val="bottom"/>
            <w:shd w:val="clear" w:color="auto" w:fill="ADAFB2"/>
          </w:tcPr>
          <w:p>
            <w:pPr>
              <w:jc w:val="right"/>
              <w:ind w:right="88"/>
              <w:spacing w:after="0" w:line="153" w:lineRule="exact"/>
              <w:rPr>
                <w:sz w:val="20"/>
                <w:szCs w:val="20"/>
                <w:color w:val="auto"/>
              </w:rPr>
            </w:pPr>
            <w:r>
              <w:rPr>
                <w:rFonts w:ascii="Arial" w:cs="Arial" w:eastAsia="Arial" w:hAnsi="Arial"/>
                <w:sz w:val="14"/>
                <w:szCs w:val="14"/>
                <w:color w:val="FFFFFF"/>
              </w:rPr>
              <w:t>14.80%</w:t>
            </w:r>
          </w:p>
        </w:tc>
        <w:tc>
          <w:tcPr>
            <w:tcW w:w="0" w:type="dxa"/>
            <w:vAlign w:val="bottom"/>
          </w:tcPr>
          <w:p>
            <w:pPr>
              <w:spacing w:after="0"/>
              <w:rPr>
                <w:sz w:val="1"/>
                <w:szCs w:val="1"/>
                <w:color w:val="auto"/>
              </w:rPr>
            </w:pPr>
          </w:p>
        </w:tc>
      </w:tr>
      <w:tr>
        <w:trPr>
          <w:trHeight w:val="51"/>
        </w:trPr>
        <w:tc>
          <w:tcPr>
            <w:tcW w:w="2280" w:type="dxa"/>
            <w:vAlign w:val="bottom"/>
          </w:tcPr>
          <w:p>
            <w:pPr>
              <w:spacing w:after="0"/>
              <w:rPr>
                <w:sz w:val="4"/>
                <w:szCs w:val="4"/>
                <w:color w:val="auto"/>
              </w:rPr>
            </w:pPr>
          </w:p>
        </w:tc>
        <w:tc>
          <w:tcPr>
            <w:tcW w:w="320" w:type="dxa"/>
            <w:vAlign w:val="bottom"/>
          </w:tcPr>
          <w:p>
            <w:pPr>
              <w:spacing w:after="0"/>
              <w:rPr>
                <w:sz w:val="4"/>
                <w:szCs w:val="4"/>
                <w:color w:val="auto"/>
              </w:rPr>
            </w:pPr>
          </w:p>
        </w:tc>
        <w:tc>
          <w:tcPr>
            <w:tcW w:w="3660" w:type="dxa"/>
            <w:vAlign w:val="bottom"/>
            <w:tcBorders>
              <w:bottom w:val="single" w:sz="8" w:color="auto"/>
            </w:tcBorders>
          </w:tcPr>
          <w:p>
            <w:pPr>
              <w:spacing w:after="0"/>
              <w:rPr>
                <w:sz w:val="4"/>
                <w:szCs w:val="4"/>
                <w:color w:val="auto"/>
              </w:rPr>
            </w:pPr>
          </w:p>
        </w:tc>
        <w:tc>
          <w:tcPr>
            <w:tcW w:w="170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08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84"/>
        </w:trPr>
        <w:tc>
          <w:tcPr>
            <w:tcW w:w="2280" w:type="dxa"/>
            <w:vAlign w:val="bottom"/>
            <w:tcBorders>
              <w:bottom w:val="single" w:sz="8" w:color="4395D4"/>
            </w:tcBorders>
          </w:tcPr>
          <w:p>
            <w:pPr>
              <w:spacing w:after="0"/>
              <w:rPr>
                <w:sz w:val="16"/>
                <w:szCs w:val="16"/>
                <w:color w:val="auto"/>
              </w:rPr>
            </w:pPr>
          </w:p>
        </w:tc>
        <w:tc>
          <w:tcPr>
            <w:tcW w:w="320" w:type="dxa"/>
            <w:vAlign w:val="bottom"/>
            <w:tcBorders>
              <w:bottom w:val="single" w:sz="8" w:color="4395D4"/>
            </w:tcBorders>
          </w:tcPr>
          <w:p>
            <w:pPr>
              <w:spacing w:after="0"/>
              <w:rPr>
                <w:sz w:val="16"/>
                <w:szCs w:val="16"/>
                <w:color w:val="auto"/>
              </w:rPr>
            </w:pPr>
          </w:p>
        </w:tc>
        <w:tc>
          <w:tcPr>
            <w:tcW w:w="3660" w:type="dxa"/>
            <w:vAlign w:val="bottom"/>
            <w:tcBorders>
              <w:bottom w:val="single" w:sz="8" w:color="4395D4"/>
            </w:tcBorders>
          </w:tcPr>
          <w:p>
            <w:pPr>
              <w:spacing w:after="0"/>
              <w:rPr>
                <w:sz w:val="16"/>
                <w:szCs w:val="16"/>
                <w:color w:val="auto"/>
              </w:rPr>
            </w:pPr>
          </w:p>
        </w:tc>
        <w:tc>
          <w:tcPr>
            <w:tcW w:w="1700" w:type="dxa"/>
            <w:vAlign w:val="bottom"/>
            <w:tcBorders>
              <w:bottom w:val="single" w:sz="8" w:color="4395D4"/>
            </w:tcBorders>
          </w:tcPr>
          <w:p>
            <w:pPr>
              <w:jc w:val="right"/>
              <w:ind w:right="268"/>
              <w:spacing w:after="0"/>
              <w:rPr>
                <w:sz w:val="20"/>
                <w:szCs w:val="20"/>
                <w:color w:val="auto"/>
              </w:rPr>
            </w:pPr>
            <w:r>
              <w:rPr>
                <w:rFonts w:ascii="Arial" w:cs="Arial" w:eastAsia="Arial" w:hAnsi="Arial"/>
                <w:sz w:val="14"/>
                <w:szCs w:val="14"/>
                <w:b w:val="1"/>
                <w:bCs w:val="1"/>
                <w:color w:val="4395D4"/>
              </w:rPr>
              <w:t>100.00%</w:t>
            </w:r>
          </w:p>
        </w:tc>
        <w:tc>
          <w:tcPr>
            <w:tcW w:w="880" w:type="dxa"/>
            <w:vAlign w:val="bottom"/>
            <w:tcBorders>
              <w:bottom w:val="single" w:sz="8" w:color="4395D4"/>
            </w:tcBorders>
          </w:tcPr>
          <w:p>
            <w:pPr>
              <w:spacing w:after="0"/>
              <w:rPr>
                <w:sz w:val="16"/>
                <w:szCs w:val="16"/>
                <w:color w:val="auto"/>
              </w:rPr>
            </w:pPr>
          </w:p>
        </w:tc>
        <w:tc>
          <w:tcPr>
            <w:tcW w:w="220" w:type="dxa"/>
            <w:vAlign w:val="bottom"/>
            <w:tcBorders>
              <w:bottom w:val="single" w:sz="8" w:color="4395D4"/>
            </w:tcBorders>
          </w:tcPr>
          <w:p>
            <w:pPr>
              <w:spacing w:after="0"/>
              <w:rPr>
                <w:sz w:val="16"/>
                <w:szCs w:val="16"/>
                <w:color w:val="auto"/>
              </w:rPr>
            </w:pPr>
          </w:p>
        </w:tc>
        <w:tc>
          <w:tcPr>
            <w:tcW w:w="1080" w:type="dxa"/>
            <w:vAlign w:val="bottom"/>
            <w:tcBorders>
              <w:bottom w:val="single" w:sz="8" w:color="4395D4"/>
            </w:tcBorders>
          </w:tcPr>
          <w:p>
            <w:pPr>
              <w:spacing w:after="0"/>
              <w:rPr>
                <w:sz w:val="16"/>
                <w:szCs w:val="16"/>
                <w:color w:val="auto"/>
              </w:rPr>
            </w:pPr>
          </w:p>
        </w:tc>
        <w:tc>
          <w:tcPr>
            <w:tcW w:w="200" w:type="dxa"/>
            <w:vAlign w:val="bottom"/>
            <w:tcBorders>
              <w:bottom w:val="single" w:sz="8" w:color="4395D4"/>
            </w:tcBorders>
          </w:tcPr>
          <w:p>
            <w:pPr>
              <w:spacing w:after="0"/>
              <w:rPr>
                <w:sz w:val="16"/>
                <w:szCs w:val="16"/>
                <w:color w:val="auto"/>
              </w:rPr>
            </w:pPr>
          </w:p>
        </w:tc>
        <w:tc>
          <w:tcPr>
            <w:tcW w:w="900" w:type="dxa"/>
            <w:vAlign w:val="bottom"/>
            <w:tcBorders>
              <w:bottom w:val="single" w:sz="8" w:color="4395D4"/>
            </w:tcBorders>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121285</wp:posOffset>
            </wp:positionV>
            <wp:extent cx="7139940" cy="825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139940" cy="8255"/>
                    </a:xfrm>
                    <a:prstGeom prst="rect">
                      <a:avLst/>
                    </a:prstGeom>
                    <a:noFill/>
                  </pic:spPr>
                </pic:pic>
              </a:graphicData>
            </a:graphic>
          </wp:anchor>
        </w:drawing>
      </w:r>
    </w:p>
    <w:p>
      <w:pPr>
        <w:spacing w:after="0" w:line="217" w:lineRule="exact"/>
        <w:rPr>
          <w:sz w:val="20"/>
          <w:szCs w:val="20"/>
          <w:color w:val="auto"/>
        </w:rPr>
      </w:pPr>
    </w:p>
    <w:p>
      <w:pPr>
        <w:jc w:val="right"/>
        <w:spacing w:after="0"/>
        <w:tabs>
          <w:tab w:leader="none" w:pos="140" w:val="left"/>
        </w:tabs>
        <w:rPr>
          <w:sz w:val="20"/>
          <w:szCs w:val="20"/>
          <w:color w:val="auto"/>
        </w:rPr>
      </w:pPr>
      <w:r>
        <w:rPr>
          <w:rFonts w:ascii="Arial" w:cs="Arial" w:eastAsia="Arial" w:hAnsi="Arial"/>
          <w:sz w:val="12"/>
          <w:szCs w:val="12"/>
          <w:color w:val="4395D4"/>
        </w:rPr>
        <w:t xml:space="preserve">ESSENTIAL UTILITIES, INC. </w:t>
      </w:r>
      <w:r>
        <w:rPr>
          <w:rFonts w:ascii="Arial" w:cs="Arial" w:eastAsia="Arial" w:hAnsi="Arial"/>
          <w:sz w:val="12"/>
          <w:szCs w:val="12"/>
          <w:color w:val="455986"/>
        </w:rPr>
        <w:t>2021 PROXY STATEMENT</w:t>
      </w:r>
      <w:r>
        <w:rPr>
          <w:sz w:val="20"/>
          <w:szCs w:val="20"/>
          <w:color w:val="auto"/>
        </w:rPr>
        <w:tab/>
      </w:r>
      <w:r>
        <w:rPr>
          <w:rFonts w:ascii="Arial" w:cs="Arial" w:eastAsia="Arial" w:hAnsi="Arial"/>
          <w:sz w:val="14"/>
          <w:szCs w:val="14"/>
          <w:color w:val="455986"/>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339090</wp:posOffset>
            </wp:positionV>
            <wp:extent cx="7139940" cy="2413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139940" cy="24130"/>
                    </a:xfrm>
                    <a:prstGeom prst="rect">
                      <a:avLst/>
                    </a:prstGeom>
                    <a:noFill/>
                  </pic:spPr>
                </pic:pic>
              </a:graphicData>
            </a:graphic>
          </wp:anchor>
        </w:drawing>
      </w:r>
    </w:p>
    <w:p>
      <w:pPr>
        <w:sectPr>
          <w:pgSz w:w="11900" w:h="16838" w:orient="portrait"/>
          <w:cols w:equalWidth="0" w:num="1">
            <w:col w:w="11240"/>
          </w:cols>
          <w:pgMar w:left="320" w:top="636" w:right="339" w:bottom="1440" w:gutter="0" w:footer="0" w:header="0"/>
        </w:sectPr>
      </w:pPr>
    </w:p>
    <w:bookmarkStart w:id="68" w:name="page69"/>
    <w:bookmarkEnd w:id="68"/>
    <w:p>
      <w:pPr>
        <w:spacing w:after="0"/>
        <w:rPr>
          <w:sz w:val="20"/>
          <w:szCs w:val="20"/>
          <w:color w:val="auto"/>
        </w:rPr>
      </w:pPr>
      <w:r>
        <w:rPr>
          <w:rFonts w:ascii="Arial" w:cs="Arial" w:eastAsia="Arial" w:hAnsi="Arial"/>
          <w:sz w:val="14"/>
          <w:szCs w:val="14"/>
          <w:b w:val="1"/>
          <w:bCs w:val="1"/>
          <w:color w:val="455986"/>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27940</wp:posOffset>
            </wp:positionV>
            <wp:extent cx="7139940" cy="825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139940" cy="8255"/>
                    </a:xfrm>
                    <a:prstGeom prst="rect">
                      <a:avLst/>
                    </a:prstGeom>
                    <a:noFill/>
                  </pic:spPr>
                </pic:pic>
              </a:graphicData>
            </a:graphic>
          </wp:anchor>
        </w:drawing>
      </w:r>
    </w:p>
    <w:p>
      <w:pPr>
        <w:spacing w:after="0" w:line="76" w:lineRule="exact"/>
        <w:rPr>
          <w:sz w:val="20"/>
          <w:szCs w:val="20"/>
          <w:color w:val="auto"/>
        </w:rPr>
      </w:pPr>
    </w:p>
    <w:p>
      <w:pPr>
        <w:spacing w:after="0"/>
        <w:rPr>
          <w:sz w:val="20"/>
          <w:szCs w:val="20"/>
          <w:color w:val="auto"/>
        </w:rPr>
      </w:pPr>
      <w:r>
        <w:rPr>
          <w:rFonts w:ascii="Arial" w:cs="Arial" w:eastAsia="Arial" w:hAnsi="Arial"/>
          <w:sz w:val="14"/>
          <w:szCs w:val="14"/>
          <w:color w:val="4395D4"/>
        </w:rPr>
        <w:t xml:space="preserve">Section 5 </w:t>
      </w:r>
      <w:r>
        <w:rPr>
          <w:rFonts w:ascii="Arial" w:cs="Arial" w:eastAsia="Arial" w:hAnsi="Arial"/>
          <w:sz w:val="14"/>
          <w:szCs w:val="14"/>
          <w:color w:val="231F20"/>
        </w:rPr>
        <w:t>Our 2021 Short- and Long-Term Incentive Program</w:t>
      </w:r>
    </w:p>
    <w:p>
      <w:pPr>
        <w:spacing w:after="0" w:line="161" w:lineRule="exact"/>
        <w:rPr>
          <w:sz w:val="20"/>
          <w:szCs w:val="20"/>
          <w:color w:val="auto"/>
        </w:rPr>
      </w:pPr>
    </w:p>
    <w:p>
      <w:pPr>
        <w:spacing w:after="0"/>
        <w:rPr>
          <w:sz w:val="20"/>
          <w:szCs w:val="20"/>
          <w:color w:val="auto"/>
        </w:rPr>
      </w:pPr>
      <w:r>
        <w:rPr>
          <w:rFonts w:ascii="Arial" w:cs="Arial" w:eastAsia="Arial" w:hAnsi="Arial"/>
          <w:sz w:val="20"/>
          <w:szCs w:val="20"/>
          <w:b w:val="1"/>
          <w:bCs w:val="1"/>
          <w:color w:val="231F20"/>
        </w:rPr>
        <w:t>2021 Long-Term Incentive Program</w:t>
      </w:r>
    </w:p>
    <w:p>
      <w:pPr>
        <w:spacing w:after="0" w:line="166" w:lineRule="exact"/>
        <w:rPr>
          <w:sz w:val="20"/>
          <w:szCs w:val="20"/>
          <w:color w:val="auto"/>
        </w:rPr>
      </w:pPr>
    </w:p>
    <w:p>
      <w:pPr>
        <w:spacing w:after="0"/>
        <w:rPr>
          <w:sz w:val="20"/>
          <w:szCs w:val="20"/>
          <w:color w:val="auto"/>
        </w:rPr>
      </w:pPr>
      <w:r>
        <w:rPr>
          <w:rFonts w:ascii="Arial" w:cs="Arial" w:eastAsia="Arial" w:hAnsi="Arial"/>
          <w:sz w:val="14"/>
          <w:szCs w:val="14"/>
          <w:color w:val="231F20"/>
        </w:rPr>
        <w:t>As shown in the charts below, the program for 2021 will be comprised of 65% performance-based incentives and 35% restricted stock units.</w:t>
      </w:r>
    </w:p>
    <w:p>
      <w:pPr>
        <w:spacing w:after="0" w:line="142" w:lineRule="exact"/>
        <w:rPr>
          <w:sz w:val="20"/>
          <w:szCs w:val="20"/>
          <w:color w:val="auto"/>
        </w:rPr>
      </w:pPr>
    </w:p>
    <w:p>
      <w:pPr>
        <w:spacing w:after="0"/>
        <w:rPr>
          <w:sz w:val="20"/>
          <w:szCs w:val="20"/>
          <w:color w:val="auto"/>
        </w:rPr>
      </w:pPr>
      <w:r>
        <w:rPr>
          <w:rFonts w:ascii="Arial" w:cs="Arial" w:eastAsia="Arial" w:hAnsi="Arial"/>
          <w:sz w:val="17"/>
          <w:szCs w:val="17"/>
          <w:b w:val="1"/>
          <w:bCs w:val="1"/>
          <w:color w:val="231F20"/>
        </w:rPr>
        <w:t>2021 Essential Long-Term Incentive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134620</wp:posOffset>
            </wp:positionV>
            <wp:extent cx="5421630" cy="49466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5421630" cy="4946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spacing w:after="0"/>
        <w:rPr>
          <w:sz w:val="20"/>
          <w:szCs w:val="20"/>
          <w:color w:val="auto"/>
        </w:rPr>
      </w:pPr>
      <w:r>
        <w:rPr>
          <w:rFonts w:ascii="Arial" w:cs="Arial" w:eastAsia="Arial" w:hAnsi="Arial"/>
          <w:sz w:val="14"/>
          <w:szCs w:val="14"/>
          <w:b w:val="1"/>
          <w:bCs w:val="1"/>
          <w:color w:val="231F20"/>
        </w:rPr>
        <w:t>2021 Financial Metrics for PSUs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107315</wp:posOffset>
            </wp:positionV>
            <wp:extent cx="7139940" cy="825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139940" cy="8255"/>
                    </a:xfrm>
                    <a:prstGeom prst="rect">
                      <a:avLst/>
                    </a:prstGeom>
                    <a:noFill/>
                  </pic:spPr>
                </pic:pic>
              </a:graphicData>
            </a:graphic>
          </wp:anchor>
        </w:drawing>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800" w:type="dxa"/>
            <w:vAlign w:val="bottom"/>
          </w:tcPr>
          <w:p>
            <w:pPr>
              <w:spacing w:after="0"/>
              <w:rPr>
                <w:sz w:val="20"/>
                <w:szCs w:val="20"/>
                <w:color w:val="auto"/>
              </w:rPr>
            </w:pPr>
            <w:r>
              <w:rPr>
                <w:rFonts w:ascii="Arial" w:cs="Arial" w:eastAsia="Arial" w:hAnsi="Arial"/>
                <w:sz w:val="14"/>
                <w:szCs w:val="14"/>
                <w:b w:val="1"/>
                <w:bCs w:val="1"/>
                <w:color w:val="455986"/>
              </w:rPr>
              <w:t>Relative TSR</w:t>
            </w:r>
          </w:p>
        </w:tc>
        <w:tc>
          <w:tcPr>
            <w:tcW w:w="9440" w:type="dxa"/>
            <w:vAlign w:val="bottom"/>
            <w:gridSpan w:val="2"/>
          </w:tcPr>
          <w:p>
            <w:pPr>
              <w:ind w:left="900"/>
              <w:spacing w:after="0"/>
              <w:rPr>
                <w:sz w:val="20"/>
                <w:szCs w:val="20"/>
                <w:color w:val="auto"/>
              </w:rPr>
            </w:pPr>
            <w:r>
              <w:rPr>
                <w:rFonts w:ascii="Arial" w:cs="Arial" w:eastAsia="Arial" w:hAnsi="Arial"/>
                <w:sz w:val="14"/>
                <w:szCs w:val="14"/>
                <w:color w:val="231F20"/>
              </w:rPr>
              <w:t>The most prevalent long-term incentive metric in the peer group. The performance is based on relative TSR rank against our new 15</w:t>
            </w:r>
          </w:p>
        </w:tc>
      </w:tr>
      <w:tr>
        <w:trPr>
          <w:trHeight w:val="195"/>
        </w:trPr>
        <w:tc>
          <w:tcPr>
            <w:tcW w:w="1800" w:type="dxa"/>
            <w:vAlign w:val="bottom"/>
          </w:tcPr>
          <w:p>
            <w:pPr>
              <w:spacing w:after="0"/>
              <w:rPr>
                <w:sz w:val="16"/>
                <w:szCs w:val="16"/>
                <w:color w:val="auto"/>
              </w:rPr>
            </w:pPr>
          </w:p>
        </w:tc>
        <w:tc>
          <w:tcPr>
            <w:tcW w:w="9440" w:type="dxa"/>
            <w:vAlign w:val="bottom"/>
            <w:gridSpan w:val="2"/>
          </w:tcPr>
          <w:p>
            <w:pPr>
              <w:ind w:left="900"/>
              <w:spacing w:after="0"/>
              <w:rPr>
                <w:sz w:val="20"/>
                <w:szCs w:val="20"/>
                <w:color w:val="auto"/>
              </w:rPr>
            </w:pPr>
            <w:r>
              <w:rPr>
                <w:rFonts w:ascii="Arial" w:cs="Arial" w:eastAsia="Arial" w:hAnsi="Arial"/>
                <w:sz w:val="14"/>
                <w:szCs w:val="14"/>
                <w:color w:val="231F20"/>
              </w:rPr>
              <w:t>company peer group, with the percentile ranking determining the overall payout level (0 - 200%). The payout schedule would be:</w:t>
            </w:r>
          </w:p>
        </w:tc>
      </w:tr>
      <w:tr>
        <w:trPr>
          <w:trHeight w:val="306"/>
        </w:trPr>
        <w:tc>
          <w:tcPr>
            <w:tcW w:w="1800" w:type="dxa"/>
            <w:vAlign w:val="bottom"/>
          </w:tcPr>
          <w:p>
            <w:pPr>
              <w:spacing w:after="0"/>
              <w:rPr>
                <w:sz w:val="24"/>
                <w:szCs w:val="24"/>
                <w:color w:val="auto"/>
              </w:rPr>
            </w:pPr>
          </w:p>
        </w:tc>
        <w:tc>
          <w:tcPr>
            <w:tcW w:w="9440" w:type="dxa"/>
            <w:vAlign w:val="bottom"/>
            <w:gridSpan w:val="2"/>
          </w:tcPr>
          <w:p>
            <w:pPr>
              <w:ind w:left="900"/>
              <w:spacing w:after="0"/>
              <w:rPr>
                <w:sz w:val="20"/>
                <w:szCs w:val="20"/>
                <w:color w:val="auto"/>
              </w:rPr>
            </w:pPr>
            <w:r>
              <w:rPr>
                <w:rFonts w:ascii="Arial" w:cs="Arial" w:eastAsia="Arial" w:hAnsi="Arial"/>
                <w:sz w:val="14"/>
                <w:szCs w:val="14"/>
                <w:color w:val="4395D4"/>
              </w:rPr>
              <w:t xml:space="preserve">•  </w:t>
            </w:r>
            <w:r>
              <w:rPr>
                <w:rFonts w:ascii="Arial" w:cs="Arial" w:eastAsia="Arial" w:hAnsi="Arial"/>
                <w:sz w:val="14"/>
                <w:szCs w:val="14"/>
                <w:color w:val="231F20"/>
              </w:rPr>
              <w:t>Maximum (200% payout): 90th percentile (or greater)</w:t>
            </w:r>
          </w:p>
        </w:tc>
      </w:tr>
      <w:tr>
        <w:trPr>
          <w:trHeight w:val="230"/>
        </w:trPr>
        <w:tc>
          <w:tcPr>
            <w:tcW w:w="1800" w:type="dxa"/>
            <w:vAlign w:val="bottom"/>
          </w:tcPr>
          <w:p>
            <w:pPr>
              <w:spacing w:after="0"/>
              <w:rPr>
                <w:sz w:val="19"/>
                <w:szCs w:val="19"/>
                <w:color w:val="auto"/>
              </w:rPr>
            </w:pPr>
          </w:p>
        </w:tc>
        <w:tc>
          <w:tcPr>
            <w:tcW w:w="1020" w:type="dxa"/>
            <w:vAlign w:val="bottom"/>
          </w:tcPr>
          <w:p>
            <w:pPr>
              <w:ind w:left="900"/>
              <w:spacing w:after="0"/>
              <w:rPr>
                <w:sz w:val="20"/>
                <w:szCs w:val="20"/>
                <w:color w:val="auto"/>
              </w:rPr>
            </w:pPr>
            <w:r>
              <w:rPr>
                <w:rFonts w:ascii="Arial" w:cs="Arial" w:eastAsia="Arial" w:hAnsi="Arial"/>
                <w:sz w:val="14"/>
                <w:szCs w:val="14"/>
                <w:color w:val="4395D4"/>
              </w:rPr>
              <w:t>•</w:t>
            </w:r>
          </w:p>
        </w:tc>
        <w:tc>
          <w:tcPr>
            <w:tcW w:w="8420" w:type="dxa"/>
            <w:vAlign w:val="bottom"/>
          </w:tcPr>
          <w:p>
            <w:pPr>
              <w:ind w:left="60"/>
              <w:spacing w:after="0"/>
              <w:rPr>
                <w:sz w:val="20"/>
                <w:szCs w:val="20"/>
                <w:color w:val="auto"/>
              </w:rPr>
            </w:pPr>
            <w:r>
              <w:rPr>
                <w:rFonts w:ascii="Arial" w:cs="Arial" w:eastAsia="Arial" w:hAnsi="Arial"/>
                <w:sz w:val="14"/>
                <w:szCs w:val="14"/>
                <w:color w:val="231F20"/>
              </w:rPr>
              <w:t>Target (100% payout): 50th percentile</w:t>
            </w:r>
          </w:p>
        </w:tc>
      </w:tr>
      <w:tr>
        <w:trPr>
          <w:trHeight w:val="245"/>
        </w:trPr>
        <w:tc>
          <w:tcPr>
            <w:tcW w:w="1800" w:type="dxa"/>
            <w:vAlign w:val="bottom"/>
            <w:tcBorders>
              <w:bottom w:val="single" w:sz="8" w:color="231F20"/>
            </w:tcBorders>
          </w:tcPr>
          <w:p>
            <w:pPr>
              <w:spacing w:after="0"/>
              <w:rPr>
                <w:sz w:val="21"/>
                <w:szCs w:val="21"/>
                <w:color w:val="auto"/>
              </w:rPr>
            </w:pPr>
          </w:p>
        </w:tc>
        <w:tc>
          <w:tcPr>
            <w:tcW w:w="1020" w:type="dxa"/>
            <w:vAlign w:val="bottom"/>
            <w:tcBorders>
              <w:bottom w:val="single" w:sz="8" w:color="231F20"/>
            </w:tcBorders>
          </w:tcPr>
          <w:p>
            <w:pPr>
              <w:ind w:left="900"/>
              <w:spacing w:after="0"/>
              <w:rPr>
                <w:sz w:val="20"/>
                <w:szCs w:val="20"/>
                <w:color w:val="auto"/>
              </w:rPr>
            </w:pPr>
            <w:r>
              <w:rPr>
                <w:rFonts w:ascii="Arial" w:cs="Arial" w:eastAsia="Arial" w:hAnsi="Arial"/>
                <w:sz w:val="14"/>
                <w:szCs w:val="14"/>
                <w:color w:val="4395D4"/>
              </w:rPr>
              <w:t>•</w:t>
            </w:r>
          </w:p>
        </w:tc>
        <w:tc>
          <w:tcPr>
            <w:tcW w:w="8420" w:type="dxa"/>
            <w:vAlign w:val="bottom"/>
            <w:tcBorders>
              <w:bottom w:val="single" w:sz="8" w:color="231F20"/>
            </w:tcBorders>
          </w:tcPr>
          <w:p>
            <w:pPr>
              <w:ind w:left="60"/>
              <w:spacing w:after="0"/>
              <w:rPr>
                <w:sz w:val="20"/>
                <w:szCs w:val="20"/>
                <w:color w:val="auto"/>
              </w:rPr>
            </w:pPr>
            <w:r>
              <w:rPr>
                <w:rFonts w:ascii="Arial" w:cs="Arial" w:eastAsia="Arial" w:hAnsi="Arial"/>
                <w:sz w:val="14"/>
                <w:szCs w:val="14"/>
                <w:color w:val="231F20"/>
              </w:rPr>
              <w:t>Threshold (50% payout): 30th percentile</w:t>
            </w:r>
          </w:p>
        </w:tc>
      </w:tr>
    </w:tbl>
    <w:p>
      <w:pPr>
        <w:spacing w:after="0" w:line="132" w:lineRule="exact"/>
        <w:rPr>
          <w:sz w:val="20"/>
          <w:szCs w:val="20"/>
          <w:color w:val="auto"/>
        </w:rPr>
      </w:pPr>
    </w:p>
    <w:p>
      <w:pPr>
        <w:spacing w:after="0"/>
        <w:rPr>
          <w:sz w:val="20"/>
          <w:szCs w:val="20"/>
          <w:color w:val="auto"/>
        </w:rPr>
      </w:pPr>
      <w:r>
        <w:rPr>
          <w:rFonts w:ascii="Arial" w:cs="Arial" w:eastAsia="Arial" w:hAnsi="Arial"/>
          <w:sz w:val="14"/>
          <w:szCs w:val="14"/>
          <w:color w:val="231F20"/>
        </w:rPr>
        <w:t>Additionally, two other internal operating measures were chosen to balance internal financial and operational management with external shareholder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113665</wp:posOffset>
            </wp:positionV>
            <wp:extent cx="7139940" cy="825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139940" cy="8255"/>
                    </a:xfrm>
                    <a:prstGeom prst="rect">
                      <a:avLst/>
                    </a:prstGeom>
                    <a:noFill/>
                  </pic:spPr>
                </pic:pic>
              </a:graphicData>
            </a:graphic>
          </wp:anchor>
        </w:drawing>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340" w:type="dxa"/>
            <w:vAlign w:val="bottom"/>
          </w:tcPr>
          <w:p>
            <w:pPr>
              <w:spacing w:after="0"/>
              <w:rPr>
                <w:sz w:val="20"/>
                <w:szCs w:val="20"/>
                <w:color w:val="auto"/>
              </w:rPr>
            </w:pPr>
            <w:r>
              <w:rPr>
                <w:rFonts w:ascii="Arial" w:cs="Arial" w:eastAsia="Arial" w:hAnsi="Arial"/>
                <w:sz w:val="14"/>
                <w:szCs w:val="14"/>
                <w:b w:val="1"/>
                <w:bCs w:val="1"/>
                <w:color w:val="455986"/>
              </w:rPr>
              <w:t>Rate base growth</w:t>
            </w:r>
          </w:p>
        </w:tc>
        <w:tc>
          <w:tcPr>
            <w:tcW w:w="8900" w:type="dxa"/>
            <w:vAlign w:val="bottom"/>
          </w:tcPr>
          <w:p>
            <w:pPr>
              <w:ind w:left="360"/>
              <w:spacing w:after="0"/>
              <w:rPr>
                <w:sz w:val="20"/>
                <w:szCs w:val="20"/>
                <w:color w:val="auto"/>
              </w:rPr>
            </w:pPr>
            <w:r>
              <w:rPr>
                <w:rFonts w:ascii="Arial" w:cs="Arial" w:eastAsia="Arial" w:hAnsi="Arial"/>
                <w:sz w:val="14"/>
                <w:szCs w:val="14"/>
                <w:color w:val="231F20"/>
              </w:rPr>
              <w:t>Defined as the approved rate base at the time of acquisition plus subsequent capital invested in the following three years. Rate base</w:t>
            </w:r>
          </w:p>
        </w:tc>
      </w:tr>
      <w:tr>
        <w:trPr>
          <w:trHeight w:val="197"/>
        </w:trPr>
        <w:tc>
          <w:tcPr>
            <w:tcW w:w="2340" w:type="dxa"/>
            <w:vAlign w:val="bottom"/>
            <w:tcBorders>
              <w:bottom w:val="single" w:sz="8" w:color="231F20"/>
            </w:tcBorders>
          </w:tcPr>
          <w:p>
            <w:pPr>
              <w:spacing w:after="0"/>
              <w:rPr>
                <w:sz w:val="17"/>
                <w:szCs w:val="17"/>
                <w:color w:val="auto"/>
              </w:rPr>
            </w:pPr>
          </w:p>
        </w:tc>
        <w:tc>
          <w:tcPr>
            <w:tcW w:w="8900" w:type="dxa"/>
            <w:vAlign w:val="bottom"/>
            <w:tcBorders>
              <w:bottom w:val="single" w:sz="8" w:color="231F20"/>
            </w:tcBorders>
          </w:tcPr>
          <w:p>
            <w:pPr>
              <w:ind w:left="360"/>
              <w:spacing w:after="0"/>
              <w:rPr>
                <w:sz w:val="20"/>
                <w:szCs w:val="20"/>
                <w:color w:val="auto"/>
              </w:rPr>
            </w:pPr>
            <w:r>
              <w:rPr>
                <w:rFonts w:ascii="Arial" w:cs="Arial" w:eastAsia="Arial" w:hAnsi="Arial"/>
                <w:sz w:val="14"/>
                <w:szCs w:val="14"/>
                <w:color w:val="231F20"/>
              </w:rPr>
              <w:t>growth is central to the Company’s growth platform.</w:t>
            </w:r>
          </w:p>
        </w:tc>
      </w:tr>
      <w:tr>
        <w:trPr>
          <w:trHeight w:val="151"/>
        </w:trPr>
        <w:tc>
          <w:tcPr>
            <w:tcW w:w="2340" w:type="dxa"/>
            <w:vAlign w:val="bottom"/>
          </w:tcPr>
          <w:p>
            <w:pPr>
              <w:spacing w:after="0" w:line="151" w:lineRule="exact"/>
              <w:rPr>
                <w:sz w:val="20"/>
                <w:szCs w:val="20"/>
                <w:color w:val="auto"/>
              </w:rPr>
            </w:pPr>
            <w:r>
              <w:rPr>
                <w:rFonts w:ascii="Arial" w:cs="Arial" w:eastAsia="Arial" w:hAnsi="Arial"/>
                <w:sz w:val="14"/>
                <w:szCs w:val="14"/>
                <w:b w:val="1"/>
                <w:bCs w:val="1"/>
                <w:color w:val="455986"/>
              </w:rPr>
              <w:t>Operations and maintenance</w:t>
            </w:r>
          </w:p>
        </w:tc>
        <w:tc>
          <w:tcPr>
            <w:tcW w:w="8900" w:type="dxa"/>
            <w:vAlign w:val="bottom"/>
          </w:tcPr>
          <w:p>
            <w:pPr>
              <w:ind w:left="360"/>
              <w:spacing w:after="0" w:line="151" w:lineRule="exact"/>
              <w:rPr>
                <w:sz w:val="20"/>
                <w:szCs w:val="20"/>
                <w:color w:val="auto"/>
              </w:rPr>
            </w:pPr>
            <w:r>
              <w:rPr>
                <w:rFonts w:ascii="Arial" w:cs="Arial" w:eastAsia="Arial" w:hAnsi="Arial"/>
                <w:sz w:val="14"/>
                <w:szCs w:val="14"/>
                <w:color w:val="231F20"/>
              </w:rPr>
              <w:t>To ensure cost effective operations, operations and maintenance targets include the budget plus the first two years in the plan for the</w:t>
            </w:r>
          </w:p>
        </w:tc>
      </w:tr>
      <w:tr>
        <w:trPr>
          <w:trHeight w:val="202"/>
        </w:trPr>
        <w:tc>
          <w:tcPr>
            <w:tcW w:w="2340" w:type="dxa"/>
            <w:vAlign w:val="bottom"/>
            <w:tcBorders>
              <w:bottom w:val="single" w:sz="8" w:color="455986"/>
            </w:tcBorders>
          </w:tcPr>
          <w:p>
            <w:pPr>
              <w:spacing w:after="0"/>
              <w:rPr>
                <w:sz w:val="20"/>
                <w:szCs w:val="20"/>
                <w:color w:val="auto"/>
              </w:rPr>
            </w:pPr>
            <w:r>
              <w:rPr>
                <w:rFonts w:ascii="Arial" w:cs="Arial" w:eastAsia="Arial" w:hAnsi="Arial"/>
                <w:sz w:val="14"/>
                <w:szCs w:val="14"/>
                <w:b w:val="1"/>
                <w:bCs w:val="1"/>
                <w:color w:val="455986"/>
              </w:rPr>
              <w:t>performance</w:t>
            </w:r>
          </w:p>
        </w:tc>
        <w:tc>
          <w:tcPr>
            <w:tcW w:w="8900" w:type="dxa"/>
            <w:vAlign w:val="bottom"/>
            <w:tcBorders>
              <w:bottom w:val="single" w:sz="8" w:color="455986"/>
            </w:tcBorders>
          </w:tcPr>
          <w:p>
            <w:pPr>
              <w:ind w:left="360"/>
              <w:spacing w:after="0"/>
              <w:rPr>
                <w:sz w:val="20"/>
                <w:szCs w:val="20"/>
                <w:color w:val="auto"/>
              </w:rPr>
            </w:pPr>
            <w:r>
              <w:rPr>
                <w:rFonts w:ascii="Arial" w:cs="Arial" w:eastAsia="Arial" w:hAnsi="Arial"/>
                <w:sz w:val="14"/>
                <w:szCs w:val="14"/>
                <w:color w:val="231F20"/>
              </w:rPr>
              <w:t>regulated businesses only.</w:t>
            </w:r>
          </w:p>
        </w:tc>
      </w:tr>
    </w:tbl>
    <w:p>
      <w:pPr>
        <w:spacing w:after="0" w:line="285" w:lineRule="exact"/>
        <w:rPr>
          <w:sz w:val="20"/>
          <w:szCs w:val="20"/>
          <w:color w:val="auto"/>
        </w:rPr>
      </w:pPr>
    </w:p>
    <w:p>
      <w:pPr>
        <w:ind w:right="340"/>
        <w:spacing w:after="0" w:line="278" w:lineRule="auto"/>
        <w:rPr>
          <w:sz w:val="20"/>
          <w:szCs w:val="20"/>
          <w:color w:val="auto"/>
        </w:rPr>
      </w:pPr>
      <w:r>
        <w:rPr>
          <w:rFonts w:ascii="Arial" w:cs="Arial" w:eastAsia="Arial" w:hAnsi="Arial"/>
          <w:sz w:val="14"/>
          <w:szCs w:val="14"/>
          <w:color w:val="231F20"/>
        </w:rPr>
        <w:t>The charts below illustrate both of the components and metrics that the Compensation Committee will use to measure the performance of the Company with respect to the award of the shares associated with the PSUs:</w:t>
      </w:r>
    </w:p>
    <w:p>
      <w:pPr>
        <w:spacing w:after="0" w:line="83" w:lineRule="exact"/>
        <w:rPr>
          <w:sz w:val="20"/>
          <w:szCs w:val="20"/>
          <w:color w:val="auto"/>
        </w:rPr>
      </w:pPr>
    </w:p>
    <w:p>
      <w:pPr>
        <w:spacing w:after="0"/>
        <w:rPr>
          <w:sz w:val="20"/>
          <w:szCs w:val="20"/>
          <w:color w:val="auto"/>
        </w:rPr>
      </w:pPr>
      <w:r>
        <w:rPr>
          <w:rFonts w:ascii="Arial" w:cs="Arial" w:eastAsia="Arial" w:hAnsi="Arial"/>
          <w:sz w:val="17"/>
          <w:szCs w:val="17"/>
          <w:b w:val="1"/>
          <w:bCs w:val="1"/>
          <w:color w:val="4395D4"/>
        </w:rPr>
        <w:t>2021 PSU Performance Target Payout Percentage</w:t>
      </w:r>
    </w:p>
    <w:p>
      <w:pPr>
        <w:spacing w:after="0" w:line="153" w:lineRule="exact"/>
        <w:rPr>
          <w:sz w:val="20"/>
          <w:szCs w:val="20"/>
          <w:color w:val="auto"/>
        </w:rPr>
      </w:pPr>
    </w:p>
    <w:p>
      <w:pPr>
        <w:spacing w:after="0"/>
        <w:rPr>
          <w:sz w:val="20"/>
          <w:szCs w:val="20"/>
          <w:color w:val="auto"/>
        </w:rPr>
      </w:pPr>
      <w:r>
        <w:rPr>
          <w:rFonts w:ascii="Arial" w:cs="Arial" w:eastAsia="Arial" w:hAnsi="Arial"/>
          <w:sz w:val="14"/>
          <w:szCs w:val="14"/>
          <w:color w:val="231F20"/>
        </w:rPr>
        <w:t>The charts below illustrate the performance that will be required for the 2021 PSUs to be paid out, and at what percentage: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203200</wp:posOffset>
            </wp:positionV>
            <wp:extent cx="7139940" cy="179133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139940" cy="17913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300" w:hanging="298"/>
        <w:spacing w:after="0"/>
        <w:tabs>
          <w:tab w:leader="none" w:pos="300" w:val="left"/>
        </w:tabs>
        <w:numPr>
          <w:ilvl w:val="0"/>
          <w:numId w:val="126"/>
        </w:numPr>
        <w:rPr>
          <w:rFonts w:ascii="Arial" w:cs="Arial" w:eastAsia="Arial" w:hAnsi="Arial"/>
          <w:sz w:val="15"/>
          <w:szCs w:val="15"/>
          <w:color w:val="455986"/>
        </w:rPr>
      </w:pPr>
      <w:r>
        <w:rPr>
          <w:rFonts w:ascii="Arial" w:cs="Arial" w:eastAsia="Arial" w:hAnsi="Arial"/>
          <w:sz w:val="12"/>
          <w:szCs w:val="12"/>
          <w:color w:val="4395D4"/>
        </w:rPr>
        <w:t xml:space="preserve">ESSENTIAL UTILITIES, INC. </w:t>
      </w:r>
      <w:r>
        <w:rPr>
          <w:rFonts w:ascii="Arial" w:cs="Arial" w:eastAsia="Arial" w:hAnsi="Arial"/>
          <w:sz w:val="12"/>
          <w:szCs w:val="12"/>
          <w:color w:val="455986"/>
        </w:rPr>
        <w:t>2021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316230</wp:posOffset>
            </wp:positionV>
            <wp:extent cx="7139940" cy="2413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139940" cy="24130"/>
                    </a:xfrm>
                    <a:prstGeom prst="rect">
                      <a:avLst/>
                    </a:prstGeom>
                    <a:noFill/>
                  </pic:spPr>
                </pic:pic>
              </a:graphicData>
            </a:graphic>
          </wp:anchor>
        </w:drawing>
      </w:r>
    </w:p>
    <w:p>
      <w:pPr>
        <w:sectPr>
          <w:pgSz w:w="11900" w:h="16838" w:orient="portrait"/>
          <w:cols w:equalWidth="0" w:num="1">
            <w:col w:w="11240"/>
          </w:cols>
          <w:pgMar w:left="320" w:top="636" w:right="339" w:bottom="1440" w:gutter="0" w:footer="0" w:header="0"/>
        </w:sectPr>
      </w:pPr>
    </w:p>
    <w:bookmarkStart w:id="69" w:name="page70"/>
    <w:bookmarkEnd w:id="69"/>
    <w:p>
      <w:pPr>
        <w:spacing w:after="0"/>
        <w:rPr>
          <w:sz w:val="20"/>
          <w:szCs w:val="20"/>
          <w:color w:val="auto"/>
        </w:rPr>
      </w:pPr>
      <w:r>
        <w:rPr>
          <w:rFonts w:ascii="Arial" w:cs="Arial" w:eastAsia="Arial" w:hAnsi="Arial"/>
          <w:sz w:val="14"/>
          <w:szCs w:val="14"/>
          <w:b w:val="1"/>
          <w:bCs w:val="1"/>
          <w:color w:val="455986"/>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27940</wp:posOffset>
            </wp:positionV>
            <wp:extent cx="7139940" cy="825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139940" cy="8255"/>
                    </a:xfrm>
                    <a:prstGeom prst="rect">
                      <a:avLst/>
                    </a:prstGeom>
                    <a:noFill/>
                  </pic:spPr>
                </pic:pic>
              </a:graphicData>
            </a:graphic>
          </wp:anchor>
        </w:drawing>
      </w:r>
    </w:p>
    <w:p>
      <w:pPr>
        <w:spacing w:after="0" w:line="76" w:lineRule="exact"/>
        <w:rPr>
          <w:sz w:val="20"/>
          <w:szCs w:val="20"/>
          <w:color w:val="auto"/>
        </w:rPr>
      </w:pPr>
    </w:p>
    <w:p>
      <w:pPr>
        <w:spacing w:after="0"/>
        <w:rPr>
          <w:sz w:val="20"/>
          <w:szCs w:val="20"/>
          <w:color w:val="auto"/>
        </w:rPr>
      </w:pPr>
      <w:r>
        <w:rPr>
          <w:rFonts w:ascii="Arial" w:cs="Arial" w:eastAsia="Arial" w:hAnsi="Arial"/>
          <w:sz w:val="14"/>
          <w:szCs w:val="14"/>
          <w:color w:val="4395D4"/>
        </w:rPr>
        <w:t xml:space="preserve">Section 5 </w:t>
      </w:r>
      <w:r>
        <w:rPr>
          <w:rFonts w:ascii="Arial" w:cs="Arial" w:eastAsia="Arial" w:hAnsi="Arial"/>
          <w:sz w:val="14"/>
          <w:szCs w:val="14"/>
          <w:color w:val="231F20"/>
        </w:rPr>
        <w:t>Our 2021 Short- and Long-Term Incentive Program</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b w:val="1"/>
          <w:bCs w:val="1"/>
          <w:color w:val="4395D4"/>
        </w:rPr>
        <w:t>LTI Metrics – Rate Base Growth and O&amp;M</w:t>
      </w:r>
    </w:p>
    <w:p>
      <w:pPr>
        <w:spacing w:after="0" w:line="153" w:lineRule="exact"/>
        <w:rPr>
          <w:sz w:val="20"/>
          <w:szCs w:val="20"/>
          <w:color w:val="auto"/>
        </w:rPr>
      </w:pPr>
    </w:p>
    <w:p>
      <w:pPr>
        <w:ind w:right="1860"/>
        <w:spacing w:after="0" w:line="519" w:lineRule="auto"/>
        <w:rPr>
          <w:sz w:val="20"/>
          <w:szCs w:val="20"/>
          <w:color w:val="auto"/>
        </w:rPr>
      </w:pPr>
      <w:r>
        <w:rPr>
          <w:rFonts w:ascii="Arial" w:cs="Arial" w:eastAsia="Arial" w:hAnsi="Arial"/>
          <w:sz w:val="14"/>
          <w:szCs w:val="14"/>
          <w:color w:val="231F20"/>
        </w:rPr>
        <w:t xml:space="preserve">These charts illustrate both the Rate Base Growth and the Operations and Maintenance metrics that will be used by the Compensation Committee. </w:t>
      </w:r>
      <w:r>
        <w:rPr>
          <w:rFonts w:ascii="Arial" w:cs="Arial" w:eastAsia="Arial" w:hAnsi="Arial"/>
          <w:sz w:val="14"/>
          <w:szCs w:val="14"/>
          <w:b w:val="1"/>
          <w:bCs w:val="1"/>
          <w:color w:val="231F20"/>
        </w:rPr>
        <w:t>LTI Targets – Essential Rate Base Growth &amp; O&amp;M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-38735</wp:posOffset>
            </wp:positionV>
            <wp:extent cx="7139940" cy="203390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139940" cy="20339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right"/>
        <w:spacing w:after="0"/>
        <w:tabs>
          <w:tab w:leader="none" w:pos="140" w:val="left"/>
        </w:tabs>
        <w:rPr>
          <w:sz w:val="20"/>
          <w:szCs w:val="20"/>
          <w:color w:val="auto"/>
        </w:rPr>
      </w:pPr>
      <w:r>
        <w:rPr>
          <w:rFonts w:ascii="Arial" w:cs="Arial" w:eastAsia="Arial" w:hAnsi="Arial"/>
          <w:sz w:val="12"/>
          <w:szCs w:val="12"/>
          <w:color w:val="4395D4"/>
        </w:rPr>
        <w:t xml:space="preserve">ESSENTIAL UTILITIES, INC. </w:t>
      </w:r>
      <w:r>
        <w:rPr>
          <w:rFonts w:ascii="Arial" w:cs="Arial" w:eastAsia="Arial" w:hAnsi="Arial"/>
          <w:sz w:val="12"/>
          <w:szCs w:val="12"/>
          <w:color w:val="455986"/>
        </w:rPr>
        <w:t>2021 PROXY STATEMENT</w:t>
      </w:r>
      <w:r>
        <w:rPr>
          <w:sz w:val="20"/>
          <w:szCs w:val="20"/>
          <w:color w:val="auto"/>
        </w:rPr>
        <w:tab/>
      </w:r>
      <w:r>
        <w:rPr>
          <w:rFonts w:ascii="Arial" w:cs="Arial" w:eastAsia="Arial" w:hAnsi="Arial"/>
          <w:sz w:val="14"/>
          <w:szCs w:val="14"/>
          <w:color w:val="455986"/>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339090</wp:posOffset>
            </wp:positionV>
            <wp:extent cx="7139940" cy="2413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139940" cy="24130"/>
                    </a:xfrm>
                    <a:prstGeom prst="rect">
                      <a:avLst/>
                    </a:prstGeom>
                    <a:noFill/>
                  </pic:spPr>
                </pic:pic>
              </a:graphicData>
            </a:graphic>
          </wp:anchor>
        </w:drawing>
      </w:r>
    </w:p>
    <w:p>
      <w:pPr>
        <w:sectPr>
          <w:pgSz w:w="11900" w:h="16838" w:orient="portrait"/>
          <w:cols w:equalWidth="0" w:num="1">
            <w:col w:w="11240"/>
          </w:cols>
          <w:pgMar w:left="320" w:top="636" w:right="339" w:bottom="1440" w:gutter="0" w:footer="0" w:header="0"/>
        </w:sectPr>
      </w:pPr>
    </w:p>
    <w:bookmarkStart w:id="70" w:name="page71"/>
    <w:bookmarkEnd w:id="70"/>
    <w:p>
      <w:pPr>
        <w:spacing w:after="0"/>
        <w:rPr>
          <w:sz w:val="20"/>
          <w:szCs w:val="20"/>
          <w:color w:val="auto"/>
        </w:rPr>
      </w:pPr>
      <w:r>
        <w:rPr>
          <w:rFonts w:ascii="Arial" w:cs="Arial" w:eastAsia="Arial" w:hAnsi="Arial"/>
          <w:sz w:val="14"/>
          <w:szCs w:val="14"/>
          <w:b w:val="1"/>
          <w:bCs w:val="1"/>
          <w:color w:val="455986"/>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27940</wp:posOffset>
            </wp:positionV>
            <wp:extent cx="7139940" cy="825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139940" cy="8255"/>
                    </a:xfrm>
                    <a:prstGeom prst="rect">
                      <a:avLst/>
                    </a:prstGeom>
                    <a:noFill/>
                  </pic:spPr>
                </pic:pic>
              </a:graphicData>
            </a:graphic>
          </wp:anchor>
        </w:drawing>
      </w:r>
    </w:p>
    <w:p>
      <w:pPr>
        <w:spacing w:after="0" w:line="76" w:lineRule="exact"/>
        <w:rPr>
          <w:sz w:val="20"/>
          <w:szCs w:val="20"/>
          <w:color w:val="auto"/>
        </w:rPr>
      </w:pPr>
    </w:p>
    <w:p>
      <w:pPr>
        <w:spacing w:after="0"/>
        <w:rPr>
          <w:sz w:val="20"/>
          <w:szCs w:val="20"/>
          <w:color w:val="auto"/>
        </w:rPr>
      </w:pPr>
      <w:r>
        <w:rPr>
          <w:rFonts w:ascii="Arial" w:cs="Arial" w:eastAsia="Arial" w:hAnsi="Arial"/>
          <w:sz w:val="14"/>
          <w:szCs w:val="14"/>
          <w:color w:val="4395D4"/>
        </w:rPr>
        <w:t xml:space="preserve">Section 6 </w:t>
      </w:r>
      <w:r>
        <w:rPr>
          <w:rFonts w:ascii="Arial" w:cs="Arial" w:eastAsia="Arial" w:hAnsi="Arial"/>
          <w:sz w:val="14"/>
          <w:szCs w:val="14"/>
          <w:color w:val="231F20"/>
        </w:rPr>
        <w:t>Compensation Governance Policies and Practices</w:t>
      </w:r>
    </w:p>
    <w:p>
      <w:pPr>
        <w:spacing w:after="0" w:line="145" w:lineRule="exact"/>
        <w:rPr>
          <w:sz w:val="20"/>
          <w:szCs w:val="20"/>
          <w:color w:val="auto"/>
        </w:rPr>
      </w:pPr>
    </w:p>
    <w:p>
      <w:pPr>
        <w:spacing w:after="0"/>
        <w:rPr>
          <w:sz w:val="20"/>
          <w:szCs w:val="20"/>
          <w:color w:val="auto"/>
        </w:rPr>
      </w:pPr>
      <w:r>
        <w:rPr>
          <w:rFonts w:ascii="Arial" w:cs="Arial" w:eastAsia="Arial" w:hAnsi="Arial"/>
          <w:sz w:val="34"/>
          <w:szCs w:val="34"/>
          <w:b w:val="1"/>
          <w:bCs w:val="1"/>
          <w:color w:val="4395D4"/>
        </w:rPr>
        <w:t>Section 6</w:t>
      </w:r>
    </w:p>
    <w:p>
      <w:pPr>
        <w:spacing w:after="0" w:line="175" w:lineRule="exact"/>
        <w:rPr>
          <w:sz w:val="20"/>
          <w:szCs w:val="20"/>
          <w:color w:val="auto"/>
        </w:rPr>
      </w:pPr>
    </w:p>
    <w:p>
      <w:pPr>
        <w:spacing w:after="0"/>
        <w:rPr>
          <w:sz w:val="20"/>
          <w:szCs w:val="20"/>
          <w:color w:val="auto"/>
        </w:rPr>
      </w:pPr>
      <w:r>
        <w:rPr>
          <w:rFonts w:ascii="Arial" w:cs="Arial" w:eastAsia="Arial" w:hAnsi="Arial"/>
          <w:sz w:val="24"/>
          <w:szCs w:val="24"/>
          <w:b w:val="1"/>
          <w:bCs w:val="1"/>
          <w:color w:val="455986"/>
        </w:rPr>
        <w:t>Compensation Governance Policies and Practices</w:t>
      </w:r>
    </w:p>
    <w:p>
      <w:pPr>
        <w:spacing w:after="0" w:line="156" w:lineRule="exact"/>
        <w:rPr>
          <w:sz w:val="20"/>
          <w:szCs w:val="20"/>
          <w:color w:val="auto"/>
        </w:rPr>
      </w:pPr>
    </w:p>
    <w:p>
      <w:pPr>
        <w:spacing w:after="0"/>
        <w:rPr>
          <w:sz w:val="20"/>
          <w:szCs w:val="20"/>
          <w:color w:val="auto"/>
        </w:rPr>
      </w:pPr>
      <w:r>
        <w:rPr>
          <w:rFonts w:ascii="Arial" w:cs="Arial" w:eastAsia="Arial" w:hAnsi="Arial"/>
          <w:sz w:val="20"/>
          <w:szCs w:val="20"/>
          <w:b w:val="1"/>
          <w:bCs w:val="1"/>
          <w:color w:val="231F20"/>
        </w:rPr>
        <w:t>Anti-Hedging and Anti-Pledging Policy</w:t>
      </w:r>
    </w:p>
    <w:p>
      <w:pPr>
        <w:spacing w:after="0" w:line="166" w:lineRule="exact"/>
        <w:rPr>
          <w:sz w:val="20"/>
          <w:szCs w:val="20"/>
          <w:color w:val="auto"/>
        </w:rPr>
      </w:pPr>
    </w:p>
    <w:p>
      <w:pPr>
        <w:spacing w:after="0"/>
        <w:rPr>
          <w:sz w:val="20"/>
          <w:szCs w:val="20"/>
          <w:color w:val="auto"/>
        </w:rPr>
      </w:pPr>
      <w:r>
        <w:rPr>
          <w:rFonts w:ascii="Arial" w:cs="Arial" w:eastAsia="Arial" w:hAnsi="Arial"/>
          <w:sz w:val="14"/>
          <w:szCs w:val="14"/>
          <w:color w:val="231F20"/>
        </w:rPr>
        <w:t>We believe that issuance of incentive and compensatory equity awards to our directors and named executive officers along with our stock ownership guidelines help to align the interests of such officers with our shareholders. As part of our insider trading policy, we prohibit all directors and employees from engaging in hedging or pledging activities with respect to any owned shares or outstanding equity awards. The policy specifically prohibits all insiders from engaging in any short sales of the Company’s securities, buying or selling puts, calls or other derivative securities, or pledging the Company’s securities as collateral for a loan. None of our directors nor any of our named executive officers engaged in any hedging or pledging activities with respect to the Company stock during 2020.</w:t>
      </w:r>
    </w:p>
    <w:p>
      <w:pPr>
        <w:spacing w:after="0" w:line="101" w:lineRule="exact"/>
        <w:rPr>
          <w:sz w:val="20"/>
          <w:szCs w:val="20"/>
          <w:color w:val="auto"/>
        </w:rPr>
      </w:pPr>
    </w:p>
    <w:p>
      <w:pPr>
        <w:spacing w:after="0"/>
        <w:rPr>
          <w:sz w:val="20"/>
          <w:szCs w:val="20"/>
          <w:color w:val="auto"/>
        </w:rPr>
      </w:pPr>
      <w:r>
        <w:rPr>
          <w:rFonts w:ascii="Arial" w:cs="Arial" w:eastAsia="Arial" w:hAnsi="Arial"/>
          <w:sz w:val="20"/>
          <w:szCs w:val="20"/>
          <w:b w:val="1"/>
          <w:bCs w:val="1"/>
          <w:color w:val="231F20"/>
        </w:rPr>
        <w:t>Clawback of Incentive Compensation</w:t>
      </w:r>
    </w:p>
    <w:p>
      <w:pPr>
        <w:spacing w:after="0" w:line="166" w:lineRule="exact"/>
        <w:rPr>
          <w:sz w:val="20"/>
          <w:szCs w:val="20"/>
          <w:color w:val="auto"/>
        </w:rPr>
      </w:pPr>
    </w:p>
    <w:p>
      <w:pPr>
        <w:ind w:right="120"/>
        <w:spacing w:after="0" w:line="245" w:lineRule="auto"/>
        <w:rPr>
          <w:sz w:val="20"/>
          <w:szCs w:val="20"/>
          <w:color w:val="auto"/>
        </w:rPr>
      </w:pPr>
      <w:r>
        <w:rPr>
          <w:rFonts w:ascii="Arial" w:cs="Arial" w:eastAsia="Arial" w:hAnsi="Arial"/>
          <w:sz w:val="14"/>
          <w:szCs w:val="14"/>
          <w:color w:val="231F20"/>
        </w:rPr>
        <w:t>In the event of a significant restatement of our financial results caused by executive fraud or willful misconduct, the Compensation Committee reserves the right to review the cash incentive compensation received by the named executive officers with respect to the period to which the restatement relates, recalculate Essential’s results for the period to which the restatement relates and seek reimbursement of that portion of the cash incentive compensation that was based on the misstated financial results from the executive or executives whose fraud or willful misconduct was the cause of the restatement.</w:t>
      </w:r>
    </w:p>
    <w:p>
      <w:pPr>
        <w:spacing w:after="0" w:line="108" w:lineRule="exact"/>
        <w:rPr>
          <w:sz w:val="20"/>
          <w:szCs w:val="20"/>
          <w:color w:val="auto"/>
        </w:rPr>
      </w:pPr>
    </w:p>
    <w:p>
      <w:pPr>
        <w:ind w:right="360"/>
        <w:spacing w:after="0" w:line="278" w:lineRule="auto"/>
        <w:rPr>
          <w:sz w:val="20"/>
          <w:szCs w:val="20"/>
          <w:color w:val="auto"/>
        </w:rPr>
      </w:pPr>
      <w:r>
        <w:rPr>
          <w:rFonts w:ascii="Arial" w:cs="Arial" w:eastAsia="Arial" w:hAnsi="Arial"/>
          <w:sz w:val="14"/>
          <w:szCs w:val="14"/>
          <w:color w:val="231F20"/>
        </w:rPr>
        <w:t>In addition, starting with the performance share unit grants and restricted stock unit grants in 2014, all shares issued pursuant to those grants are subject to any applicable recoupment or clawback policies and other policies implemented by the Board, as in effect from time to time.</w:t>
      </w:r>
    </w:p>
    <w:p>
      <w:pPr>
        <w:spacing w:after="0" w:line="74" w:lineRule="exact"/>
        <w:rPr>
          <w:sz w:val="20"/>
          <w:szCs w:val="20"/>
          <w:color w:val="auto"/>
        </w:rPr>
      </w:pPr>
    </w:p>
    <w:p>
      <w:pPr>
        <w:spacing w:after="0"/>
        <w:rPr>
          <w:sz w:val="20"/>
          <w:szCs w:val="20"/>
          <w:color w:val="auto"/>
        </w:rPr>
      </w:pPr>
      <w:r>
        <w:rPr>
          <w:rFonts w:ascii="Arial" w:cs="Arial" w:eastAsia="Arial" w:hAnsi="Arial"/>
          <w:sz w:val="20"/>
          <w:szCs w:val="20"/>
          <w:b w:val="1"/>
          <w:bCs w:val="1"/>
          <w:color w:val="231F20"/>
        </w:rPr>
        <w:t>Limited Perquisites</w:t>
      </w:r>
    </w:p>
    <w:p>
      <w:pPr>
        <w:spacing w:after="0" w:line="166" w:lineRule="exact"/>
        <w:rPr>
          <w:sz w:val="20"/>
          <w:szCs w:val="20"/>
          <w:color w:val="auto"/>
        </w:rPr>
      </w:pPr>
    </w:p>
    <w:p>
      <w:pPr>
        <w:ind w:right="240"/>
        <w:spacing w:after="0" w:line="278" w:lineRule="auto"/>
        <w:rPr>
          <w:sz w:val="20"/>
          <w:szCs w:val="20"/>
          <w:color w:val="auto"/>
        </w:rPr>
      </w:pPr>
      <w:r>
        <w:rPr>
          <w:rFonts w:ascii="Arial" w:cs="Arial" w:eastAsia="Arial" w:hAnsi="Arial"/>
          <w:sz w:val="14"/>
          <w:szCs w:val="14"/>
          <w:color w:val="231F20"/>
        </w:rPr>
        <w:t>We offer a limited number of perquisites for our named executive officers. The Board has authorized executive benefits consisting of executive financial planning and annual executive physical exams. The Board regularly reviews the benefits provided to our executives and makes appropriate modifications based on the value of these benefits.</w:t>
      </w:r>
    </w:p>
    <w:p>
      <w:pPr>
        <w:spacing w:after="0" w:line="74" w:lineRule="exact"/>
        <w:rPr>
          <w:sz w:val="20"/>
          <w:szCs w:val="20"/>
          <w:color w:val="auto"/>
        </w:rPr>
      </w:pPr>
    </w:p>
    <w:p>
      <w:pPr>
        <w:spacing w:after="0"/>
        <w:rPr>
          <w:sz w:val="20"/>
          <w:szCs w:val="20"/>
          <w:color w:val="auto"/>
        </w:rPr>
      </w:pPr>
      <w:r>
        <w:rPr>
          <w:rFonts w:ascii="Arial" w:cs="Arial" w:eastAsia="Arial" w:hAnsi="Arial"/>
          <w:sz w:val="20"/>
          <w:szCs w:val="20"/>
          <w:b w:val="1"/>
          <w:bCs w:val="1"/>
          <w:color w:val="231F20"/>
        </w:rPr>
        <w:t>Stock Ownership Guidelines</w:t>
      </w:r>
    </w:p>
    <w:p>
      <w:pPr>
        <w:spacing w:after="0" w:line="166" w:lineRule="exact"/>
        <w:rPr>
          <w:sz w:val="20"/>
          <w:szCs w:val="20"/>
          <w:color w:val="auto"/>
        </w:rPr>
      </w:pPr>
    </w:p>
    <w:p>
      <w:pPr>
        <w:ind w:right="80"/>
        <w:spacing w:after="0"/>
        <w:rPr>
          <w:sz w:val="20"/>
          <w:szCs w:val="20"/>
          <w:color w:val="auto"/>
        </w:rPr>
      </w:pPr>
      <w:r>
        <w:rPr>
          <w:rFonts w:ascii="Arial" w:cs="Arial" w:eastAsia="Arial" w:hAnsi="Arial"/>
          <w:sz w:val="14"/>
          <w:szCs w:val="14"/>
          <w:color w:val="231F20"/>
        </w:rPr>
        <w:t>In 2005, the Board of Directors established stock ownership guidelines for the named executive officers to encourage these executives to maintain a significant ownership interest in the Company and to help align the interests of these executive officers with the long-term performance of the Company. In 2017, these guidelines were modified to recognize the different levels of executives who may be among the named executive officers and to state the guidelines in terms of the number of shares to be held rather than a dollar value, in order to avoid fluctuations in the number of shares to be held based on variations in the Company’s stock price. In establishing the number of shares to be held, the Compensation Committee uses a round number of shares, the value of which approximates the following multiples of the midpoint of the average base salary grade for the executives:</w:t>
      </w:r>
    </w:p>
    <w:p>
      <w:pPr>
        <w:spacing w:after="0" w:line="28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160" w:type="dxa"/>
            <w:vAlign w:val="bottom"/>
          </w:tcPr>
          <w:p>
            <w:pPr>
              <w:spacing w:after="0"/>
              <w:rPr>
                <w:sz w:val="14"/>
                <w:szCs w:val="14"/>
                <w:color w:val="auto"/>
              </w:rPr>
            </w:pPr>
          </w:p>
        </w:tc>
        <w:tc>
          <w:tcPr>
            <w:tcW w:w="4040" w:type="dxa"/>
            <w:vAlign w:val="bottom"/>
            <w:vMerge w:val="restart"/>
          </w:tcPr>
          <w:p>
            <w:pPr>
              <w:jc w:val="right"/>
              <w:ind w:right="868"/>
              <w:spacing w:after="0"/>
              <w:rPr>
                <w:sz w:val="20"/>
                <w:szCs w:val="20"/>
                <w:color w:val="auto"/>
              </w:rPr>
            </w:pPr>
            <w:r>
              <w:rPr>
                <w:rFonts w:ascii="Arial" w:cs="Arial" w:eastAsia="Arial" w:hAnsi="Arial"/>
                <w:sz w:val="14"/>
                <w:szCs w:val="14"/>
                <w:color w:val="455986"/>
              </w:rPr>
              <w:t>Multiple of Midpoint of</w:t>
            </w:r>
          </w:p>
        </w:tc>
        <w:tc>
          <w:tcPr>
            <w:tcW w:w="4040" w:type="dxa"/>
            <w:vAlign w:val="bottom"/>
          </w:tcPr>
          <w:p>
            <w:pPr>
              <w:jc w:val="right"/>
              <w:spacing w:after="0"/>
              <w:rPr>
                <w:sz w:val="20"/>
                <w:szCs w:val="20"/>
                <w:color w:val="auto"/>
              </w:rPr>
            </w:pPr>
            <w:r>
              <w:rPr>
                <w:rFonts w:ascii="Arial" w:cs="Arial" w:eastAsia="Arial" w:hAnsi="Arial"/>
                <w:sz w:val="14"/>
                <w:szCs w:val="14"/>
                <w:color w:val="455986"/>
              </w:rPr>
              <w:t>Approximate Shares, PSUs,</w:t>
            </w:r>
          </w:p>
        </w:tc>
        <w:tc>
          <w:tcPr>
            <w:tcW w:w="0" w:type="dxa"/>
            <w:vAlign w:val="bottom"/>
          </w:tcPr>
          <w:p>
            <w:pPr>
              <w:spacing w:after="0"/>
              <w:rPr>
                <w:sz w:val="1"/>
                <w:szCs w:val="1"/>
                <w:color w:val="auto"/>
              </w:rPr>
            </w:pPr>
          </w:p>
        </w:tc>
      </w:tr>
      <w:tr>
        <w:trPr>
          <w:trHeight w:val="153"/>
        </w:trPr>
        <w:tc>
          <w:tcPr>
            <w:tcW w:w="3160" w:type="dxa"/>
            <w:vAlign w:val="bottom"/>
            <w:vMerge w:val="restart"/>
          </w:tcPr>
          <w:p>
            <w:pPr>
              <w:spacing w:after="0"/>
              <w:rPr>
                <w:sz w:val="20"/>
                <w:szCs w:val="20"/>
                <w:color w:val="auto"/>
              </w:rPr>
            </w:pPr>
            <w:r>
              <w:rPr>
                <w:rFonts w:ascii="Arial" w:cs="Arial" w:eastAsia="Arial" w:hAnsi="Arial"/>
                <w:sz w:val="14"/>
                <w:szCs w:val="14"/>
                <w:color w:val="455986"/>
              </w:rPr>
              <w:t>Position</w:t>
            </w:r>
          </w:p>
        </w:tc>
        <w:tc>
          <w:tcPr>
            <w:tcW w:w="4040" w:type="dxa"/>
            <w:vAlign w:val="bottom"/>
            <w:vMerge w:val="continue"/>
          </w:tcPr>
          <w:p>
            <w:pPr>
              <w:spacing w:after="0"/>
              <w:rPr>
                <w:sz w:val="13"/>
                <w:szCs w:val="13"/>
                <w:color w:val="auto"/>
              </w:rPr>
            </w:pPr>
          </w:p>
        </w:tc>
        <w:tc>
          <w:tcPr>
            <w:tcW w:w="4040" w:type="dxa"/>
            <w:vAlign w:val="bottom"/>
          </w:tcPr>
          <w:p>
            <w:pPr>
              <w:jc w:val="right"/>
              <w:spacing w:after="0" w:line="153" w:lineRule="exact"/>
              <w:rPr>
                <w:sz w:val="20"/>
                <w:szCs w:val="20"/>
                <w:color w:val="auto"/>
              </w:rPr>
            </w:pPr>
            <w:r>
              <w:rPr>
                <w:rFonts w:ascii="Arial" w:cs="Arial" w:eastAsia="Arial" w:hAnsi="Arial"/>
                <w:sz w:val="14"/>
                <w:szCs w:val="14"/>
                <w:color w:val="455986"/>
              </w:rPr>
              <w:t>and RSUs To Be Held Based upon December 31,</w:t>
            </w:r>
          </w:p>
        </w:tc>
        <w:tc>
          <w:tcPr>
            <w:tcW w:w="0" w:type="dxa"/>
            <w:vAlign w:val="bottom"/>
          </w:tcPr>
          <w:p>
            <w:pPr>
              <w:spacing w:after="0"/>
              <w:rPr>
                <w:sz w:val="1"/>
                <w:szCs w:val="1"/>
                <w:color w:val="auto"/>
              </w:rPr>
            </w:pPr>
          </w:p>
        </w:tc>
      </w:tr>
      <w:tr>
        <w:trPr>
          <w:trHeight w:val="197"/>
        </w:trPr>
        <w:tc>
          <w:tcPr>
            <w:tcW w:w="3160" w:type="dxa"/>
            <w:vAlign w:val="bottom"/>
            <w:tcBorders>
              <w:bottom w:val="single" w:sz="8" w:color="4395D4"/>
            </w:tcBorders>
            <w:vMerge w:val="continue"/>
          </w:tcPr>
          <w:p>
            <w:pPr>
              <w:spacing w:after="0"/>
              <w:rPr>
                <w:sz w:val="17"/>
                <w:szCs w:val="17"/>
                <w:color w:val="auto"/>
              </w:rPr>
            </w:pPr>
          </w:p>
        </w:tc>
        <w:tc>
          <w:tcPr>
            <w:tcW w:w="4040" w:type="dxa"/>
            <w:vAlign w:val="bottom"/>
            <w:tcBorders>
              <w:bottom w:val="single" w:sz="8" w:color="4395D4"/>
            </w:tcBorders>
          </w:tcPr>
          <w:p>
            <w:pPr>
              <w:jc w:val="right"/>
              <w:ind w:right="828"/>
              <w:spacing w:after="0"/>
              <w:rPr>
                <w:sz w:val="20"/>
                <w:szCs w:val="20"/>
                <w:color w:val="auto"/>
              </w:rPr>
            </w:pPr>
            <w:r>
              <w:rPr>
                <w:rFonts w:ascii="Arial" w:cs="Arial" w:eastAsia="Arial" w:hAnsi="Arial"/>
                <w:sz w:val="14"/>
                <w:szCs w:val="14"/>
                <w:color w:val="455986"/>
              </w:rPr>
              <w:t>2020 Average Base Salary</w:t>
            </w:r>
          </w:p>
        </w:tc>
        <w:tc>
          <w:tcPr>
            <w:tcW w:w="4040" w:type="dxa"/>
            <w:vAlign w:val="bottom"/>
            <w:tcBorders>
              <w:bottom w:val="single" w:sz="8" w:color="4395D4"/>
            </w:tcBorders>
          </w:tcPr>
          <w:p>
            <w:pPr>
              <w:jc w:val="right"/>
              <w:spacing w:after="0"/>
              <w:rPr>
                <w:sz w:val="20"/>
                <w:szCs w:val="20"/>
                <w:color w:val="auto"/>
              </w:rPr>
            </w:pPr>
            <w:r>
              <w:rPr>
                <w:rFonts w:ascii="Arial" w:cs="Arial" w:eastAsia="Arial" w:hAnsi="Arial"/>
                <w:sz w:val="14"/>
                <w:szCs w:val="14"/>
                <w:color w:val="455986"/>
              </w:rPr>
              <w:t>2020 Share Price</w:t>
            </w:r>
          </w:p>
        </w:tc>
        <w:tc>
          <w:tcPr>
            <w:tcW w:w="0" w:type="dxa"/>
            <w:vAlign w:val="bottom"/>
          </w:tcPr>
          <w:p>
            <w:pPr>
              <w:spacing w:after="0"/>
              <w:rPr>
                <w:sz w:val="1"/>
                <w:szCs w:val="1"/>
                <w:color w:val="auto"/>
              </w:rPr>
            </w:pPr>
          </w:p>
        </w:tc>
      </w:tr>
      <w:tr>
        <w:trPr>
          <w:trHeight w:val="199"/>
        </w:trPr>
        <w:tc>
          <w:tcPr>
            <w:tcW w:w="3160" w:type="dxa"/>
            <w:vAlign w:val="bottom"/>
            <w:tcBorders>
              <w:bottom w:val="single" w:sz="8" w:color="231F20"/>
            </w:tcBorders>
          </w:tcPr>
          <w:p>
            <w:pPr>
              <w:spacing w:after="0"/>
              <w:rPr>
                <w:sz w:val="20"/>
                <w:szCs w:val="20"/>
                <w:color w:val="auto"/>
              </w:rPr>
            </w:pPr>
            <w:r>
              <w:rPr>
                <w:rFonts w:ascii="Arial" w:cs="Arial" w:eastAsia="Arial" w:hAnsi="Arial"/>
                <w:sz w:val="14"/>
                <w:szCs w:val="14"/>
                <w:b w:val="1"/>
                <w:bCs w:val="1"/>
                <w:color w:val="455986"/>
              </w:rPr>
              <w:t>Chief Executive Officer</w:t>
            </w:r>
          </w:p>
        </w:tc>
        <w:tc>
          <w:tcPr>
            <w:tcW w:w="4040" w:type="dxa"/>
            <w:vAlign w:val="bottom"/>
            <w:tcBorders>
              <w:bottom w:val="single" w:sz="8" w:color="231F20"/>
            </w:tcBorders>
          </w:tcPr>
          <w:p>
            <w:pPr>
              <w:jc w:val="right"/>
              <w:ind w:right="828"/>
              <w:spacing w:after="0"/>
              <w:rPr>
                <w:sz w:val="20"/>
                <w:szCs w:val="20"/>
                <w:color w:val="auto"/>
              </w:rPr>
            </w:pPr>
            <w:r>
              <w:rPr>
                <w:rFonts w:ascii="Arial" w:cs="Arial" w:eastAsia="Arial" w:hAnsi="Arial"/>
                <w:sz w:val="14"/>
                <w:szCs w:val="14"/>
                <w:color w:val="231F20"/>
              </w:rPr>
              <w:t>5</w:t>
            </w:r>
          </w:p>
        </w:tc>
        <w:tc>
          <w:tcPr>
            <w:tcW w:w="4040" w:type="dxa"/>
            <w:vAlign w:val="bottom"/>
            <w:tcBorders>
              <w:bottom w:val="single" w:sz="8" w:color="231F20"/>
            </w:tcBorders>
          </w:tcPr>
          <w:p>
            <w:pPr>
              <w:jc w:val="right"/>
              <w:spacing w:after="0"/>
              <w:rPr>
                <w:sz w:val="20"/>
                <w:szCs w:val="20"/>
                <w:color w:val="auto"/>
              </w:rPr>
            </w:pPr>
            <w:r>
              <w:rPr>
                <w:rFonts w:ascii="Arial" w:cs="Arial" w:eastAsia="Arial" w:hAnsi="Arial"/>
                <w:sz w:val="14"/>
                <w:szCs w:val="14"/>
                <w:color w:val="231F20"/>
              </w:rPr>
              <w:t>92,500</w:t>
            </w:r>
          </w:p>
        </w:tc>
        <w:tc>
          <w:tcPr>
            <w:tcW w:w="0" w:type="dxa"/>
            <w:vAlign w:val="bottom"/>
          </w:tcPr>
          <w:p>
            <w:pPr>
              <w:spacing w:after="0"/>
              <w:rPr>
                <w:sz w:val="1"/>
                <w:szCs w:val="1"/>
                <w:color w:val="auto"/>
              </w:rPr>
            </w:pPr>
          </w:p>
        </w:tc>
      </w:tr>
      <w:tr>
        <w:trPr>
          <w:trHeight w:val="197"/>
        </w:trPr>
        <w:tc>
          <w:tcPr>
            <w:tcW w:w="3160" w:type="dxa"/>
            <w:vAlign w:val="bottom"/>
            <w:tcBorders>
              <w:bottom w:val="single" w:sz="8" w:color="455986"/>
            </w:tcBorders>
          </w:tcPr>
          <w:p>
            <w:pPr>
              <w:spacing w:after="0"/>
              <w:rPr>
                <w:sz w:val="20"/>
                <w:szCs w:val="20"/>
                <w:color w:val="auto"/>
              </w:rPr>
            </w:pPr>
            <w:r>
              <w:rPr>
                <w:rFonts w:ascii="Arial" w:cs="Arial" w:eastAsia="Arial" w:hAnsi="Arial"/>
                <w:sz w:val="14"/>
                <w:szCs w:val="14"/>
                <w:b w:val="1"/>
                <w:bCs w:val="1"/>
                <w:color w:val="455986"/>
              </w:rPr>
              <w:t>Executive Vice President</w:t>
            </w:r>
          </w:p>
        </w:tc>
        <w:tc>
          <w:tcPr>
            <w:tcW w:w="4040" w:type="dxa"/>
            <w:vAlign w:val="bottom"/>
            <w:tcBorders>
              <w:bottom w:val="single" w:sz="8" w:color="455986"/>
            </w:tcBorders>
          </w:tcPr>
          <w:p>
            <w:pPr>
              <w:jc w:val="right"/>
              <w:ind w:right="828"/>
              <w:spacing w:after="0"/>
              <w:rPr>
                <w:sz w:val="20"/>
                <w:szCs w:val="20"/>
                <w:color w:val="auto"/>
              </w:rPr>
            </w:pPr>
            <w:r>
              <w:rPr>
                <w:rFonts w:ascii="Arial" w:cs="Arial" w:eastAsia="Arial" w:hAnsi="Arial"/>
                <w:sz w:val="14"/>
                <w:szCs w:val="14"/>
                <w:color w:val="231F20"/>
              </w:rPr>
              <w:t>3</w:t>
            </w:r>
          </w:p>
        </w:tc>
        <w:tc>
          <w:tcPr>
            <w:tcW w:w="4040" w:type="dxa"/>
            <w:vAlign w:val="bottom"/>
            <w:tcBorders>
              <w:bottom w:val="single" w:sz="8" w:color="455986"/>
            </w:tcBorders>
          </w:tcPr>
          <w:p>
            <w:pPr>
              <w:jc w:val="right"/>
              <w:spacing w:after="0"/>
              <w:rPr>
                <w:sz w:val="20"/>
                <w:szCs w:val="20"/>
                <w:color w:val="auto"/>
              </w:rPr>
            </w:pPr>
            <w:r>
              <w:rPr>
                <w:rFonts w:ascii="Arial" w:cs="Arial" w:eastAsia="Arial" w:hAnsi="Arial"/>
                <w:sz w:val="14"/>
                <w:szCs w:val="14"/>
                <w:color w:val="231F20"/>
              </w:rPr>
              <w:t>26,900</w:t>
            </w:r>
          </w:p>
        </w:tc>
        <w:tc>
          <w:tcPr>
            <w:tcW w:w="0" w:type="dxa"/>
            <w:vAlign w:val="bottom"/>
          </w:tcPr>
          <w:p>
            <w:pPr>
              <w:spacing w:after="0"/>
              <w:rPr>
                <w:sz w:val="1"/>
                <w:szCs w:val="1"/>
                <w:color w:val="auto"/>
              </w:rPr>
            </w:pPr>
          </w:p>
        </w:tc>
      </w:tr>
    </w:tbl>
    <w:p>
      <w:pPr>
        <w:spacing w:after="0" w:line="132" w:lineRule="exact"/>
        <w:rPr>
          <w:sz w:val="20"/>
          <w:szCs w:val="20"/>
          <w:color w:val="auto"/>
        </w:rPr>
      </w:pPr>
    </w:p>
    <w:p>
      <w:pPr>
        <w:ind w:right="60"/>
        <w:spacing w:after="0" w:line="253" w:lineRule="auto"/>
        <w:rPr>
          <w:sz w:val="20"/>
          <w:szCs w:val="20"/>
          <w:color w:val="auto"/>
        </w:rPr>
      </w:pPr>
      <w:r>
        <w:rPr>
          <w:rFonts w:ascii="Arial" w:cs="Arial" w:eastAsia="Arial" w:hAnsi="Arial"/>
          <w:sz w:val="14"/>
          <w:szCs w:val="14"/>
          <w:color w:val="231F20"/>
        </w:rPr>
        <w:t>Each named executive officer is expected to have shareholdings consistent with these guidelines within five years after becoming a named executive officer or after receiving a significant promotion. Messrs. Franklin and Fox each received a significant promotion in 2015 and Mr. Schuller was initially hired in 2015 and Mr. Rhodes was initially hired in 2018, starting a new five-year period for each.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95250</wp:posOffset>
            </wp:positionV>
            <wp:extent cx="7139940" cy="825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7139940" cy="8255"/>
                    </a:xfrm>
                    <a:prstGeom prst="rect">
                      <a:avLst/>
                    </a:prstGeom>
                    <a:noFill/>
                  </pic:spPr>
                </pic:pic>
              </a:graphicData>
            </a:graphic>
          </wp:anchor>
        </w:drawing>
      </w:r>
    </w:p>
    <w:p>
      <w:pPr>
        <w:spacing w:after="0" w:line="200" w:lineRule="exact"/>
        <w:rPr>
          <w:sz w:val="20"/>
          <w:szCs w:val="20"/>
          <w:color w:val="auto"/>
        </w:rPr>
      </w:pPr>
    </w:p>
    <w:p>
      <w:pPr>
        <w:ind w:left="300" w:hanging="298"/>
        <w:spacing w:after="0"/>
        <w:tabs>
          <w:tab w:leader="none" w:pos="300" w:val="left"/>
        </w:tabs>
        <w:numPr>
          <w:ilvl w:val="0"/>
          <w:numId w:val="127"/>
        </w:numPr>
        <w:rPr>
          <w:rFonts w:ascii="Arial" w:cs="Arial" w:eastAsia="Arial" w:hAnsi="Arial"/>
          <w:sz w:val="15"/>
          <w:szCs w:val="15"/>
          <w:color w:val="455986"/>
        </w:rPr>
      </w:pPr>
      <w:r>
        <w:rPr>
          <w:rFonts w:ascii="Arial" w:cs="Arial" w:eastAsia="Arial" w:hAnsi="Arial"/>
          <w:sz w:val="12"/>
          <w:szCs w:val="12"/>
          <w:color w:val="4395D4"/>
        </w:rPr>
        <w:t xml:space="preserve">ESSENTIAL UTILITIES, INC. </w:t>
      </w:r>
      <w:r>
        <w:rPr>
          <w:rFonts w:ascii="Arial" w:cs="Arial" w:eastAsia="Arial" w:hAnsi="Arial"/>
          <w:sz w:val="12"/>
          <w:szCs w:val="12"/>
          <w:color w:val="455986"/>
        </w:rPr>
        <w:t>2021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316230</wp:posOffset>
            </wp:positionV>
            <wp:extent cx="7139940" cy="2413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7139940" cy="24130"/>
                    </a:xfrm>
                    <a:prstGeom prst="rect">
                      <a:avLst/>
                    </a:prstGeom>
                    <a:noFill/>
                  </pic:spPr>
                </pic:pic>
              </a:graphicData>
            </a:graphic>
          </wp:anchor>
        </w:drawing>
      </w:r>
    </w:p>
    <w:p>
      <w:pPr>
        <w:sectPr>
          <w:pgSz w:w="11900" w:h="16838" w:orient="portrait"/>
          <w:cols w:equalWidth="0" w:num="1">
            <w:col w:w="11240"/>
          </w:cols>
          <w:pgMar w:left="320" w:top="637" w:right="339" w:bottom="1440" w:gutter="0" w:footer="0" w:header="0"/>
        </w:sectPr>
      </w:pPr>
    </w:p>
    <w:bookmarkStart w:id="71" w:name="page72"/>
    <w:bookmarkEnd w:id="71"/>
    <w:p>
      <w:pPr>
        <w:spacing w:after="0"/>
        <w:rPr>
          <w:sz w:val="20"/>
          <w:szCs w:val="20"/>
          <w:color w:val="auto"/>
        </w:rPr>
      </w:pPr>
      <w:r>
        <w:rPr>
          <w:rFonts w:ascii="Arial" w:cs="Arial" w:eastAsia="Arial" w:hAnsi="Arial"/>
          <w:sz w:val="14"/>
          <w:szCs w:val="14"/>
          <w:b w:val="1"/>
          <w:bCs w:val="1"/>
          <w:color w:val="455986"/>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27940</wp:posOffset>
            </wp:positionV>
            <wp:extent cx="7139940" cy="825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7139940" cy="8255"/>
                    </a:xfrm>
                    <a:prstGeom prst="rect">
                      <a:avLst/>
                    </a:prstGeom>
                    <a:noFill/>
                  </pic:spPr>
                </pic:pic>
              </a:graphicData>
            </a:graphic>
          </wp:anchor>
        </w:drawing>
      </w:r>
    </w:p>
    <w:p>
      <w:pPr>
        <w:spacing w:after="0" w:line="76" w:lineRule="exact"/>
        <w:rPr>
          <w:sz w:val="20"/>
          <w:szCs w:val="20"/>
          <w:color w:val="auto"/>
        </w:rPr>
      </w:pPr>
    </w:p>
    <w:p>
      <w:pPr>
        <w:spacing w:after="0"/>
        <w:rPr>
          <w:sz w:val="20"/>
          <w:szCs w:val="20"/>
          <w:color w:val="auto"/>
        </w:rPr>
      </w:pPr>
      <w:r>
        <w:rPr>
          <w:rFonts w:ascii="Arial" w:cs="Arial" w:eastAsia="Arial" w:hAnsi="Arial"/>
          <w:sz w:val="14"/>
          <w:szCs w:val="14"/>
          <w:color w:val="4395D4"/>
        </w:rPr>
        <w:t xml:space="preserve">Section 6 </w:t>
      </w:r>
      <w:r>
        <w:rPr>
          <w:rFonts w:ascii="Arial" w:cs="Arial" w:eastAsia="Arial" w:hAnsi="Arial"/>
          <w:sz w:val="14"/>
          <w:szCs w:val="14"/>
          <w:color w:val="231F20"/>
        </w:rPr>
        <w:t>Compensation Governance Policies and Practices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123825</wp:posOffset>
            </wp:positionV>
            <wp:extent cx="5956300" cy="59944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5956300" cy="5994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both"/>
        <w:ind w:right="80"/>
        <w:spacing w:after="0" w:line="253" w:lineRule="auto"/>
        <w:rPr>
          <w:sz w:val="20"/>
          <w:szCs w:val="20"/>
          <w:color w:val="auto"/>
        </w:rPr>
      </w:pPr>
      <w:r>
        <w:rPr>
          <w:rFonts w:ascii="Arial" w:cs="Arial" w:eastAsia="Arial" w:hAnsi="Arial"/>
          <w:sz w:val="14"/>
          <w:szCs w:val="14"/>
          <w:color w:val="auto"/>
        </w:rPr>
        <w:t xml:space="preserve">An executive who has not achieved the guideline within this five-year period is expected to retain one-half of any equity awards, </w:t>
      </w:r>
      <w:r>
        <w:rPr>
          <w:rFonts w:ascii="Arial" w:cs="Arial" w:eastAsia="Arial" w:hAnsi="Arial"/>
          <w:sz w:val="14"/>
          <w:szCs w:val="14"/>
          <w:color w:val="231F20"/>
        </w:rPr>
        <w:t>after any required tax withholding, in Company</w:t>
      </w:r>
      <w:r>
        <w:rPr>
          <w:rFonts w:ascii="Arial" w:cs="Arial" w:eastAsia="Arial" w:hAnsi="Arial"/>
          <w:sz w:val="14"/>
          <w:szCs w:val="14"/>
          <w:color w:val="auto"/>
        </w:rPr>
        <w:t xml:space="preserve"> </w:t>
      </w:r>
      <w:r>
        <w:rPr>
          <w:rFonts w:ascii="Arial" w:cs="Arial" w:eastAsia="Arial" w:hAnsi="Arial"/>
          <w:sz w:val="14"/>
          <w:szCs w:val="14"/>
          <w:color w:val="231F20"/>
        </w:rPr>
        <w:t>stock and to use 10% of any annual cash incentive awards after tax to purchase shares of Company stock until the guideline is met. The chart below shows the shareholdings of the named executive officers as of December 31, 2020:</w:t>
      </w:r>
    </w:p>
    <w:p>
      <w:pPr>
        <w:spacing w:after="0" w:line="100" w:lineRule="exact"/>
        <w:rPr>
          <w:sz w:val="20"/>
          <w:szCs w:val="20"/>
          <w:color w:val="auto"/>
        </w:rPr>
      </w:pPr>
    </w:p>
    <w:p>
      <w:pPr>
        <w:spacing w:after="0"/>
        <w:rPr>
          <w:sz w:val="20"/>
          <w:szCs w:val="20"/>
          <w:color w:val="auto"/>
        </w:rPr>
      </w:pPr>
      <w:r>
        <w:rPr>
          <w:rFonts w:ascii="Arial" w:cs="Arial" w:eastAsia="Arial" w:hAnsi="Arial"/>
          <w:sz w:val="17"/>
          <w:szCs w:val="17"/>
          <w:b w:val="1"/>
          <w:bCs w:val="1"/>
          <w:color w:val="231F20"/>
        </w:rPr>
        <w:t>Officer Shareholdings as of December 31, 2020</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76"/>
        </w:trPr>
        <w:tc>
          <w:tcPr>
            <w:tcW w:w="1580" w:type="dxa"/>
            <w:vAlign w:val="bottom"/>
            <w:tcBorders>
              <w:bottom w:val="single" w:sz="8" w:color="4395D4"/>
            </w:tcBorders>
          </w:tcPr>
          <w:p>
            <w:pPr>
              <w:spacing w:after="0"/>
              <w:rPr>
                <w:sz w:val="20"/>
                <w:szCs w:val="20"/>
                <w:color w:val="auto"/>
              </w:rPr>
            </w:pPr>
            <w:r>
              <w:rPr>
                <w:rFonts w:ascii="Arial" w:cs="Arial" w:eastAsia="Arial" w:hAnsi="Arial"/>
                <w:sz w:val="14"/>
                <w:szCs w:val="14"/>
                <w:color w:val="455986"/>
              </w:rPr>
              <w:t>Name</w:t>
            </w:r>
          </w:p>
        </w:tc>
        <w:tc>
          <w:tcPr>
            <w:tcW w:w="5080" w:type="dxa"/>
            <w:vAlign w:val="bottom"/>
            <w:tcBorders>
              <w:bottom w:val="single" w:sz="8" w:color="4395D4"/>
            </w:tcBorders>
          </w:tcPr>
          <w:p>
            <w:pPr>
              <w:ind w:left="1020"/>
              <w:spacing w:after="0"/>
              <w:rPr>
                <w:sz w:val="20"/>
                <w:szCs w:val="20"/>
                <w:color w:val="auto"/>
              </w:rPr>
            </w:pPr>
            <w:r>
              <w:rPr>
                <w:rFonts w:ascii="Arial" w:cs="Arial" w:eastAsia="Arial" w:hAnsi="Arial"/>
                <w:sz w:val="14"/>
                <w:szCs w:val="14"/>
                <w:color w:val="455986"/>
              </w:rPr>
              <w:t>Position</w:t>
            </w:r>
          </w:p>
        </w:tc>
        <w:tc>
          <w:tcPr>
            <w:tcW w:w="4580" w:type="dxa"/>
            <w:vAlign w:val="bottom"/>
            <w:tcBorders>
              <w:bottom w:val="single" w:sz="8" w:color="4395D4"/>
            </w:tcBorders>
          </w:tcPr>
          <w:p>
            <w:pPr>
              <w:jc w:val="right"/>
              <w:spacing w:after="0"/>
              <w:rPr>
                <w:sz w:val="20"/>
                <w:szCs w:val="20"/>
                <w:color w:val="auto"/>
              </w:rPr>
            </w:pPr>
            <w:r>
              <w:rPr>
                <w:rFonts w:ascii="Arial" w:cs="Arial" w:eastAsia="Arial" w:hAnsi="Arial"/>
                <w:sz w:val="14"/>
                <w:szCs w:val="14"/>
                <w:color w:val="455986"/>
              </w:rPr>
              <w:t>Shares, PSUs</w:t>
            </w:r>
            <w:r>
              <w:rPr>
                <w:rFonts w:ascii="Arial" w:cs="Arial" w:eastAsia="Arial" w:hAnsi="Arial"/>
                <w:sz w:val="24"/>
                <w:szCs w:val="24"/>
                <w:color w:val="455986"/>
                <w:vertAlign w:val="superscript"/>
              </w:rPr>
              <w:t>(1)</w:t>
            </w:r>
            <w:r>
              <w:rPr>
                <w:rFonts w:ascii="Arial" w:cs="Arial" w:eastAsia="Arial" w:hAnsi="Arial"/>
                <w:sz w:val="14"/>
                <w:szCs w:val="14"/>
                <w:color w:val="455986"/>
              </w:rPr>
              <w:t>, and RSUs Held</w:t>
            </w:r>
          </w:p>
        </w:tc>
      </w:tr>
      <w:tr>
        <w:trPr>
          <w:trHeight w:val="197"/>
        </w:trPr>
        <w:tc>
          <w:tcPr>
            <w:tcW w:w="1580" w:type="dxa"/>
            <w:vAlign w:val="bottom"/>
            <w:tcBorders>
              <w:bottom w:val="single" w:sz="8" w:color="231F20"/>
            </w:tcBorders>
          </w:tcPr>
          <w:p>
            <w:pPr>
              <w:spacing w:after="0"/>
              <w:rPr>
                <w:sz w:val="20"/>
                <w:szCs w:val="20"/>
                <w:color w:val="auto"/>
              </w:rPr>
            </w:pPr>
            <w:r>
              <w:rPr>
                <w:rFonts w:ascii="Arial" w:cs="Arial" w:eastAsia="Arial" w:hAnsi="Arial"/>
                <w:sz w:val="14"/>
                <w:szCs w:val="14"/>
                <w:b w:val="1"/>
                <w:bCs w:val="1"/>
                <w:color w:val="455986"/>
              </w:rPr>
              <w:t>Franklin</w:t>
            </w:r>
          </w:p>
        </w:tc>
        <w:tc>
          <w:tcPr>
            <w:tcW w:w="5080" w:type="dxa"/>
            <w:vAlign w:val="bottom"/>
            <w:tcBorders>
              <w:bottom w:val="single" w:sz="8" w:color="231F20"/>
            </w:tcBorders>
          </w:tcPr>
          <w:p>
            <w:pPr>
              <w:ind w:left="1020"/>
              <w:spacing w:after="0"/>
              <w:rPr>
                <w:sz w:val="20"/>
                <w:szCs w:val="20"/>
                <w:color w:val="auto"/>
              </w:rPr>
            </w:pPr>
            <w:r>
              <w:rPr>
                <w:rFonts w:ascii="Arial" w:cs="Arial" w:eastAsia="Arial" w:hAnsi="Arial"/>
                <w:sz w:val="14"/>
                <w:szCs w:val="14"/>
                <w:color w:val="231F20"/>
              </w:rPr>
              <w:t>Chief Executive Officer</w:t>
            </w:r>
          </w:p>
        </w:tc>
        <w:tc>
          <w:tcPr>
            <w:tcW w:w="4580" w:type="dxa"/>
            <w:vAlign w:val="bottom"/>
            <w:tcBorders>
              <w:bottom w:val="single" w:sz="8" w:color="231F20"/>
            </w:tcBorders>
          </w:tcPr>
          <w:p>
            <w:pPr>
              <w:jc w:val="right"/>
              <w:spacing w:after="0"/>
              <w:rPr>
                <w:sz w:val="20"/>
                <w:szCs w:val="20"/>
                <w:color w:val="auto"/>
              </w:rPr>
            </w:pPr>
            <w:r>
              <w:rPr>
                <w:rFonts w:ascii="Arial" w:cs="Arial" w:eastAsia="Arial" w:hAnsi="Arial"/>
                <w:sz w:val="14"/>
                <w:szCs w:val="14"/>
                <w:color w:val="231F20"/>
              </w:rPr>
              <w:t>188,075</w:t>
            </w:r>
          </w:p>
        </w:tc>
      </w:tr>
      <w:tr>
        <w:trPr>
          <w:trHeight w:val="197"/>
        </w:trPr>
        <w:tc>
          <w:tcPr>
            <w:tcW w:w="1580" w:type="dxa"/>
            <w:vAlign w:val="bottom"/>
            <w:tcBorders>
              <w:bottom w:val="single" w:sz="8" w:color="231F20"/>
            </w:tcBorders>
          </w:tcPr>
          <w:p>
            <w:pPr>
              <w:spacing w:after="0"/>
              <w:rPr>
                <w:sz w:val="20"/>
                <w:szCs w:val="20"/>
                <w:color w:val="auto"/>
              </w:rPr>
            </w:pPr>
            <w:r>
              <w:rPr>
                <w:rFonts w:ascii="Arial" w:cs="Arial" w:eastAsia="Arial" w:hAnsi="Arial"/>
                <w:sz w:val="14"/>
                <w:szCs w:val="14"/>
                <w:b w:val="1"/>
                <w:bCs w:val="1"/>
                <w:color w:val="455986"/>
              </w:rPr>
              <w:t>Schuller</w:t>
            </w:r>
          </w:p>
        </w:tc>
        <w:tc>
          <w:tcPr>
            <w:tcW w:w="5080" w:type="dxa"/>
            <w:vAlign w:val="bottom"/>
            <w:tcBorders>
              <w:bottom w:val="single" w:sz="8" w:color="231F20"/>
            </w:tcBorders>
          </w:tcPr>
          <w:p>
            <w:pPr>
              <w:ind w:left="1020"/>
              <w:spacing w:after="0"/>
              <w:rPr>
                <w:sz w:val="20"/>
                <w:szCs w:val="20"/>
                <w:color w:val="auto"/>
              </w:rPr>
            </w:pPr>
            <w:r>
              <w:rPr>
                <w:rFonts w:ascii="Arial" w:cs="Arial" w:eastAsia="Arial" w:hAnsi="Arial"/>
                <w:sz w:val="14"/>
                <w:szCs w:val="14"/>
                <w:color w:val="231F20"/>
              </w:rPr>
              <w:t>Executive Vice President</w:t>
            </w:r>
          </w:p>
        </w:tc>
        <w:tc>
          <w:tcPr>
            <w:tcW w:w="4580" w:type="dxa"/>
            <w:vAlign w:val="bottom"/>
            <w:tcBorders>
              <w:bottom w:val="single" w:sz="8" w:color="231F20"/>
            </w:tcBorders>
          </w:tcPr>
          <w:p>
            <w:pPr>
              <w:jc w:val="right"/>
              <w:spacing w:after="0"/>
              <w:rPr>
                <w:sz w:val="20"/>
                <w:szCs w:val="20"/>
                <w:color w:val="auto"/>
              </w:rPr>
            </w:pPr>
            <w:r>
              <w:rPr>
                <w:rFonts w:ascii="Arial" w:cs="Arial" w:eastAsia="Arial" w:hAnsi="Arial"/>
                <w:sz w:val="14"/>
                <w:szCs w:val="14"/>
                <w:color w:val="231F20"/>
              </w:rPr>
              <w:t>46,582</w:t>
            </w:r>
          </w:p>
        </w:tc>
      </w:tr>
      <w:tr>
        <w:trPr>
          <w:trHeight w:val="197"/>
        </w:trPr>
        <w:tc>
          <w:tcPr>
            <w:tcW w:w="1580" w:type="dxa"/>
            <w:vAlign w:val="bottom"/>
            <w:tcBorders>
              <w:bottom w:val="single" w:sz="8" w:color="231F20"/>
            </w:tcBorders>
          </w:tcPr>
          <w:p>
            <w:pPr>
              <w:spacing w:after="0"/>
              <w:rPr>
                <w:sz w:val="20"/>
                <w:szCs w:val="20"/>
                <w:color w:val="auto"/>
              </w:rPr>
            </w:pPr>
            <w:r>
              <w:rPr>
                <w:rFonts w:ascii="Arial" w:cs="Arial" w:eastAsia="Arial" w:hAnsi="Arial"/>
                <w:sz w:val="14"/>
                <w:szCs w:val="14"/>
                <w:b w:val="1"/>
                <w:bCs w:val="1"/>
                <w:color w:val="455986"/>
              </w:rPr>
              <w:t>Fox</w:t>
            </w:r>
          </w:p>
        </w:tc>
        <w:tc>
          <w:tcPr>
            <w:tcW w:w="5080" w:type="dxa"/>
            <w:vAlign w:val="bottom"/>
            <w:tcBorders>
              <w:bottom w:val="single" w:sz="8" w:color="231F20"/>
            </w:tcBorders>
          </w:tcPr>
          <w:p>
            <w:pPr>
              <w:ind w:left="1020"/>
              <w:spacing w:after="0"/>
              <w:rPr>
                <w:sz w:val="20"/>
                <w:szCs w:val="20"/>
                <w:color w:val="auto"/>
              </w:rPr>
            </w:pPr>
            <w:r>
              <w:rPr>
                <w:rFonts w:ascii="Arial" w:cs="Arial" w:eastAsia="Arial" w:hAnsi="Arial"/>
                <w:sz w:val="14"/>
                <w:szCs w:val="14"/>
                <w:color w:val="231F20"/>
              </w:rPr>
              <w:t>Executive Vice President</w:t>
            </w:r>
          </w:p>
        </w:tc>
        <w:tc>
          <w:tcPr>
            <w:tcW w:w="4580" w:type="dxa"/>
            <w:vAlign w:val="bottom"/>
            <w:tcBorders>
              <w:bottom w:val="single" w:sz="8" w:color="231F20"/>
            </w:tcBorders>
          </w:tcPr>
          <w:p>
            <w:pPr>
              <w:jc w:val="right"/>
              <w:spacing w:after="0"/>
              <w:rPr>
                <w:sz w:val="20"/>
                <w:szCs w:val="20"/>
                <w:color w:val="auto"/>
              </w:rPr>
            </w:pPr>
            <w:r>
              <w:rPr>
                <w:rFonts w:ascii="Arial" w:cs="Arial" w:eastAsia="Arial" w:hAnsi="Arial"/>
                <w:sz w:val="14"/>
                <w:szCs w:val="14"/>
                <w:color w:val="231F20"/>
              </w:rPr>
              <w:t>38,973</w:t>
            </w:r>
          </w:p>
        </w:tc>
      </w:tr>
      <w:tr>
        <w:trPr>
          <w:trHeight w:val="197"/>
        </w:trPr>
        <w:tc>
          <w:tcPr>
            <w:tcW w:w="1580" w:type="dxa"/>
            <w:vAlign w:val="bottom"/>
            <w:tcBorders>
              <w:bottom w:val="single" w:sz="8" w:color="231F20"/>
            </w:tcBorders>
          </w:tcPr>
          <w:p>
            <w:pPr>
              <w:spacing w:after="0"/>
              <w:rPr>
                <w:sz w:val="20"/>
                <w:szCs w:val="20"/>
                <w:color w:val="auto"/>
              </w:rPr>
            </w:pPr>
            <w:r>
              <w:rPr>
                <w:rFonts w:ascii="Arial" w:cs="Arial" w:eastAsia="Arial" w:hAnsi="Arial"/>
                <w:sz w:val="14"/>
                <w:szCs w:val="14"/>
                <w:b w:val="1"/>
                <w:bCs w:val="1"/>
                <w:color w:val="455986"/>
              </w:rPr>
              <w:t>Rhodes</w:t>
            </w:r>
          </w:p>
        </w:tc>
        <w:tc>
          <w:tcPr>
            <w:tcW w:w="5080" w:type="dxa"/>
            <w:vAlign w:val="bottom"/>
            <w:tcBorders>
              <w:bottom w:val="single" w:sz="8" w:color="231F20"/>
            </w:tcBorders>
          </w:tcPr>
          <w:p>
            <w:pPr>
              <w:ind w:left="1020"/>
              <w:spacing w:after="0"/>
              <w:rPr>
                <w:sz w:val="20"/>
                <w:szCs w:val="20"/>
                <w:color w:val="auto"/>
              </w:rPr>
            </w:pPr>
            <w:r>
              <w:rPr>
                <w:rFonts w:ascii="Arial" w:cs="Arial" w:eastAsia="Arial" w:hAnsi="Arial"/>
                <w:sz w:val="14"/>
                <w:szCs w:val="14"/>
                <w:color w:val="231F20"/>
              </w:rPr>
              <w:t>Executive Vice President</w:t>
            </w:r>
          </w:p>
        </w:tc>
        <w:tc>
          <w:tcPr>
            <w:tcW w:w="4580" w:type="dxa"/>
            <w:vAlign w:val="bottom"/>
            <w:tcBorders>
              <w:bottom w:val="single" w:sz="8" w:color="231F20"/>
            </w:tcBorders>
          </w:tcPr>
          <w:p>
            <w:pPr>
              <w:jc w:val="right"/>
              <w:spacing w:after="0"/>
              <w:rPr>
                <w:sz w:val="20"/>
                <w:szCs w:val="20"/>
                <w:color w:val="auto"/>
              </w:rPr>
            </w:pPr>
            <w:r>
              <w:rPr>
                <w:rFonts w:ascii="Arial" w:cs="Arial" w:eastAsia="Arial" w:hAnsi="Arial"/>
                <w:sz w:val="14"/>
                <w:szCs w:val="14"/>
                <w:color w:val="231F20"/>
              </w:rPr>
              <w:t>25,641</w:t>
            </w:r>
          </w:p>
        </w:tc>
      </w:tr>
      <w:tr>
        <w:trPr>
          <w:trHeight w:val="197"/>
        </w:trPr>
        <w:tc>
          <w:tcPr>
            <w:tcW w:w="1580" w:type="dxa"/>
            <w:vAlign w:val="bottom"/>
            <w:tcBorders>
              <w:bottom w:val="single" w:sz="8" w:color="455986"/>
            </w:tcBorders>
          </w:tcPr>
          <w:p>
            <w:pPr>
              <w:spacing w:after="0"/>
              <w:rPr>
                <w:sz w:val="20"/>
                <w:szCs w:val="20"/>
                <w:color w:val="auto"/>
              </w:rPr>
            </w:pPr>
            <w:r>
              <w:rPr>
                <w:rFonts w:ascii="Arial" w:cs="Arial" w:eastAsia="Arial" w:hAnsi="Arial"/>
                <w:sz w:val="14"/>
                <w:szCs w:val="14"/>
                <w:b w:val="1"/>
                <w:bCs w:val="1"/>
                <w:color w:val="455986"/>
              </w:rPr>
              <w:t>Luning</w:t>
            </w:r>
          </w:p>
        </w:tc>
        <w:tc>
          <w:tcPr>
            <w:tcW w:w="5080" w:type="dxa"/>
            <w:vAlign w:val="bottom"/>
            <w:tcBorders>
              <w:bottom w:val="single" w:sz="8" w:color="455986"/>
            </w:tcBorders>
          </w:tcPr>
          <w:p>
            <w:pPr>
              <w:ind w:left="1020"/>
              <w:spacing w:after="0"/>
              <w:rPr>
                <w:sz w:val="20"/>
                <w:szCs w:val="20"/>
                <w:color w:val="auto"/>
              </w:rPr>
            </w:pPr>
            <w:r>
              <w:rPr>
                <w:rFonts w:ascii="Arial" w:cs="Arial" w:eastAsia="Arial" w:hAnsi="Arial"/>
                <w:sz w:val="14"/>
                <w:szCs w:val="14"/>
                <w:color w:val="231F20"/>
              </w:rPr>
              <w:t>Executive Vice President</w:t>
            </w:r>
          </w:p>
        </w:tc>
        <w:tc>
          <w:tcPr>
            <w:tcW w:w="4580" w:type="dxa"/>
            <w:vAlign w:val="bottom"/>
            <w:tcBorders>
              <w:bottom w:val="single" w:sz="8" w:color="455986"/>
            </w:tcBorders>
          </w:tcPr>
          <w:p>
            <w:pPr>
              <w:jc w:val="right"/>
              <w:spacing w:after="0"/>
              <w:rPr>
                <w:sz w:val="20"/>
                <w:szCs w:val="20"/>
                <w:color w:val="auto"/>
              </w:rPr>
            </w:pPr>
            <w:r>
              <w:rPr>
                <w:rFonts w:ascii="Arial" w:cs="Arial" w:eastAsia="Arial" w:hAnsi="Arial"/>
                <w:sz w:val="14"/>
                <w:szCs w:val="14"/>
                <w:color w:val="231F20"/>
              </w:rPr>
              <w:t>55,423</w:t>
            </w:r>
          </w:p>
        </w:tc>
      </w:tr>
    </w:tbl>
    <w:p>
      <w:pPr>
        <w:spacing w:after="0" w:line="137" w:lineRule="exact"/>
        <w:rPr>
          <w:sz w:val="20"/>
          <w:szCs w:val="20"/>
          <w:color w:val="auto"/>
        </w:rPr>
      </w:pPr>
    </w:p>
    <w:p>
      <w:pPr>
        <w:spacing w:after="0"/>
        <w:rPr>
          <w:sz w:val="20"/>
          <w:szCs w:val="20"/>
          <w:color w:val="auto"/>
        </w:rPr>
      </w:pPr>
      <w:r>
        <w:rPr>
          <w:rFonts w:ascii="Arial" w:cs="Arial" w:eastAsia="Arial" w:hAnsi="Arial"/>
          <w:sz w:val="13"/>
          <w:szCs w:val="13"/>
          <w:color w:val="231F20"/>
        </w:rPr>
        <w:t>(1) PSUs listed at target amount.</w:t>
      </w:r>
    </w:p>
    <w:p>
      <w:pPr>
        <w:spacing w:after="0" w:line="128" w:lineRule="exact"/>
        <w:rPr>
          <w:sz w:val="20"/>
          <w:szCs w:val="20"/>
          <w:color w:val="auto"/>
        </w:rPr>
      </w:pPr>
    </w:p>
    <w:p>
      <w:pPr>
        <w:spacing w:after="0"/>
        <w:rPr>
          <w:sz w:val="20"/>
          <w:szCs w:val="20"/>
          <w:color w:val="auto"/>
        </w:rPr>
      </w:pPr>
      <w:r>
        <w:rPr>
          <w:rFonts w:ascii="Arial" w:cs="Arial" w:eastAsia="Arial" w:hAnsi="Arial"/>
          <w:sz w:val="24"/>
          <w:szCs w:val="24"/>
          <w:b w:val="1"/>
          <w:bCs w:val="1"/>
          <w:color w:val="455986"/>
        </w:rPr>
        <w:t>Executive Compensation Committee Report</w:t>
      </w:r>
    </w:p>
    <w:p>
      <w:pPr>
        <w:spacing w:after="0" w:line="169" w:lineRule="exact"/>
        <w:rPr>
          <w:sz w:val="20"/>
          <w:szCs w:val="20"/>
          <w:color w:val="auto"/>
        </w:rPr>
      </w:pPr>
    </w:p>
    <w:p>
      <w:pPr>
        <w:ind w:right="40"/>
        <w:spacing w:after="0" w:line="258" w:lineRule="auto"/>
        <w:rPr>
          <w:sz w:val="20"/>
          <w:szCs w:val="20"/>
          <w:color w:val="auto"/>
        </w:rPr>
      </w:pPr>
      <w:r>
        <w:rPr>
          <w:rFonts w:ascii="Arial" w:cs="Arial" w:eastAsia="Arial" w:hAnsi="Arial"/>
          <w:sz w:val="14"/>
          <w:szCs w:val="14"/>
          <w:color w:val="231F20"/>
        </w:rPr>
        <w:t>The purpose of the Compensation Committee is to assist the Board of Directors in its general oversight of the Company’s compensation programs and the compensation of the Company’s executives. The Compensation Committee Charter describes in greater detail the full responsibilities of the committee and is available on our website: www.essential.co.</w:t>
      </w:r>
    </w:p>
    <w:p>
      <w:pPr>
        <w:spacing w:after="0" w:line="266" w:lineRule="exact"/>
        <w:rPr>
          <w:sz w:val="20"/>
          <w:szCs w:val="20"/>
          <w:color w:val="auto"/>
        </w:rPr>
      </w:pPr>
    </w:p>
    <w:p>
      <w:pPr>
        <w:ind w:right="140"/>
        <w:spacing w:after="0" w:line="253" w:lineRule="auto"/>
        <w:rPr>
          <w:sz w:val="20"/>
          <w:szCs w:val="20"/>
          <w:color w:val="auto"/>
        </w:rPr>
      </w:pPr>
      <w:r>
        <w:rPr>
          <w:rFonts w:ascii="Arial" w:cs="Arial" w:eastAsia="Arial" w:hAnsi="Arial"/>
          <w:sz w:val="14"/>
          <w:szCs w:val="14"/>
          <w:color w:val="231F20"/>
        </w:rPr>
        <w:t>The Executive Compensation Committee has reviewed and discussed the Compensation Discussion and Analysis on pages 41 through 69 with management. Based on this review and discussion, the Executive Compensation Committee recommended to the Company’s Board of Directors, and the Board of Directors approved, the inclusion of the Compensation Discussion and Analysis in the Company’s Proxy Statement for the 2021 Annual Meeting of Shareholders.</w:t>
      </w:r>
    </w:p>
    <w:p>
      <w:pPr>
        <w:spacing w:after="0" w:line="103" w:lineRule="exact"/>
        <w:rPr>
          <w:sz w:val="20"/>
          <w:szCs w:val="20"/>
          <w:color w:val="auto"/>
        </w:rPr>
      </w:pPr>
    </w:p>
    <w:p>
      <w:pPr>
        <w:spacing w:after="0"/>
        <w:rPr>
          <w:sz w:val="20"/>
          <w:szCs w:val="20"/>
          <w:color w:val="auto"/>
        </w:rPr>
      </w:pPr>
      <w:r>
        <w:rPr>
          <w:rFonts w:ascii="Arial" w:cs="Arial" w:eastAsia="Arial" w:hAnsi="Arial"/>
          <w:sz w:val="14"/>
          <w:szCs w:val="14"/>
          <w:color w:val="231F20"/>
        </w:rPr>
        <w:t>Respectfully submitted,</w:t>
      </w:r>
    </w:p>
    <w:p>
      <w:pPr>
        <w:spacing w:after="0" w:line="147" w:lineRule="exact"/>
        <w:rPr>
          <w:sz w:val="20"/>
          <w:szCs w:val="20"/>
          <w:color w:val="auto"/>
        </w:rPr>
      </w:pPr>
    </w:p>
    <w:p>
      <w:pPr>
        <w:spacing w:after="0"/>
        <w:rPr>
          <w:sz w:val="20"/>
          <w:szCs w:val="20"/>
          <w:color w:val="auto"/>
        </w:rPr>
      </w:pPr>
      <w:r>
        <w:rPr>
          <w:rFonts w:ascii="Arial" w:cs="Arial" w:eastAsia="Arial" w:hAnsi="Arial"/>
          <w:sz w:val="14"/>
          <w:szCs w:val="14"/>
          <w:i w:val="1"/>
          <w:iCs w:val="1"/>
          <w:color w:val="231F20"/>
        </w:rPr>
        <w:t>Members:</w:t>
      </w:r>
    </w:p>
    <w:p>
      <w:pPr>
        <w:spacing w:after="0" w:line="141" w:lineRule="exact"/>
        <w:rPr>
          <w:sz w:val="20"/>
          <w:szCs w:val="20"/>
          <w:color w:val="auto"/>
        </w:rPr>
      </w:pPr>
    </w:p>
    <w:p>
      <w:pPr>
        <w:spacing w:after="0"/>
        <w:rPr>
          <w:sz w:val="20"/>
          <w:szCs w:val="20"/>
          <w:color w:val="auto"/>
        </w:rPr>
      </w:pPr>
      <w:r>
        <w:rPr>
          <w:rFonts w:ascii="Arial" w:cs="Arial" w:eastAsia="Arial" w:hAnsi="Arial"/>
          <w:sz w:val="14"/>
          <w:szCs w:val="14"/>
          <w:b w:val="1"/>
          <w:bCs w:val="1"/>
          <w:color w:val="231F20"/>
        </w:rPr>
        <w:t>Daniel J. Hilferty</w:t>
      </w:r>
      <w:r>
        <w:rPr>
          <w:rFonts w:ascii="Arial" w:cs="Arial" w:eastAsia="Arial" w:hAnsi="Arial"/>
          <w:sz w:val="14"/>
          <w:szCs w:val="14"/>
          <w:color w:val="231F20"/>
        </w:rPr>
        <w:t>,</w:t>
      </w:r>
      <w:r>
        <w:rPr>
          <w:rFonts w:ascii="Arial" w:cs="Arial" w:eastAsia="Arial" w:hAnsi="Arial"/>
          <w:sz w:val="14"/>
          <w:szCs w:val="14"/>
          <w:b w:val="1"/>
          <w:bCs w:val="1"/>
          <w:color w:val="231F20"/>
        </w:rPr>
        <w:t xml:space="preserve"> </w:t>
      </w:r>
      <w:r>
        <w:rPr>
          <w:rFonts w:ascii="Arial" w:cs="Arial" w:eastAsia="Arial" w:hAnsi="Arial"/>
          <w:sz w:val="14"/>
          <w:szCs w:val="14"/>
          <w:i w:val="1"/>
          <w:iCs w:val="1"/>
          <w:color w:val="231F20"/>
        </w:rPr>
        <w:t>Chairperson</w:t>
      </w:r>
    </w:p>
    <w:p>
      <w:pPr>
        <w:spacing w:after="0" w:line="4" w:lineRule="exact"/>
        <w:rPr>
          <w:sz w:val="20"/>
          <w:szCs w:val="20"/>
          <w:color w:val="auto"/>
        </w:rPr>
      </w:pPr>
    </w:p>
    <w:p>
      <w:pPr>
        <w:spacing w:after="0"/>
        <w:rPr>
          <w:sz w:val="20"/>
          <w:szCs w:val="20"/>
          <w:color w:val="auto"/>
        </w:rPr>
      </w:pPr>
      <w:r>
        <w:rPr>
          <w:rFonts w:ascii="Arial" w:cs="Arial" w:eastAsia="Arial" w:hAnsi="Arial"/>
          <w:sz w:val="14"/>
          <w:szCs w:val="14"/>
          <w:color w:val="231F20"/>
        </w:rPr>
        <w:t>Elizabeth B. Amato</w:t>
      </w:r>
    </w:p>
    <w:p>
      <w:pPr>
        <w:spacing w:after="0" w:line="228" w:lineRule="auto"/>
        <w:rPr>
          <w:sz w:val="20"/>
          <w:szCs w:val="20"/>
          <w:color w:val="auto"/>
        </w:rPr>
      </w:pPr>
      <w:r>
        <w:rPr>
          <w:rFonts w:ascii="Arial" w:cs="Arial" w:eastAsia="Arial" w:hAnsi="Arial"/>
          <w:sz w:val="14"/>
          <w:szCs w:val="14"/>
          <w:color w:val="231F20"/>
        </w:rPr>
        <w:t>Ellen T. Ruff</w:t>
      </w:r>
    </w:p>
    <w:p>
      <w:pPr>
        <w:spacing w:after="0"/>
        <w:rPr>
          <w:sz w:val="20"/>
          <w:szCs w:val="20"/>
          <w:color w:val="auto"/>
        </w:rPr>
      </w:pPr>
      <w:r>
        <w:rPr>
          <w:rFonts w:ascii="Arial" w:cs="Arial" w:eastAsia="Arial" w:hAnsi="Arial"/>
          <w:sz w:val="14"/>
          <w:szCs w:val="14"/>
          <w:color w:val="231F20"/>
        </w:rPr>
        <w:t>Lee C. Stewart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118745</wp:posOffset>
            </wp:positionV>
            <wp:extent cx="7139940" cy="825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7139940" cy="8255"/>
                    </a:xfrm>
                    <a:prstGeom prst="rect">
                      <a:avLst/>
                    </a:prstGeom>
                    <a:noFill/>
                  </pic:spPr>
                </pic:pic>
              </a:graphicData>
            </a:graphic>
          </wp:anchor>
        </w:drawing>
      </w:r>
    </w:p>
    <w:p>
      <w:pPr>
        <w:spacing w:after="0" w:line="212" w:lineRule="exact"/>
        <w:rPr>
          <w:sz w:val="20"/>
          <w:szCs w:val="20"/>
          <w:color w:val="auto"/>
        </w:rPr>
      </w:pPr>
    </w:p>
    <w:p>
      <w:pPr>
        <w:jc w:val="right"/>
        <w:spacing w:after="0"/>
        <w:tabs>
          <w:tab w:leader="none" w:pos="140" w:val="left"/>
        </w:tabs>
        <w:rPr>
          <w:sz w:val="20"/>
          <w:szCs w:val="20"/>
          <w:color w:val="auto"/>
        </w:rPr>
      </w:pPr>
      <w:r>
        <w:rPr>
          <w:rFonts w:ascii="Arial" w:cs="Arial" w:eastAsia="Arial" w:hAnsi="Arial"/>
          <w:sz w:val="12"/>
          <w:szCs w:val="12"/>
          <w:color w:val="4395D4"/>
        </w:rPr>
        <w:t xml:space="preserve">ESSENTIAL UTILITIES, INC. </w:t>
      </w:r>
      <w:r>
        <w:rPr>
          <w:rFonts w:ascii="Arial" w:cs="Arial" w:eastAsia="Arial" w:hAnsi="Arial"/>
          <w:sz w:val="12"/>
          <w:szCs w:val="12"/>
          <w:color w:val="455986"/>
        </w:rPr>
        <w:t>2021 PROXY STATEMENT</w:t>
      </w:r>
      <w:r>
        <w:rPr>
          <w:sz w:val="20"/>
          <w:szCs w:val="20"/>
          <w:color w:val="auto"/>
        </w:rPr>
        <w:tab/>
      </w:r>
      <w:r>
        <w:rPr>
          <w:rFonts w:ascii="Arial" w:cs="Arial" w:eastAsia="Arial" w:hAnsi="Arial"/>
          <w:sz w:val="14"/>
          <w:szCs w:val="14"/>
          <w:color w:val="455986"/>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339090</wp:posOffset>
            </wp:positionV>
            <wp:extent cx="7139940" cy="2413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7139940" cy="24130"/>
                    </a:xfrm>
                    <a:prstGeom prst="rect">
                      <a:avLst/>
                    </a:prstGeom>
                    <a:noFill/>
                  </pic:spPr>
                </pic:pic>
              </a:graphicData>
            </a:graphic>
          </wp:anchor>
        </w:drawing>
      </w:r>
    </w:p>
    <w:p>
      <w:pPr>
        <w:sectPr>
          <w:pgSz w:w="11900" w:h="16838" w:orient="portrait"/>
          <w:cols w:equalWidth="0" w:num="1">
            <w:col w:w="11240"/>
          </w:cols>
          <w:pgMar w:left="320" w:top="636" w:right="339" w:bottom="1440" w:gutter="0" w:footer="0" w:header="0"/>
        </w:sectPr>
      </w:pPr>
    </w:p>
    <w:bookmarkStart w:id="72" w:name="page73"/>
    <w:bookmarkEnd w:id="72"/>
    <w:p>
      <w:pPr>
        <w:spacing w:after="0"/>
        <w:rPr>
          <w:sz w:val="20"/>
          <w:szCs w:val="20"/>
          <w:color w:val="auto"/>
        </w:rPr>
      </w:pPr>
      <w:r>
        <w:rPr>
          <w:rFonts w:ascii="Arial" w:cs="Arial" w:eastAsia="Arial" w:hAnsi="Arial"/>
          <w:sz w:val="48"/>
          <w:szCs w:val="48"/>
          <w:b w:val="1"/>
          <w:bCs w:val="1"/>
          <w:color w:val="455986"/>
        </w:rPr>
        <w:t>Executive Compensation Tables</w:t>
      </w:r>
    </w:p>
    <w:p>
      <w:pPr>
        <w:spacing w:after="0" w:line="194" w:lineRule="exact"/>
        <w:rPr>
          <w:sz w:val="20"/>
          <w:szCs w:val="20"/>
          <w:color w:val="auto"/>
        </w:rPr>
      </w:pPr>
    </w:p>
    <w:p>
      <w:pPr>
        <w:spacing w:after="0"/>
        <w:rPr>
          <w:sz w:val="20"/>
          <w:szCs w:val="20"/>
          <w:color w:val="auto"/>
        </w:rPr>
      </w:pPr>
      <w:r>
        <w:rPr>
          <w:rFonts w:ascii="Arial" w:cs="Arial" w:eastAsia="Arial" w:hAnsi="Arial"/>
          <w:sz w:val="14"/>
          <w:szCs w:val="14"/>
          <w:color w:val="231F20"/>
        </w:rPr>
        <w:t>The following Summary Compensation Table shows compensation paid to or earned by the named executive officers for 2020.</w:t>
      </w:r>
    </w:p>
    <w:p>
      <w:pPr>
        <w:spacing w:after="0" w:line="132" w:lineRule="exact"/>
        <w:rPr>
          <w:sz w:val="20"/>
          <w:szCs w:val="20"/>
          <w:color w:val="auto"/>
        </w:rPr>
      </w:pPr>
    </w:p>
    <w:p>
      <w:pPr>
        <w:spacing w:after="0"/>
        <w:rPr>
          <w:sz w:val="20"/>
          <w:szCs w:val="20"/>
          <w:color w:val="auto"/>
        </w:rPr>
      </w:pPr>
      <w:r>
        <w:rPr>
          <w:rFonts w:ascii="Arial" w:cs="Arial" w:eastAsia="Arial" w:hAnsi="Arial"/>
          <w:sz w:val="20"/>
          <w:szCs w:val="20"/>
          <w:b w:val="1"/>
          <w:bCs w:val="1"/>
          <w:color w:val="231F20"/>
        </w:rPr>
        <w:t>Summary Compensation Table</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9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480" w:type="dxa"/>
            <w:vAlign w:val="bottom"/>
          </w:tcPr>
          <w:p>
            <w:pPr>
              <w:jc w:val="right"/>
              <w:ind w:right="92"/>
              <w:spacing w:after="0"/>
              <w:rPr>
                <w:sz w:val="20"/>
                <w:szCs w:val="20"/>
                <w:color w:val="auto"/>
              </w:rPr>
            </w:pPr>
            <w:r>
              <w:rPr>
                <w:rFonts w:ascii="Arial" w:cs="Arial" w:eastAsia="Arial" w:hAnsi="Arial"/>
                <w:sz w:val="14"/>
                <w:szCs w:val="14"/>
                <w:color w:val="455986"/>
              </w:rPr>
              <w:t>Change in</w:t>
            </w:r>
          </w:p>
        </w:tc>
        <w:tc>
          <w:tcPr>
            <w:tcW w:w="124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53"/>
        </w:trPr>
        <w:tc>
          <w:tcPr>
            <w:tcW w:w="19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480" w:type="dxa"/>
            <w:vAlign w:val="bottom"/>
          </w:tcPr>
          <w:p>
            <w:pPr>
              <w:jc w:val="right"/>
              <w:ind w:right="92"/>
              <w:spacing w:after="0" w:line="153" w:lineRule="exact"/>
              <w:rPr>
                <w:sz w:val="20"/>
                <w:szCs w:val="20"/>
                <w:color w:val="auto"/>
              </w:rPr>
            </w:pPr>
            <w:r>
              <w:rPr>
                <w:rFonts w:ascii="Arial" w:cs="Arial" w:eastAsia="Arial" w:hAnsi="Arial"/>
                <w:sz w:val="14"/>
                <w:szCs w:val="14"/>
                <w:color w:val="455986"/>
              </w:rPr>
              <w:t>Pension Value and</w:t>
            </w:r>
          </w:p>
        </w:tc>
        <w:tc>
          <w:tcPr>
            <w:tcW w:w="1240" w:type="dxa"/>
            <w:vAlign w:val="bottom"/>
          </w:tcPr>
          <w:p>
            <w:pPr>
              <w:spacing w:after="0"/>
              <w:rPr>
                <w:sz w:val="13"/>
                <w:szCs w:val="13"/>
                <w:color w:val="auto"/>
              </w:rPr>
            </w:pPr>
          </w:p>
        </w:tc>
        <w:tc>
          <w:tcPr>
            <w:tcW w:w="760" w:type="dxa"/>
            <w:vAlign w:val="bottom"/>
          </w:tcPr>
          <w:p>
            <w:pPr>
              <w:spacing w:after="0"/>
              <w:rPr>
                <w:sz w:val="13"/>
                <w:szCs w:val="13"/>
                <w:color w:val="auto"/>
              </w:rPr>
            </w:pPr>
          </w:p>
        </w:tc>
      </w:tr>
      <w:tr>
        <w:trPr>
          <w:trHeight w:val="153"/>
        </w:trPr>
        <w:tc>
          <w:tcPr>
            <w:tcW w:w="19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480" w:type="dxa"/>
            <w:vAlign w:val="bottom"/>
          </w:tcPr>
          <w:p>
            <w:pPr>
              <w:jc w:val="right"/>
              <w:ind w:right="92"/>
              <w:spacing w:after="0" w:line="153" w:lineRule="exact"/>
              <w:rPr>
                <w:sz w:val="20"/>
                <w:szCs w:val="20"/>
                <w:color w:val="auto"/>
              </w:rPr>
            </w:pPr>
            <w:r>
              <w:rPr>
                <w:rFonts w:ascii="Arial" w:cs="Arial" w:eastAsia="Arial" w:hAnsi="Arial"/>
                <w:sz w:val="14"/>
                <w:szCs w:val="14"/>
                <w:color w:val="455986"/>
              </w:rPr>
              <w:t>Non-qualified</w:t>
            </w:r>
          </w:p>
        </w:tc>
        <w:tc>
          <w:tcPr>
            <w:tcW w:w="1240" w:type="dxa"/>
            <w:vAlign w:val="bottom"/>
          </w:tcPr>
          <w:p>
            <w:pPr>
              <w:spacing w:after="0"/>
              <w:rPr>
                <w:sz w:val="13"/>
                <w:szCs w:val="13"/>
                <w:color w:val="auto"/>
              </w:rPr>
            </w:pPr>
          </w:p>
        </w:tc>
        <w:tc>
          <w:tcPr>
            <w:tcW w:w="760" w:type="dxa"/>
            <w:vAlign w:val="bottom"/>
          </w:tcPr>
          <w:p>
            <w:pPr>
              <w:spacing w:after="0"/>
              <w:rPr>
                <w:sz w:val="13"/>
                <w:szCs w:val="13"/>
                <w:color w:val="auto"/>
              </w:rPr>
            </w:pPr>
          </w:p>
        </w:tc>
      </w:tr>
      <w:tr>
        <w:trPr>
          <w:trHeight w:val="153"/>
        </w:trPr>
        <w:tc>
          <w:tcPr>
            <w:tcW w:w="19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220" w:type="dxa"/>
            <w:vAlign w:val="bottom"/>
          </w:tcPr>
          <w:p>
            <w:pPr>
              <w:jc w:val="right"/>
              <w:ind w:right="92"/>
              <w:spacing w:after="0" w:line="153" w:lineRule="exact"/>
              <w:rPr>
                <w:sz w:val="20"/>
                <w:szCs w:val="20"/>
                <w:color w:val="auto"/>
              </w:rPr>
            </w:pPr>
            <w:r>
              <w:rPr>
                <w:rFonts w:ascii="Arial" w:cs="Arial" w:eastAsia="Arial" w:hAnsi="Arial"/>
                <w:sz w:val="14"/>
                <w:szCs w:val="14"/>
                <w:color w:val="455986"/>
              </w:rPr>
              <w:t>Non-Equity</w:t>
            </w:r>
          </w:p>
        </w:tc>
        <w:tc>
          <w:tcPr>
            <w:tcW w:w="1480" w:type="dxa"/>
            <w:vAlign w:val="bottom"/>
          </w:tcPr>
          <w:p>
            <w:pPr>
              <w:jc w:val="right"/>
              <w:ind w:right="92"/>
              <w:spacing w:after="0" w:line="153" w:lineRule="exact"/>
              <w:rPr>
                <w:sz w:val="20"/>
                <w:szCs w:val="20"/>
                <w:color w:val="auto"/>
              </w:rPr>
            </w:pPr>
            <w:r>
              <w:rPr>
                <w:rFonts w:ascii="Arial" w:cs="Arial" w:eastAsia="Arial" w:hAnsi="Arial"/>
                <w:sz w:val="14"/>
                <w:szCs w:val="14"/>
                <w:color w:val="455986"/>
              </w:rPr>
              <w:t>Deferred</w:t>
            </w:r>
          </w:p>
        </w:tc>
        <w:tc>
          <w:tcPr>
            <w:tcW w:w="1240" w:type="dxa"/>
            <w:vAlign w:val="bottom"/>
          </w:tcPr>
          <w:p>
            <w:pPr>
              <w:spacing w:after="0"/>
              <w:rPr>
                <w:sz w:val="13"/>
                <w:szCs w:val="13"/>
                <w:color w:val="auto"/>
              </w:rPr>
            </w:pPr>
          </w:p>
        </w:tc>
        <w:tc>
          <w:tcPr>
            <w:tcW w:w="760" w:type="dxa"/>
            <w:vAlign w:val="bottom"/>
          </w:tcPr>
          <w:p>
            <w:pPr>
              <w:spacing w:after="0"/>
              <w:rPr>
                <w:sz w:val="13"/>
                <w:szCs w:val="13"/>
                <w:color w:val="auto"/>
              </w:rPr>
            </w:pPr>
          </w:p>
        </w:tc>
      </w:tr>
      <w:tr>
        <w:trPr>
          <w:trHeight w:val="153"/>
        </w:trPr>
        <w:tc>
          <w:tcPr>
            <w:tcW w:w="19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220" w:type="dxa"/>
            <w:vAlign w:val="bottom"/>
          </w:tcPr>
          <w:p>
            <w:pPr>
              <w:jc w:val="right"/>
              <w:ind w:right="92"/>
              <w:spacing w:after="0" w:line="153" w:lineRule="exact"/>
              <w:rPr>
                <w:sz w:val="20"/>
                <w:szCs w:val="20"/>
                <w:color w:val="auto"/>
              </w:rPr>
            </w:pPr>
            <w:r>
              <w:rPr>
                <w:rFonts w:ascii="Arial" w:cs="Arial" w:eastAsia="Arial" w:hAnsi="Arial"/>
                <w:sz w:val="14"/>
                <w:szCs w:val="14"/>
                <w:color w:val="455986"/>
              </w:rPr>
              <w:t>Incentive Plan</w:t>
            </w:r>
          </w:p>
        </w:tc>
        <w:tc>
          <w:tcPr>
            <w:tcW w:w="1480" w:type="dxa"/>
            <w:vAlign w:val="bottom"/>
          </w:tcPr>
          <w:p>
            <w:pPr>
              <w:jc w:val="right"/>
              <w:ind w:right="92"/>
              <w:spacing w:after="0" w:line="153" w:lineRule="exact"/>
              <w:rPr>
                <w:sz w:val="20"/>
                <w:szCs w:val="20"/>
                <w:color w:val="auto"/>
              </w:rPr>
            </w:pPr>
            <w:r>
              <w:rPr>
                <w:rFonts w:ascii="Arial" w:cs="Arial" w:eastAsia="Arial" w:hAnsi="Arial"/>
                <w:sz w:val="14"/>
                <w:szCs w:val="14"/>
                <w:color w:val="455986"/>
              </w:rPr>
              <w:t>Compensation</w:t>
            </w:r>
          </w:p>
        </w:tc>
        <w:tc>
          <w:tcPr>
            <w:tcW w:w="1240" w:type="dxa"/>
            <w:vAlign w:val="bottom"/>
          </w:tcPr>
          <w:p>
            <w:pPr>
              <w:jc w:val="right"/>
              <w:ind w:right="112"/>
              <w:spacing w:after="0" w:line="153" w:lineRule="exact"/>
              <w:rPr>
                <w:sz w:val="20"/>
                <w:szCs w:val="20"/>
                <w:color w:val="auto"/>
              </w:rPr>
            </w:pPr>
            <w:r>
              <w:rPr>
                <w:rFonts w:ascii="Arial" w:cs="Arial" w:eastAsia="Arial" w:hAnsi="Arial"/>
                <w:sz w:val="14"/>
                <w:szCs w:val="14"/>
                <w:color w:val="455986"/>
              </w:rPr>
              <w:t>All Other</w:t>
            </w:r>
          </w:p>
        </w:tc>
        <w:tc>
          <w:tcPr>
            <w:tcW w:w="760" w:type="dxa"/>
            <w:vAlign w:val="bottom"/>
          </w:tcPr>
          <w:p>
            <w:pPr>
              <w:spacing w:after="0"/>
              <w:rPr>
                <w:sz w:val="13"/>
                <w:szCs w:val="13"/>
                <w:color w:val="auto"/>
              </w:rPr>
            </w:pPr>
          </w:p>
        </w:tc>
      </w:tr>
      <w:tr>
        <w:trPr>
          <w:trHeight w:val="153"/>
        </w:trPr>
        <w:tc>
          <w:tcPr>
            <w:tcW w:w="19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40" w:type="dxa"/>
            <w:vAlign w:val="bottom"/>
          </w:tcPr>
          <w:p>
            <w:pPr>
              <w:jc w:val="right"/>
              <w:ind w:right="92"/>
              <w:spacing w:after="0" w:line="153" w:lineRule="exact"/>
              <w:rPr>
                <w:sz w:val="20"/>
                <w:szCs w:val="20"/>
                <w:color w:val="auto"/>
              </w:rPr>
            </w:pPr>
            <w:r>
              <w:rPr>
                <w:rFonts w:ascii="Arial" w:cs="Arial" w:eastAsia="Arial" w:hAnsi="Arial"/>
                <w:sz w:val="14"/>
                <w:szCs w:val="14"/>
                <w:color w:val="455986"/>
              </w:rPr>
              <w:t>Salary</w:t>
            </w:r>
          </w:p>
        </w:tc>
        <w:tc>
          <w:tcPr>
            <w:tcW w:w="760" w:type="dxa"/>
            <w:vAlign w:val="bottom"/>
          </w:tcPr>
          <w:p>
            <w:pPr>
              <w:jc w:val="right"/>
              <w:ind w:right="92"/>
              <w:spacing w:after="0" w:line="153" w:lineRule="exact"/>
              <w:rPr>
                <w:sz w:val="20"/>
                <w:szCs w:val="20"/>
                <w:color w:val="auto"/>
              </w:rPr>
            </w:pPr>
            <w:r>
              <w:rPr>
                <w:rFonts w:ascii="Arial" w:cs="Arial" w:eastAsia="Arial" w:hAnsi="Arial"/>
                <w:sz w:val="14"/>
                <w:szCs w:val="14"/>
                <w:color w:val="455986"/>
              </w:rPr>
              <w:t>Bonus</w:t>
            </w:r>
          </w:p>
        </w:tc>
        <w:tc>
          <w:tcPr>
            <w:tcW w:w="1180" w:type="dxa"/>
            <w:vAlign w:val="bottom"/>
          </w:tcPr>
          <w:p>
            <w:pPr>
              <w:jc w:val="right"/>
              <w:ind w:right="92"/>
              <w:spacing w:after="0" w:line="153" w:lineRule="exact"/>
              <w:rPr>
                <w:sz w:val="20"/>
                <w:szCs w:val="20"/>
                <w:color w:val="auto"/>
              </w:rPr>
            </w:pPr>
            <w:r>
              <w:rPr>
                <w:rFonts w:ascii="Arial" w:cs="Arial" w:eastAsia="Arial" w:hAnsi="Arial"/>
                <w:sz w:val="14"/>
                <w:szCs w:val="14"/>
                <w:color w:val="455986"/>
              </w:rPr>
              <w:t>Stock Awards</w:t>
            </w:r>
          </w:p>
        </w:tc>
        <w:tc>
          <w:tcPr>
            <w:tcW w:w="1240" w:type="dxa"/>
            <w:vAlign w:val="bottom"/>
          </w:tcPr>
          <w:p>
            <w:pPr>
              <w:jc w:val="right"/>
              <w:ind w:right="112"/>
              <w:spacing w:after="0" w:line="153" w:lineRule="exact"/>
              <w:rPr>
                <w:sz w:val="20"/>
                <w:szCs w:val="20"/>
                <w:color w:val="auto"/>
              </w:rPr>
            </w:pPr>
            <w:r>
              <w:rPr>
                <w:rFonts w:ascii="Arial" w:cs="Arial" w:eastAsia="Arial" w:hAnsi="Arial"/>
                <w:sz w:val="14"/>
                <w:szCs w:val="14"/>
                <w:color w:val="455986"/>
              </w:rPr>
              <w:t>Option Awards</w:t>
            </w:r>
          </w:p>
        </w:tc>
        <w:tc>
          <w:tcPr>
            <w:tcW w:w="1220" w:type="dxa"/>
            <w:vAlign w:val="bottom"/>
          </w:tcPr>
          <w:p>
            <w:pPr>
              <w:jc w:val="right"/>
              <w:ind w:right="92"/>
              <w:spacing w:after="0" w:line="153" w:lineRule="exact"/>
              <w:rPr>
                <w:sz w:val="20"/>
                <w:szCs w:val="20"/>
                <w:color w:val="auto"/>
              </w:rPr>
            </w:pPr>
            <w:r>
              <w:rPr>
                <w:rFonts w:ascii="Arial" w:cs="Arial" w:eastAsia="Arial" w:hAnsi="Arial"/>
                <w:sz w:val="14"/>
                <w:szCs w:val="14"/>
                <w:color w:val="455986"/>
              </w:rPr>
              <w:t>Compensation</w:t>
            </w:r>
          </w:p>
        </w:tc>
        <w:tc>
          <w:tcPr>
            <w:tcW w:w="1480" w:type="dxa"/>
            <w:vAlign w:val="bottom"/>
          </w:tcPr>
          <w:p>
            <w:pPr>
              <w:jc w:val="right"/>
              <w:ind w:right="92"/>
              <w:spacing w:after="0" w:line="153" w:lineRule="exact"/>
              <w:rPr>
                <w:sz w:val="20"/>
                <w:szCs w:val="20"/>
                <w:color w:val="auto"/>
              </w:rPr>
            </w:pPr>
            <w:r>
              <w:rPr>
                <w:rFonts w:ascii="Arial" w:cs="Arial" w:eastAsia="Arial" w:hAnsi="Arial"/>
                <w:sz w:val="14"/>
                <w:szCs w:val="14"/>
                <w:color w:val="455986"/>
              </w:rPr>
              <w:t>Earnings</w:t>
            </w:r>
          </w:p>
        </w:tc>
        <w:tc>
          <w:tcPr>
            <w:tcW w:w="1240" w:type="dxa"/>
            <w:vAlign w:val="bottom"/>
          </w:tcPr>
          <w:p>
            <w:pPr>
              <w:jc w:val="right"/>
              <w:ind w:right="112"/>
              <w:spacing w:after="0" w:line="153" w:lineRule="exact"/>
              <w:rPr>
                <w:sz w:val="20"/>
                <w:szCs w:val="20"/>
                <w:color w:val="auto"/>
              </w:rPr>
            </w:pPr>
            <w:r>
              <w:rPr>
                <w:rFonts w:ascii="Arial" w:cs="Arial" w:eastAsia="Arial" w:hAnsi="Arial"/>
                <w:sz w:val="14"/>
                <w:szCs w:val="14"/>
                <w:color w:val="455986"/>
              </w:rPr>
              <w:t>Compensation</w:t>
            </w:r>
          </w:p>
        </w:tc>
        <w:tc>
          <w:tcPr>
            <w:tcW w:w="760" w:type="dxa"/>
            <w:vAlign w:val="bottom"/>
          </w:tcPr>
          <w:p>
            <w:pPr>
              <w:jc w:val="right"/>
              <w:spacing w:after="0" w:line="153" w:lineRule="exact"/>
              <w:rPr>
                <w:sz w:val="20"/>
                <w:szCs w:val="20"/>
                <w:color w:val="auto"/>
              </w:rPr>
            </w:pPr>
            <w:r>
              <w:rPr>
                <w:rFonts w:ascii="Arial" w:cs="Arial" w:eastAsia="Arial" w:hAnsi="Arial"/>
                <w:sz w:val="14"/>
                <w:szCs w:val="14"/>
                <w:color w:val="455986"/>
              </w:rPr>
              <w:t>Total</w:t>
            </w:r>
          </w:p>
        </w:tc>
      </w:tr>
      <w:tr>
        <w:trPr>
          <w:trHeight w:val="165"/>
        </w:trPr>
        <w:tc>
          <w:tcPr>
            <w:tcW w:w="1960" w:type="dxa"/>
            <w:vAlign w:val="bottom"/>
            <w:tcBorders>
              <w:bottom w:val="single" w:sz="8" w:color="4395D4"/>
            </w:tcBorders>
          </w:tcPr>
          <w:p>
            <w:pPr>
              <w:spacing w:after="0"/>
              <w:rPr>
                <w:sz w:val="20"/>
                <w:szCs w:val="20"/>
                <w:color w:val="auto"/>
              </w:rPr>
            </w:pPr>
            <w:r>
              <w:rPr>
                <w:rFonts w:ascii="Arial" w:cs="Arial" w:eastAsia="Arial" w:hAnsi="Arial"/>
                <w:sz w:val="14"/>
                <w:szCs w:val="14"/>
                <w:color w:val="455986"/>
              </w:rPr>
              <w:t>Principal Position</w:t>
            </w:r>
          </w:p>
        </w:tc>
        <w:tc>
          <w:tcPr>
            <w:tcW w:w="660" w:type="dxa"/>
            <w:vAlign w:val="bottom"/>
            <w:tcBorders>
              <w:bottom w:val="single" w:sz="8" w:color="4395D4"/>
            </w:tcBorders>
          </w:tcPr>
          <w:p>
            <w:pPr>
              <w:ind w:left="200"/>
              <w:spacing w:after="0"/>
              <w:rPr>
                <w:sz w:val="20"/>
                <w:szCs w:val="20"/>
                <w:color w:val="auto"/>
              </w:rPr>
            </w:pPr>
            <w:r>
              <w:rPr>
                <w:rFonts w:ascii="Arial" w:cs="Arial" w:eastAsia="Arial" w:hAnsi="Arial"/>
                <w:sz w:val="14"/>
                <w:szCs w:val="14"/>
                <w:color w:val="455986"/>
              </w:rPr>
              <w:t>Year</w:t>
            </w:r>
          </w:p>
        </w:tc>
        <w:tc>
          <w:tcPr>
            <w:tcW w:w="840" w:type="dxa"/>
            <w:vAlign w:val="bottom"/>
            <w:tcBorders>
              <w:bottom w:val="single" w:sz="8" w:color="4395D4"/>
            </w:tcBorders>
          </w:tcPr>
          <w:p>
            <w:pPr>
              <w:jc w:val="right"/>
              <w:ind w:right="92"/>
              <w:spacing w:after="0"/>
              <w:rPr>
                <w:sz w:val="20"/>
                <w:szCs w:val="20"/>
                <w:color w:val="auto"/>
              </w:rPr>
            </w:pPr>
            <w:r>
              <w:rPr>
                <w:rFonts w:ascii="Arial" w:cs="Arial" w:eastAsia="Arial" w:hAnsi="Arial"/>
                <w:sz w:val="14"/>
                <w:szCs w:val="14"/>
                <w:color w:val="455986"/>
              </w:rPr>
              <w:t>($)(1)</w:t>
            </w:r>
          </w:p>
        </w:tc>
        <w:tc>
          <w:tcPr>
            <w:tcW w:w="760" w:type="dxa"/>
            <w:vAlign w:val="bottom"/>
            <w:tcBorders>
              <w:bottom w:val="single" w:sz="8" w:color="4395D4"/>
            </w:tcBorders>
          </w:tcPr>
          <w:p>
            <w:pPr>
              <w:jc w:val="right"/>
              <w:ind w:right="92"/>
              <w:spacing w:after="0"/>
              <w:rPr>
                <w:sz w:val="20"/>
                <w:szCs w:val="20"/>
                <w:color w:val="auto"/>
              </w:rPr>
            </w:pPr>
            <w:r>
              <w:rPr>
                <w:rFonts w:ascii="Arial" w:cs="Arial" w:eastAsia="Arial" w:hAnsi="Arial"/>
                <w:sz w:val="14"/>
                <w:szCs w:val="14"/>
                <w:color w:val="455986"/>
              </w:rPr>
              <w:t>($)</w:t>
            </w:r>
          </w:p>
        </w:tc>
        <w:tc>
          <w:tcPr>
            <w:tcW w:w="1180" w:type="dxa"/>
            <w:vAlign w:val="bottom"/>
            <w:tcBorders>
              <w:bottom w:val="single" w:sz="8" w:color="4395D4"/>
            </w:tcBorders>
          </w:tcPr>
          <w:p>
            <w:pPr>
              <w:jc w:val="right"/>
              <w:ind w:right="92"/>
              <w:spacing w:after="0"/>
              <w:rPr>
                <w:sz w:val="20"/>
                <w:szCs w:val="20"/>
                <w:color w:val="auto"/>
              </w:rPr>
            </w:pPr>
            <w:r>
              <w:rPr>
                <w:rFonts w:ascii="Arial" w:cs="Arial" w:eastAsia="Arial" w:hAnsi="Arial"/>
                <w:sz w:val="14"/>
                <w:szCs w:val="14"/>
                <w:color w:val="455986"/>
              </w:rPr>
              <w:t>($)(2)</w:t>
            </w:r>
          </w:p>
        </w:tc>
        <w:tc>
          <w:tcPr>
            <w:tcW w:w="1240" w:type="dxa"/>
            <w:vAlign w:val="bottom"/>
            <w:tcBorders>
              <w:bottom w:val="single" w:sz="8" w:color="4395D4"/>
            </w:tcBorders>
          </w:tcPr>
          <w:p>
            <w:pPr>
              <w:jc w:val="right"/>
              <w:ind w:right="112"/>
              <w:spacing w:after="0"/>
              <w:rPr>
                <w:sz w:val="20"/>
                <w:szCs w:val="20"/>
                <w:color w:val="auto"/>
              </w:rPr>
            </w:pPr>
            <w:r>
              <w:rPr>
                <w:rFonts w:ascii="Arial" w:cs="Arial" w:eastAsia="Arial" w:hAnsi="Arial"/>
                <w:sz w:val="14"/>
                <w:szCs w:val="14"/>
                <w:color w:val="455986"/>
              </w:rPr>
              <w:t>($)(2)</w:t>
            </w:r>
          </w:p>
        </w:tc>
        <w:tc>
          <w:tcPr>
            <w:tcW w:w="1220" w:type="dxa"/>
            <w:vAlign w:val="bottom"/>
            <w:tcBorders>
              <w:bottom w:val="single" w:sz="8" w:color="4395D4"/>
            </w:tcBorders>
          </w:tcPr>
          <w:p>
            <w:pPr>
              <w:jc w:val="right"/>
              <w:ind w:right="92"/>
              <w:spacing w:after="0"/>
              <w:rPr>
                <w:sz w:val="20"/>
                <w:szCs w:val="20"/>
                <w:color w:val="auto"/>
              </w:rPr>
            </w:pPr>
            <w:r>
              <w:rPr>
                <w:rFonts w:ascii="Arial" w:cs="Arial" w:eastAsia="Arial" w:hAnsi="Arial"/>
                <w:sz w:val="14"/>
                <w:szCs w:val="14"/>
                <w:color w:val="455986"/>
              </w:rPr>
              <w:t>($)(1)(3)</w:t>
            </w:r>
          </w:p>
        </w:tc>
        <w:tc>
          <w:tcPr>
            <w:tcW w:w="1480" w:type="dxa"/>
            <w:vAlign w:val="bottom"/>
            <w:tcBorders>
              <w:bottom w:val="single" w:sz="8" w:color="4395D4"/>
            </w:tcBorders>
          </w:tcPr>
          <w:p>
            <w:pPr>
              <w:jc w:val="right"/>
              <w:ind w:right="92"/>
              <w:spacing w:after="0"/>
              <w:rPr>
                <w:sz w:val="20"/>
                <w:szCs w:val="20"/>
                <w:color w:val="auto"/>
              </w:rPr>
            </w:pPr>
            <w:r>
              <w:rPr>
                <w:rFonts w:ascii="Arial" w:cs="Arial" w:eastAsia="Arial" w:hAnsi="Arial"/>
                <w:sz w:val="14"/>
                <w:szCs w:val="14"/>
                <w:color w:val="455986"/>
              </w:rPr>
              <w:t>($)(4)</w:t>
            </w:r>
          </w:p>
        </w:tc>
        <w:tc>
          <w:tcPr>
            <w:tcW w:w="1240" w:type="dxa"/>
            <w:vAlign w:val="bottom"/>
            <w:tcBorders>
              <w:bottom w:val="single" w:sz="8" w:color="4395D4"/>
            </w:tcBorders>
          </w:tcPr>
          <w:p>
            <w:pPr>
              <w:jc w:val="right"/>
              <w:ind w:right="112"/>
              <w:spacing w:after="0"/>
              <w:rPr>
                <w:sz w:val="20"/>
                <w:szCs w:val="20"/>
                <w:color w:val="auto"/>
              </w:rPr>
            </w:pPr>
            <w:r>
              <w:rPr>
                <w:rFonts w:ascii="Arial" w:cs="Arial" w:eastAsia="Arial" w:hAnsi="Arial"/>
                <w:sz w:val="14"/>
                <w:szCs w:val="14"/>
                <w:color w:val="455986"/>
              </w:rPr>
              <w:t>($)(5)</w:t>
            </w:r>
          </w:p>
        </w:tc>
        <w:tc>
          <w:tcPr>
            <w:tcW w:w="760" w:type="dxa"/>
            <w:vAlign w:val="bottom"/>
            <w:tcBorders>
              <w:bottom w:val="single" w:sz="8" w:color="4395D4"/>
            </w:tcBorders>
          </w:tcPr>
          <w:p>
            <w:pPr>
              <w:jc w:val="right"/>
              <w:spacing w:after="0"/>
              <w:rPr>
                <w:sz w:val="20"/>
                <w:szCs w:val="20"/>
                <w:color w:val="auto"/>
              </w:rPr>
            </w:pPr>
            <w:r>
              <w:rPr>
                <w:rFonts w:ascii="Arial" w:cs="Arial" w:eastAsia="Arial" w:hAnsi="Arial"/>
                <w:sz w:val="14"/>
                <w:szCs w:val="14"/>
                <w:color w:val="455986"/>
              </w:rPr>
              <w:t>($)(6)</w:t>
            </w:r>
          </w:p>
        </w:tc>
      </w:tr>
      <w:tr>
        <w:trPr>
          <w:trHeight w:val="196"/>
        </w:trPr>
        <w:tc>
          <w:tcPr>
            <w:tcW w:w="1960" w:type="dxa"/>
            <w:vAlign w:val="bottom"/>
          </w:tcPr>
          <w:p>
            <w:pPr>
              <w:spacing w:after="0"/>
              <w:rPr>
                <w:sz w:val="20"/>
                <w:szCs w:val="20"/>
                <w:color w:val="auto"/>
              </w:rPr>
            </w:pPr>
            <w:r>
              <w:rPr>
                <w:rFonts w:ascii="Arial" w:cs="Arial" w:eastAsia="Arial" w:hAnsi="Arial"/>
                <w:sz w:val="14"/>
                <w:szCs w:val="14"/>
                <w:b w:val="1"/>
                <w:bCs w:val="1"/>
                <w:color w:val="455986"/>
              </w:rPr>
              <w:t>Christopher H. Franklin</w:t>
            </w:r>
          </w:p>
        </w:tc>
        <w:tc>
          <w:tcPr>
            <w:tcW w:w="660" w:type="dxa"/>
            <w:vAlign w:val="bottom"/>
            <w:tcBorders>
              <w:bottom w:val="single" w:sz="8" w:color="auto"/>
            </w:tcBorders>
          </w:tcPr>
          <w:p>
            <w:pPr>
              <w:ind w:left="180"/>
              <w:spacing w:after="0"/>
              <w:rPr>
                <w:sz w:val="20"/>
                <w:szCs w:val="20"/>
                <w:color w:val="auto"/>
              </w:rPr>
            </w:pPr>
            <w:r>
              <w:rPr>
                <w:rFonts w:ascii="Arial" w:cs="Arial" w:eastAsia="Arial" w:hAnsi="Arial"/>
                <w:sz w:val="14"/>
                <w:szCs w:val="14"/>
                <w:color w:val="auto"/>
              </w:rPr>
              <w:t>2020</w:t>
            </w:r>
          </w:p>
        </w:tc>
        <w:tc>
          <w:tcPr>
            <w:tcW w:w="840" w:type="dxa"/>
            <w:vAlign w:val="bottom"/>
            <w:tcBorders>
              <w:bottom w:val="single" w:sz="8" w:color="auto"/>
            </w:tcBorders>
          </w:tcPr>
          <w:p>
            <w:pPr>
              <w:jc w:val="right"/>
              <w:ind w:right="92"/>
              <w:spacing w:after="0"/>
              <w:rPr>
                <w:sz w:val="20"/>
                <w:szCs w:val="20"/>
                <w:color w:val="auto"/>
              </w:rPr>
            </w:pPr>
            <w:r>
              <w:rPr>
                <w:rFonts w:ascii="Arial" w:cs="Arial" w:eastAsia="Arial" w:hAnsi="Arial"/>
                <w:sz w:val="14"/>
                <w:szCs w:val="14"/>
                <w:color w:val="auto"/>
              </w:rPr>
              <w:t>858,846</w:t>
            </w:r>
          </w:p>
        </w:tc>
        <w:tc>
          <w:tcPr>
            <w:tcW w:w="760" w:type="dxa"/>
            <w:vAlign w:val="bottom"/>
            <w:tcBorders>
              <w:bottom w:val="single" w:sz="8" w:color="auto"/>
            </w:tcBorders>
          </w:tcPr>
          <w:p>
            <w:pPr>
              <w:jc w:val="right"/>
              <w:ind w:right="92"/>
              <w:spacing w:after="0"/>
              <w:rPr>
                <w:sz w:val="20"/>
                <w:szCs w:val="20"/>
                <w:color w:val="auto"/>
              </w:rPr>
            </w:pPr>
            <w:r>
              <w:rPr>
                <w:rFonts w:ascii="Arial" w:cs="Arial" w:eastAsia="Arial" w:hAnsi="Arial"/>
                <w:sz w:val="14"/>
                <w:szCs w:val="14"/>
                <w:color w:val="auto"/>
              </w:rPr>
              <w:t>—</w:t>
            </w:r>
          </w:p>
        </w:tc>
        <w:tc>
          <w:tcPr>
            <w:tcW w:w="1180" w:type="dxa"/>
            <w:vAlign w:val="bottom"/>
            <w:tcBorders>
              <w:bottom w:val="single" w:sz="8" w:color="auto"/>
            </w:tcBorders>
          </w:tcPr>
          <w:p>
            <w:pPr>
              <w:jc w:val="right"/>
              <w:ind w:right="92"/>
              <w:spacing w:after="0"/>
              <w:rPr>
                <w:sz w:val="20"/>
                <w:szCs w:val="20"/>
                <w:color w:val="auto"/>
              </w:rPr>
            </w:pPr>
            <w:r>
              <w:rPr>
                <w:rFonts w:ascii="Arial" w:cs="Arial" w:eastAsia="Arial" w:hAnsi="Arial"/>
                <w:sz w:val="14"/>
                <w:szCs w:val="14"/>
                <w:color w:val="auto"/>
              </w:rPr>
              <w:t>2,053,175</w:t>
            </w:r>
          </w:p>
        </w:tc>
        <w:tc>
          <w:tcPr>
            <w:tcW w:w="1240" w:type="dxa"/>
            <w:vAlign w:val="bottom"/>
            <w:tcBorders>
              <w:bottom w:val="single" w:sz="8" w:color="auto"/>
            </w:tcBorders>
          </w:tcPr>
          <w:p>
            <w:pPr>
              <w:jc w:val="right"/>
              <w:ind w:right="112"/>
              <w:spacing w:after="0"/>
              <w:rPr>
                <w:sz w:val="20"/>
                <w:szCs w:val="20"/>
                <w:color w:val="auto"/>
              </w:rPr>
            </w:pPr>
            <w:r>
              <w:rPr>
                <w:rFonts w:ascii="Arial" w:cs="Arial" w:eastAsia="Arial" w:hAnsi="Arial"/>
                <w:sz w:val="14"/>
                <w:szCs w:val="14"/>
                <w:color w:val="auto"/>
              </w:rPr>
              <w:t>—</w:t>
            </w:r>
          </w:p>
        </w:tc>
        <w:tc>
          <w:tcPr>
            <w:tcW w:w="1220" w:type="dxa"/>
            <w:vAlign w:val="bottom"/>
            <w:tcBorders>
              <w:bottom w:val="single" w:sz="8" w:color="auto"/>
            </w:tcBorders>
          </w:tcPr>
          <w:p>
            <w:pPr>
              <w:jc w:val="right"/>
              <w:ind w:right="92"/>
              <w:spacing w:after="0"/>
              <w:rPr>
                <w:sz w:val="20"/>
                <w:szCs w:val="20"/>
                <w:color w:val="auto"/>
              </w:rPr>
            </w:pPr>
            <w:r>
              <w:rPr>
                <w:rFonts w:ascii="Arial" w:cs="Arial" w:eastAsia="Arial" w:hAnsi="Arial"/>
                <w:sz w:val="14"/>
                <w:szCs w:val="14"/>
                <w:color w:val="auto"/>
              </w:rPr>
              <w:t>1,234,625</w:t>
            </w:r>
          </w:p>
        </w:tc>
        <w:tc>
          <w:tcPr>
            <w:tcW w:w="1480" w:type="dxa"/>
            <w:vAlign w:val="bottom"/>
            <w:tcBorders>
              <w:bottom w:val="single" w:sz="8" w:color="auto"/>
            </w:tcBorders>
          </w:tcPr>
          <w:p>
            <w:pPr>
              <w:jc w:val="right"/>
              <w:ind w:right="92"/>
              <w:spacing w:after="0"/>
              <w:rPr>
                <w:sz w:val="20"/>
                <w:szCs w:val="20"/>
                <w:color w:val="auto"/>
              </w:rPr>
            </w:pPr>
            <w:r>
              <w:rPr>
                <w:rFonts w:ascii="Arial" w:cs="Arial" w:eastAsia="Arial" w:hAnsi="Arial"/>
                <w:sz w:val="14"/>
                <w:szCs w:val="14"/>
                <w:color w:val="auto"/>
              </w:rPr>
              <w:t>3,008,515</w:t>
            </w:r>
          </w:p>
        </w:tc>
        <w:tc>
          <w:tcPr>
            <w:tcW w:w="1240" w:type="dxa"/>
            <w:vAlign w:val="bottom"/>
            <w:tcBorders>
              <w:bottom w:val="single" w:sz="8" w:color="auto"/>
            </w:tcBorders>
          </w:tcPr>
          <w:p>
            <w:pPr>
              <w:jc w:val="right"/>
              <w:ind w:right="112"/>
              <w:spacing w:after="0"/>
              <w:rPr>
                <w:sz w:val="20"/>
                <w:szCs w:val="20"/>
                <w:color w:val="auto"/>
              </w:rPr>
            </w:pPr>
            <w:r>
              <w:rPr>
                <w:rFonts w:ascii="Arial" w:cs="Arial" w:eastAsia="Arial" w:hAnsi="Arial"/>
                <w:sz w:val="14"/>
                <w:szCs w:val="14"/>
                <w:color w:val="auto"/>
              </w:rPr>
              <w:t>18,198</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7,173,359</w:t>
            </w:r>
          </w:p>
        </w:tc>
      </w:tr>
      <w:tr>
        <w:trPr>
          <w:trHeight w:val="191"/>
        </w:trPr>
        <w:tc>
          <w:tcPr>
            <w:tcW w:w="1960" w:type="dxa"/>
            <w:vAlign w:val="bottom"/>
          </w:tcPr>
          <w:p>
            <w:pPr>
              <w:spacing w:after="0"/>
              <w:rPr>
                <w:sz w:val="20"/>
                <w:szCs w:val="20"/>
                <w:color w:val="auto"/>
              </w:rPr>
            </w:pPr>
            <w:r>
              <w:rPr>
                <w:rFonts w:ascii="Arial" w:cs="Arial" w:eastAsia="Arial" w:hAnsi="Arial"/>
                <w:sz w:val="14"/>
                <w:szCs w:val="14"/>
                <w:color w:val="231F20"/>
              </w:rPr>
              <w:t>President and Chief</w:t>
            </w:r>
          </w:p>
        </w:tc>
        <w:tc>
          <w:tcPr>
            <w:tcW w:w="660" w:type="dxa"/>
            <w:vAlign w:val="bottom"/>
            <w:tcBorders>
              <w:bottom w:val="single" w:sz="8" w:color="auto"/>
            </w:tcBorders>
          </w:tcPr>
          <w:p>
            <w:pPr>
              <w:ind w:left="180"/>
              <w:spacing w:after="0"/>
              <w:rPr>
                <w:sz w:val="20"/>
                <w:szCs w:val="20"/>
                <w:color w:val="auto"/>
              </w:rPr>
            </w:pPr>
            <w:r>
              <w:rPr>
                <w:rFonts w:ascii="Arial" w:cs="Arial" w:eastAsia="Arial" w:hAnsi="Arial"/>
                <w:sz w:val="14"/>
                <w:szCs w:val="14"/>
                <w:color w:val="auto"/>
              </w:rPr>
              <w:t>2019</w:t>
            </w:r>
          </w:p>
        </w:tc>
        <w:tc>
          <w:tcPr>
            <w:tcW w:w="840" w:type="dxa"/>
            <w:vAlign w:val="bottom"/>
            <w:tcBorders>
              <w:bottom w:val="single" w:sz="8" w:color="auto"/>
            </w:tcBorders>
          </w:tcPr>
          <w:p>
            <w:pPr>
              <w:jc w:val="right"/>
              <w:ind w:right="92"/>
              <w:spacing w:after="0"/>
              <w:rPr>
                <w:sz w:val="20"/>
                <w:szCs w:val="20"/>
                <w:color w:val="auto"/>
              </w:rPr>
            </w:pPr>
            <w:r>
              <w:rPr>
                <w:rFonts w:ascii="Arial" w:cs="Arial" w:eastAsia="Arial" w:hAnsi="Arial"/>
                <w:sz w:val="14"/>
                <w:szCs w:val="14"/>
                <w:color w:val="auto"/>
              </w:rPr>
              <w:t>792,909</w:t>
            </w:r>
          </w:p>
        </w:tc>
        <w:tc>
          <w:tcPr>
            <w:tcW w:w="760" w:type="dxa"/>
            <w:vAlign w:val="bottom"/>
            <w:tcBorders>
              <w:bottom w:val="single" w:sz="8" w:color="auto"/>
            </w:tcBorders>
          </w:tcPr>
          <w:p>
            <w:pPr>
              <w:jc w:val="right"/>
              <w:ind w:right="92"/>
              <w:spacing w:after="0"/>
              <w:rPr>
                <w:sz w:val="20"/>
                <w:szCs w:val="20"/>
                <w:color w:val="auto"/>
              </w:rPr>
            </w:pPr>
            <w:r>
              <w:rPr>
                <w:rFonts w:ascii="Arial" w:cs="Arial" w:eastAsia="Arial" w:hAnsi="Arial"/>
                <w:sz w:val="14"/>
                <w:szCs w:val="14"/>
                <w:color w:val="auto"/>
              </w:rPr>
              <w:t>—</w:t>
            </w:r>
          </w:p>
        </w:tc>
        <w:tc>
          <w:tcPr>
            <w:tcW w:w="1180" w:type="dxa"/>
            <w:vAlign w:val="bottom"/>
            <w:tcBorders>
              <w:bottom w:val="single" w:sz="8" w:color="auto"/>
            </w:tcBorders>
          </w:tcPr>
          <w:p>
            <w:pPr>
              <w:jc w:val="right"/>
              <w:ind w:right="92"/>
              <w:spacing w:after="0"/>
              <w:rPr>
                <w:sz w:val="20"/>
                <w:szCs w:val="20"/>
                <w:color w:val="auto"/>
              </w:rPr>
            </w:pPr>
            <w:r>
              <w:rPr>
                <w:rFonts w:ascii="Arial" w:cs="Arial" w:eastAsia="Arial" w:hAnsi="Arial"/>
                <w:sz w:val="14"/>
                <w:szCs w:val="14"/>
                <w:color w:val="auto"/>
              </w:rPr>
              <w:t>448,884</w:t>
            </w:r>
          </w:p>
        </w:tc>
        <w:tc>
          <w:tcPr>
            <w:tcW w:w="1240" w:type="dxa"/>
            <w:vAlign w:val="bottom"/>
            <w:tcBorders>
              <w:bottom w:val="single" w:sz="8" w:color="auto"/>
            </w:tcBorders>
          </w:tcPr>
          <w:p>
            <w:pPr>
              <w:jc w:val="right"/>
              <w:ind w:right="112"/>
              <w:spacing w:after="0"/>
              <w:rPr>
                <w:sz w:val="20"/>
                <w:szCs w:val="20"/>
                <w:color w:val="auto"/>
              </w:rPr>
            </w:pPr>
            <w:r>
              <w:rPr>
                <w:rFonts w:ascii="Arial" w:cs="Arial" w:eastAsia="Arial" w:hAnsi="Arial"/>
                <w:sz w:val="14"/>
                <w:szCs w:val="14"/>
                <w:color w:val="auto"/>
              </w:rPr>
              <w:t>997,962</w:t>
            </w:r>
          </w:p>
        </w:tc>
        <w:tc>
          <w:tcPr>
            <w:tcW w:w="1220" w:type="dxa"/>
            <w:vAlign w:val="bottom"/>
            <w:tcBorders>
              <w:bottom w:val="single" w:sz="8" w:color="auto"/>
            </w:tcBorders>
          </w:tcPr>
          <w:p>
            <w:pPr>
              <w:jc w:val="right"/>
              <w:ind w:right="92"/>
              <w:spacing w:after="0"/>
              <w:rPr>
                <w:sz w:val="20"/>
                <w:szCs w:val="20"/>
                <w:color w:val="auto"/>
              </w:rPr>
            </w:pPr>
            <w:r>
              <w:rPr>
                <w:rFonts w:ascii="Arial" w:cs="Arial" w:eastAsia="Arial" w:hAnsi="Arial"/>
                <w:sz w:val="14"/>
                <w:szCs w:val="14"/>
                <w:color w:val="auto"/>
              </w:rPr>
              <w:t>945,110</w:t>
            </w:r>
          </w:p>
        </w:tc>
        <w:tc>
          <w:tcPr>
            <w:tcW w:w="1480" w:type="dxa"/>
            <w:vAlign w:val="bottom"/>
            <w:tcBorders>
              <w:bottom w:val="single" w:sz="8" w:color="auto"/>
            </w:tcBorders>
          </w:tcPr>
          <w:p>
            <w:pPr>
              <w:jc w:val="right"/>
              <w:ind w:right="92"/>
              <w:spacing w:after="0"/>
              <w:rPr>
                <w:sz w:val="20"/>
                <w:szCs w:val="20"/>
                <w:color w:val="auto"/>
              </w:rPr>
            </w:pPr>
            <w:r>
              <w:rPr>
                <w:rFonts w:ascii="Arial" w:cs="Arial" w:eastAsia="Arial" w:hAnsi="Arial"/>
                <w:sz w:val="14"/>
                <w:szCs w:val="14"/>
                <w:color w:val="auto"/>
              </w:rPr>
              <w:t>2,610,971</w:t>
            </w:r>
          </w:p>
        </w:tc>
        <w:tc>
          <w:tcPr>
            <w:tcW w:w="1240" w:type="dxa"/>
            <w:vAlign w:val="bottom"/>
            <w:tcBorders>
              <w:bottom w:val="single" w:sz="8" w:color="auto"/>
            </w:tcBorders>
          </w:tcPr>
          <w:p>
            <w:pPr>
              <w:jc w:val="right"/>
              <w:ind w:right="112"/>
              <w:spacing w:after="0"/>
              <w:rPr>
                <w:sz w:val="20"/>
                <w:szCs w:val="20"/>
                <w:color w:val="auto"/>
              </w:rPr>
            </w:pPr>
            <w:r>
              <w:rPr>
                <w:rFonts w:ascii="Arial" w:cs="Arial" w:eastAsia="Arial" w:hAnsi="Arial"/>
                <w:sz w:val="14"/>
                <w:szCs w:val="14"/>
                <w:color w:val="auto"/>
              </w:rPr>
              <w:t>15,190</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5,811,026</w:t>
            </w:r>
          </w:p>
        </w:tc>
      </w:tr>
      <w:tr>
        <w:trPr>
          <w:trHeight w:val="200"/>
        </w:trPr>
        <w:tc>
          <w:tcPr>
            <w:tcW w:w="196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Executive Officer</w:t>
            </w:r>
          </w:p>
        </w:tc>
        <w:tc>
          <w:tcPr>
            <w:tcW w:w="660" w:type="dxa"/>
            <w:vAlign w:val="bottom"/>
            <w:tcBorders>
              <w:bottom w:val="single" w:sz="8" w:color="auto"/>
            </w:tcBorders>
          </w:tcPr>
          <w:p>
            <w:pPr>
              <w:ind w:left="180"/>
              <w:spacing w:after="0"/>
              <w:rPr>
                <w:sz w:val="20"/>
                <w:szCs w:val="20"/>
                <w:color w:val="auto"/>
              </w:rPr>
            </w:pPr>
            <w:r>
              <w:rPr>
                <w:rFonts w:ascii="Arial" w:cs="Arial" w:eastAsia="Arial" w:hAnsi="Arial"/>
                <w:sz w:val="14"/>
                <w:szCs w:val="14"/>
                <w:color w:val="auto"/>
              </w:rPr>
              <w:t>2018</w:t>
            </w:r>
          </w:p>
        </w:tc>
        <w:tc>
          <w:tcPr>
            <w:tcW w:w="840" w:type="dxa"/>
            <w:vAlign w:val="bottom"/>
            <w:tcBorders>
              <w:bottom w:val="single" w:sz="8" w:color="auto"/>
            </w:tcBorders>
          </w:tcPr>
          <w:p>
            <w:pPr>
              <w:jc w:val="right"/>
              <w:ind w:right="92"/>
              <w:spacing w:after="0"/>
              <w:rPr>
                <w:sz w:val="20"/>
                <w:szCs w:val="20"/>
                <w:color w:val="auto"/>
              </w:rPr>
            </w:pPr>
            <w:r>
              <w:rPr>
                <w:rFonts w:ascii="Arial" w:cs="Arial" w:eastAsia="Arial" w:hAnsi="Arial"/>
                <w:sz w:val="14"/>
                <w:szCs w:val="14"/>
                <w:color w:val="auto"/>
              </w:rPr>
              <w:t>749,321</w:t>
            </w:r>
          </w:p>
        </w:tc>
        <w:tc>
          <w:tcPr>
            <w:tcW w:w="760" w:type="dxa"/>
            <w:vAlign w:val="bottom"/>
            <w:tcBorders>
              <w:bottom w:val="single" w:sz="8" w:color="auto"/>
            </w:tcBorders>
          </w:tcPr>
          <w:p>
            <w:pPr>
              <w:jc w:val="right"/>
              <w:ind w:right="92"/>
              <w:spacing w:after="0"/>
              <w:rPr>
                <w:sz w:val="20"/>
                <w:szCs w:val="20"/>
                <w:color w:val="auto"/>
              </w:rPr>
            </w:pPr>
            <w:r>
              <w:rPr>
                <w:rFonts w:ascii="Arial" w:cs="Arial" w:eastAsia="Arial" w:hAnsi="Arial"/>
                <w:sz w:val="14"/>
                <w:szCs w:val="14"/>
                <w:color w:val="auto"/>
              </w:rPr>
              <w:t>—</w:t>
            </w:r>
          </w:p>
        </w:tc>
        <w:tc>
          <w:tcPr>
            <w:tcW w:w="1180" w:type="dxa"/>
            <w:vAlign w:val="bottom"/>
            <w:tcBorders>
              <w:bottom w:val="single" w:sz="8" w:color="auto"/>
            </w:tcBorders>
          </w:tcPr>
          <w:p>
            <w:pPr>
              <w:jc w:val="right"/>
              <w:ind w:right="92"/>
              <w:spacing w:after="0"/>
              <w:rPr>
                <w:sz w:val="20"/>
                <w:szCs w:val="20"/>
                <w:color w:val="auto"/>
              </w:rPr>
            </w:pPr>
            <w:r>
              <w:rPr>
                <w:rFonts w:ascii="Arial" w:cs="Arial" w:eastAsia="Arial" w:hAnsi="Arial"/>
                <w:sz w:val="14"/>
                <w:szCs w:val="14"/>
                <w:color w:val="auto"/>
              </w:rPr>
              <w:t>1,158,719</w:t>
            </w:r>
          </w:p>
        </w:tc>
        <w:tc>
          <w:tcPr>
            <w:tcW w:w="1240" w:type="dxa"/>
            <w:vAlign w:val="bottom"/>
            <w:tcBorders>
              <w:bottom w:val="single" w:sz="8" w:color="auto"/>
            </w:tcBorders>
          </w:tcPr>
          <w:p>
            <w:pPr>
              <w:jc w:val="right"/>
              <w:ind w:right="112"/>
              <w:spacing w:after="0"/>
              <w:rPr>
                <w:sz w:val="20"/>
                <w:szCs w:val="20"/>
                <w:color w:val="auto"/>
              </w:rPr>
            </w:pPr>
            <w:r>
              <w:rPr>
                <w:rFonts w:ascii="Arial" w:cs="Arial" w:eastAsia="Arial" w:hAnsi="Arial"/>
                <w:sz w:val="14"/>
                <w:szCs w:val="14"/>
                <w:color w:val="auto"/>
              </w:rPr>
              <w:t>178,220</w:t>
            </w:r>
          </w:p>
        </w:tc>
        <w:tc>
          <w:tcPr>
            <w:tcW w:w="1220" w:type="dxa"/>
            <w:vAlign w:val="bottom"/>
            <w:tcBorders>
              <w:bottom w:val="single" w:sz="8" w:color="auto"/>
            </w:tcBorders>
          </w:tcPr>
          <w:p>
            <w:pPr>
              <w:jc w:val="right"/>
              <w:ind w:right="92"/>
              <w:spacing w:after="0"/>
              <w:rPr>
                <w:sz w:val="20"/>
                <w:szCs w:val="20"/>
                <w:color w:val="auto"/>
              </w:rPr>
            </w:pPr>
            <w:r>
              <w:rPr>
                <w:rFonts w:ascii="Arial" w:cs="Arial" w:eastAsia="Arial" w:hAnsi="Arial"/>
                <w:sz w:val="14"/>
                <w:szCs w:val="14"/>
                <w:color w:val="auto"/>
              </w:rPr>
              <w:t>913,122</w:t>
            </w:r>
          </w:p>
        </w:tc>
        <w:tc>
          <w:tcPr>
            <w:tcW w:w="1480" w:type="dxa"/>
            <w:vAlign w:val="bottom"/>
            <w:tcBorders>
              <w:bottom w:val="single" w:sz="8" w:color="auto"/>
            </w:tcBorders>
          </w:tcPr>
          <w:p>
            <w:pPr>
              <w:jc w:val="right"/>
              <w:ind w:right="92"/>
              <w:spacing w:after="0"/>
              <w:rPr>
                <w:sz w:val="20"/>
                <w:szCs w:val="20"/>
                <w:color w:val="auto"/>
              </w:rPr>
            </w:pPr>
            <w:r>
              <w:rPr>
                <w:rFonts w:ascii="Arial" w:cs="Arial" w:eastAsia="Arial" w:hAnsi="Arial"/>
                <w:sz w:val="14"/>
                <w:szCs w:val="14"/>
                <w:color w:val="auto"/>
              </w:rPr>
              <w:t>535,338</w:t>
            </w:r>
          </w:p>
        </w:tc>
        <w:tc>
          <w:tcPr>
            <w:tcW w:w="1240" w:type="dxa"/>
            <w:vAlign w:val="bottom"/>
            <w:tcBorders>
              <w:bottom w:val="single" w:sz="8" w:color="auto"/>
            </w:tcBorders>
          </w:tcPr>
          <w:p>
            <w:pPr>
              <w:jc w:val="right"/>
              <w:ind w:right="112"/>
              <w:spacing w:after="0"/>
              <w:rPr>
                <w:sz w:val="20"/>
                <w:szCs w:val="20"/>
                <w:color w:val="auto"/>
              </w:rPr>
            </w:pPr>
            <w:r>
              <w:rPr>
                <w:rFonts w:ascii="Arial" w:cs="Arial" w:eastAsia="Arial" w:hAnsi="Arial"/>
                <w:sz w:val="14"/>
                <w:szCs w:val="14"/>
                <w:color w:val="auto"/>
              </w:rPr>
              <w:t>17,957</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3,552,677</w:t>
            </w:r>
          </w:p>
        </w:tc>
      </w:tr>
      <w:tr>
        <w:trPr>
          <w:trHeight w:val="199"/>
        </w:trPr>
        <w:tc>
          <w:tcPr>
            <w:tcW w:w="1960" w:type="dxa"/>
            <w:vAlign w:val="bottom"/>
          </w:tcPr>
          <w:p>
            <w:pPr>
              <w:spacing w:after="0"/>
              <w:rPr>
                <w:sz w:val="20"/>
                <w:szCs w:val="20"/>
                <w:color w:val="auto"/>
              </w:rPr>
            </w:pPr>
            <w:r>
              <w:rPr>
                <w:rFonts w:ascii="Arial" w:cs="Arial" w:eastAsia="Arial" w:hAnsi="Arial"/>
                <w:sz w:val="14"/>
                <w:szCs w:val="14"/>
                <w:b w:val="1"/>
                <w:bCs w:val="1"/>
                <w:color w:val="455986"/>
              </w:rPr>
              <w:t>Daniel J. Schuller</w:t>
            </w:r>
          </w:p>
        </w:tc>
        <w:tc>
          <w:tcPr>
            <w:tcW w:w="660" w:type="dxa"/>
            <w:vAlign w:val="bottom"/>
            <w:tcBorders>
              <w:bottom w:val="single" w:sz="8" w:color="auto"/>
            </w:tcBorders>
          </w:tcPr>
          <w:p>
            <w:pPr>
              <w:ind w:left="180"/>
              <w:spacing w:after="0"/>
              <w:rPr>
                <w:sz w:val="20"/>
                <w:szCs w:val="20"/>
                <w:color w:val="auto"/>
              </w:rPr>
            </w:pPr>
            <w:r>
              <w:rPr>
                <w:rFonts w:ascii="Arial" w:cs="Arial" w:eastAsia="Arial" w:hAnsi="Arial"/>
                <w:sz w:val="14"/>
                <w:szCs w:val="14"/>
                <w:color w:val="auto"/>
              </w:rPr>
              <w:t>2020</w:t>
            </w:r>
          </w:p>
        </w:tc>
        <w:tc>
          <w:tcPr>
            <w:tcW w:w="840" w:type="dxa"/>
            <w:vAlign w:val="bottom"/>
            <w:tcBorders>
              <w:bottom w:val="single" w:sz="8" w:color="auto"/>
            </w:tcBorders>
          </w:tcPr>
          <w:p>
            <w:pPr>
              <w:jc w:val="right"/>
              <w:ind w:right="92"/>
              <w:spacing w:after="0"/>
              <w:rPr>
                <w:sz w:val="20"/>
                <w:szCs w:val="20"/>
                <w:color w:val="auto"/>
              </w:rPr>
            </w:pPr>
            <w:r>
              <w:rPr>
                <w:rFonts w:ascii="Arial" w:cs="Arial" w:eastAsia="Arial" w:hAnsi="Arial"/>
                <w:sz w:val="14"/>
                <w:szCs w:val="14"/>
                <w:color w:val="auto"/>
              </w:rPr>
              <w:t>442,515</w:t>
            </w:r>
          </w:p>
        </w:tc>
        <w:tc>
          <w:tcPr>
            <w:tcW w:w="760" w:type="dxa"/>
            <w:vAlign w:val="bottom"/>
            <w:tcBorders>
              <w:bottom w:val="single" w:sz="8" w:color="auto"/>
            </w:tcBorders>
          </w:tcPr>
          <w:p>
            <w:pPr>
              <w:jc w:val="right"/>
              <w:ind w:right="92"/>
              <w:spacing w:after="0"/>
              <w:rPr>
                <w:sz w:val="20"/>
                <w:szCs w:val="20"/>
                <w:color w:val="auto"/>
              </w:rPr>
            </w:pPr>
            <w:r>
              <w:rPr>
                <w:rFonts w:ascii="Arial" w:cs="Arial" w:eastAsia="Arial" w:hAnsi="Arial"/>
                <w:sz w:val="14"/>
                <w:szCs w:val="14"/>
                <w:color w:val="auto"/>
              </w:rPr>
              <w:t>—</w:t>
            </w:r>
          </w:p>
        </w:tc>
        <w:tc>
          <w:tcPr>
            <w:tcW w:w="1180" w:type="dxa"/>
            <w:vAlign w:val="bottom"/>
            <w:tcBorders>
              <w:bottom w:val="single" w:sz="8" w:color="auto"/>
            </w:tcBorders>
          </w:tcPr>
          <w:p>
            <w:pPr>
              <w:jc w:val="right"/>
              <w:ind w:right="92"/>
              <w:spacing w:after="0"/>
              <w:rPr>
                <w:sz w:val="20"/>
                <w:szCs w:val="20"/>
                <w:color w:val="auto"/>
              </w:rPr>
            </w:pPr>
            <w:r>
              <w:rPr>
                <w:rFonts w:ascii="Arial" w:cs="Arial" w:eastAsia="Arial" w:hAnsi="Arial"/>
                <w:sz w:val="14"/>
                <w:szCs w:val="14"/>
                <w:color w:val="auto"/>
              </w:rPr>
              <w:t>690,876</w:t>
            </w:r>
          </w:p>
        </w:tc>
        <w:tc>
          <w:tcPr>
            <w:tcW w:w="1240" w:type="dxa"/>
            <w:vAlign w:val="bottom"/>
            <w:tcBorders>
              <w:bottom w:val="single" w:sz="8" w:color="auto"/>
            </w:tcBorders>
          </w:tcPr>
          <w:p>
            <w:pPr>
              <w:jc w:val="right"/>
              <w:ind w:right="112"/>
              <w:spacing w:after="0"/>
              <w:rPr>
                <w:sz w:val="20"/>
                <w:szCs w:val="20"/>
                <w:color w:val="auto"/>
              </w:rPr>
            </w:pPr>
            <w:r>
              <w:rPr>
                <w:rFonts w:ascii="Arial" w:cs="Arial" w:eastAsia="Arial" w:hAnsi="Arial"/>
                <w:sz w:val="14"/>
                <w:szCs w:val="14"/>
                <w:color w:val="auto"/>
              </w:rPr>
              <w:t>—</w:t>
            </w:r>
          </w:p>
        </w:tc>
        <w:tc>
          <w:tcPr>
            <w:tcW w:w="1220" w:type="dxa"/>
            <w:vAlign w:val="bottom"/>
            <w:tcBorders>
              <w:bottom w:val="single" w:sz="8" w:color="auto"/>
            </w:tcBorders>
          </w:tcPr>
          <w:p>
            <w:pPr>
              <w:jc w:val="right"/>
              <w:ind w:right="92"/>
              <w:spacing w:after="0"/>
              <w:rPr>
                <w:sz w:val="20"/>
                <w:szCs w:val="20"/>
                <w:color w:val="auto"/>
              </w:rPr>
            </w:pPr>
            <w:r>
              <w:rPr>
                <w:rFonts w:ascii="Arial" w:cs="Arial" w:eastAsia="Arial" w:hAnsi="Arial"/>
                <w:sz w:val="14"/>
                <w:szCs w:val="14"/>
                <w:color w:val="auto"/>
              </w:rPr>
              <w:t>408,601</w:t>
            </w:r>
          </w:p>
        </w:tc>
        <w:tc>
          <w:tcPr>
            <w:tcW w:w="1480" w:type="dxa"/>
            <w:vAlign w:val="bottom"/>
            <w:tcBorders>
              <w:bottom w:val="single" w:sz="8" w:color="auto"/>
            </w:tcBorders>
          </w:tcPr>
          <w:p>
            <w:pPr>
              <w:jc w:val="right"/>
              <w:ind w:right="92"/>
              <w:spacing w:after="0"/>
              <w:rPr>
                <w:sz w:val="20"/>
                <w:szCs w:val="20"/>
                <w:color w:val="auto"/>
              </w:rPr>
            </w:pPr>
            <w:r>
              <w:rPr>
                <w:rFonts w:ascii="Arial" w:cs="Arial" w:eastAsia="Arial" w:hAnsi="Arial"/>
                <w:sz w:val="14"/>
                <w:szCs w:val="14"/>
                <w:color w:val="auto"/>
              </w:rPr>
              <w:t>—</w:t>
            </w:r>
          </w:p>
        </w:tc>
        <w:tc>
          <w:tcPr>
            <w:tcW w:w="1240" w:type="dxa"/>
            <w:vAlign w:val="bottom"/>
            <w:tcBorders>
              <w:bottom w:val="single" w:sz="8" w:color="auto"/>
            </w:tcBorders>
          </w:tcPr>
          <w:p>
            <w:pPr>
              <w:jc w:val="right"/>
              <w:ind w:right="112"/>
              <w:spacing w:after="0"/>
              <w:rPr>
                <w:sz w:val="20"/>
                <w:szCs w:val="20"/>
                <w:color w:val="auto"/>
              </w:rPr>
            </w:pPr>
            <w:r>
              <w:rPr>
                <w:rFonts w:ascii="Arial" w:cs="Arial" w:eastAsia="Arial" w:hAnsi="Arial"/>
                <w:sz w:val="14"/>
                <w:szCs w:val="14"/>
                <w:color w:val="auto"/>
              </w:rPr>
              <w:t>23,689</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1,565,681</w:t>
            </w:r>
          </w:p>
        </w:tc>
      </w:tr>
      <w:tr>
        <w:trPr>
          <w:trHeight w:val="191"/>
        </w:trPr>
        <w:tc>
          <w:tcPr>
            <w:tcW w:w="1960" w:type="dxa"/>
            <w:vAlign w:val="bottom"/>
          </w:tcPr>
          <w:p>
            <w:pPr>
              <w:spacing w:after="0"/>
              <w:rPr>
                <w:sz w:val="20"/>
                <w:szCs w:val="20"/>
                <w:color w:val="auto"/>
              </w:rPr>
            </w:pPr>
            <w:r>
              <w:rPr>
                <w:rFonts w:ascii="Arial" w:cs="Arial" w:eastAsia="Arial" w:hAnsi="Arial"/>
                <w:sz w:val="14"/>
                <w:szCs w:val="14"/>
                <w:color w:val="231F20"/>
                <w:w w:val="98"/>
              </w:rPr>
              <w:t>EVP and Chief Financial Officer</w:t>
            </w:r>
          </w:p>
        </w:tc>
        <w:tc>
          <w:tcPr>
            <w:tcW w:w="660" w:type="dxa"/>
            <w:vAlign w:val="bottom"/>
            <w:tcBorders>
              <w:bottom w:val="single" w:sz="8" w:color="auto"/>
            </w:tcBorders>
          </w:tcPr>
          <w:p>
            <w:pPr>
              <w:ind w:left="180"/>
              <w:spacing w:after="0"/>
              <w:rPr>
                <w:sz w:val="20"/>
                <w:szCs w:val="20"/>
                <w:color w:val="auto"/>
              </w:rPr>
            </w:pPr>
            <w:r>
              <w:rPr>
                <w:rFonts w:ascii="Arial" w:cs="Arial" w:eastAsia="Arial" w:hAnsi="Arial"/>
                <w:sz w:val="14"/>
                <w:szCs w:val="14"/>
                <w:color w:val="auto"/>
              </w:rPr>
              <w:t>2019</w:t>
            </w:r>
          </w:p>
        </w:tc>
        <w:tc>
          <w:tcPr>
            <w:tcW w:w="840" w:type="dxa"/>
            <w:vAlign w:val="bottom"/>
            <w:tcBorders>
              <w:bottom w:val="single" w:sz="8" w:color="auto"/>
            </w:tcBorders>
          </w:tcPr>
          <w:p>
            <w:pPr>
              <w:jc w:val="right"/>
              <w:ind w:right="92"/>
              <w:spacing w:after="0"/>
              <w:rPr>
                <w:sz w:val="20"/>
                <w:szCs w:val="20"/>
                <w:color w:val="auto"/>
              </w:rPr>
            </w:pPr>
            <w:r>
              <w:rPr>
                <w:rFonts w:ascii="Arial" w:cs="Arial" w:eastAsia="Arial" w:hAnsi="Arial"/>
                <w:sz w:val="14"/>
                <w:szCs w:val="14"/>
                <w:color w:val="auto"/>
              </w:rPr>
              <w:t>429,134</w:t>
            </w:r>
          </w:p>
        </w:tc>
        <w:tc>
          <w:tcPr>
            <w:tcW w:w="760" w:type="dxa"/>
            <w:vAlign w:val="bottom"/>
            <w:tcBorders>
              <w:bottom w:val="single" w:sz="8" w:color="auto"/>
            </w:tcBorders>
          </w:tcPr>
          <w:p>
            <w:pPr>
              <w:jc w:val="right"/>
              <w:ind w:right="92"/>
              <w:spacing w:after="0"/>
              <w:rPr>
                <w:sz w:val="20"/>
                <w:szCs w:val="20"/>
                <w:color w:val="auto"/>
              </w:rPr>
            </w:pPr>
            <w:r>
              <w:rPr>
                <w:rFonts w:ascii="Arial" w:cs="Arial" w:eastAsia="Arial" w:hAnsi="Arial"/>
                <w:sz w:val="14"/>
                <w:szCs w:val="14"/>
                <w:color w:val="auto"/>
              </w:rPr>
              <w:t>—</w:t>
            </w:r>
          </w:p>
        </w:tc>
        <w:tc>
          <w:tcPr>
            <w:tcW w:w="1180" w:type="dxa"/>
            <w:vAlign w:val="bottom"/>
            <w:tcBorders>
              <w:bottom w:val="single" w:sz="8" w:color="auto"/>
            </w:tcBorders>
          </w:tcPr>
          <w:p>
            <w:pPr>
              <w:jc w:val="right"/>
              <w:ind w:right="92"/>
              <w:spacing w:after="0"/>
              <w:rPr>
                <w:sz w:val="20"/>
                <w:szCs w:val="20"/>
                <w:color w:val="auto"/>
              </w:rPr>
            </w:pPr>
            <w:r>
              <w:rPr>
                <w:rFonts w:ascii="Arial" w:cs="Arial" w:eastAsia="Arial" w:hAnsi="Arial"/>
                <w:sz w:val="14"/>
                <w:szCs w:val="14"/>
                <w:color w:val="auto"/>
              </w:rPr>
              <w:t>130,355</w:t>
            </w:r>
          </w:p>
        </w:tc>
        <w:tc>
          <w:tcPr>
            <w:tcW w:w="1240" w:type="dxa"/>
            <w:vAlign w:val="bottom"/>
            <w:tcBorders>
              <w:bottom w:val="single" w:sz="8" w:color="auto"/>
            </w:tcBorders>
          </w:tcPr>
          <w:p>
            <w:pPr>
              <w:jc w:val="right"/>
              <w:ind w:right="112"/>
              <w:spacing w:after="0"/>
              <w:rPr>
                <w:sz w:val="20"/>
                <w:szCs w:val="20"/>
                <w:color w:val="auto"/>
              </w:rPr>
            </w:pPr>
            <w:r>
              <w:rPr>
                <w:rFonts w:ascii="Arial" w:cs="Arial" w:eastAsia="Arial" w:hAnsi="Arial"/>
                <w:sz w:val="14"/>
                <w:szCs w:val="14"/>
                <w:color w:val="auto"/>
              </w:rPr>
              <w:t>289,842</w:t>
            </w:r>
          </w:p>
        </w:tc>
        <w:tc>
          <w:tcPr>
            <w:tcW w:w="1220" w:type="dxa"/>
            <w:vAlign w:val="bottom"/>
            <w:tcBorders>
              <w:bottom w:val="single" w:sz="8" w:color="auto"/>
            </w:tcBorders>
          </w:tcPr>
          <w:p>
            <w:pPr>
              <w:jc w:val="right"/>
              <w:ind w:right="92"/>
              <w:spacing w:after="0"/>
              <w:rPr>
                <w:sz w:val="20"/>
                <w:szCs w:val="20"/>
                <w:color w:val="auto"/>
              </w:rPr>
            </w:pPr>
            <w:r>
              <w:rPr>
                <w:rFonts w:ascii="Arial" w:cs="Arial" w:eastAsia="Arial" w:hAnsi="Arial"/>
                <w:sz w:val="14"/>
                <w:szCs w:val="14"/>
                <w:color w:val="auto"/>
              </w:rPr>
              <w:t>341,133</w:t>
            </w:r>
          </w:p>
        </w:tc>
        <w:tc>
          <w:tcPr>
            <w:tcW w:w="1480" w:type="dxa"/>
            <w:vAlign w:val="bottom"/>
            <w:tcBorders>
              <w:bottom w:val="single" w:sz="8" w:color="auto"/>
            </w:tcBorders>
          </w:tcPr>
          <w:p>
            <w:pPr>
              <w:jc w:val="right"/>
              <w:ind w:right="92"/>
              <w:spacing w:after="0"/>
              <w:rPr>
                <w:sz w:val="20"/>
                <w:szCs w:val="20"/>
                <w:color w:val="auto"/>
              </w:rPr>
            </w:pPr>
            <w:r>
              <w:rPr>
                <w:rFonts w:ascii="Arial" w:cs="Arial" w:eastAsia="Arial" w:hAnsi="Arial"/>
                <w:sz w:val="14"/>
                <w:szCs w:val="14"/>
                <w:color w:val="auto"/>
              </w:rPr>
              <w:t>—</w:t>
            </w:r>
          </w:p>
        </w:tc>
        <w:tc>
          <w:tcPr>
            <w:tcW w:w="1240" w:type="dxa"/>
            <w:vAlign w:val="bottom"/>
            <w:tcBorders>
              <w:bottom w:val="single" w:sz="8" w:color="auto"/>
            </w:tcBorders>
          </w:tcPr>
          <w:p>
            <w:pPr>
              <w:jc w:val="right"/>
              <w:ind w:right="112"/>
              <w:spacing w:after="0"/>
              <w:rPr>
                <w:sz w:val="20"/>
                <w:szCs w:val="20"/>
                <w:color w:val="auto"/>
              </w:rPr>
            </w:pPr>
            <w:r>
              <w:rPr>
                <w:rFonts w:ascii="Arial" w:cs="Arial" w:eastAsia="Arial" w:hAnsi="Arial"/>
                <w:sz w:val="14"/>
                <w:szCs w:val="14"/>
                <w:color w:val="auto"/>
              </w:rPr>
              <w:t>31,451</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1,221,915</w:t>
            </w:r>
          </w:p>
        </w:tc>
      </w:tr>
      <w:tr>
        <w:trPr>
          <w:trHeight w:val="200"/>
        </w:trPr>
        <w:tc>
          <w:tcPr>
            <w:tcW w:w="196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Principal Financial Officer</w:t>
            </w:r>
          </w:p>
        </w:tc>
        <w:tc>
          <w:tcPr>
            <w:tcW w:w="660" w:type="dxa"/>
            <w:vAlign w:val="bottom"/>
            <w:tcBorders>
              <w:bottom w:val="single" w:sz="8" w:color="auto"/>
            </w:tcBorders>
          </w:tcPr>
          <w:p>
            <w:pPr>
              <w:ind w:left="180"/>
              <w:spacing w:after="0"/>
              <w:rPr>
                <w:sz w:val="20"/>
                <w:szCs w:val="20"/>
                <w:color w:val="auto"/>
              </w:rPr>
            </w:pPr>
            <w:r>
              <w:rPr>
                <w:rFonts w:ascii="Arial" w:cs="Arial" w:eastAsia="Arial" w:hAnsi="Arial"/>
                <w:sz w:val="14"/>
                <w:szCs w:val="14"/>
                <w:color w:val="auto"/>
              </w:rPr>
              <w:t>2018</w:t>
            </w:r>
          </w:p>
        </w:tc>
        <w:tc>
          <w:tcPr>
            <w:tcW w:w="840" w:type="dxa"/>
            <w:vAlign w:val="bottom"/>
            <w:tcBorders>
              <w:bottom w:val="single" w:sz="8" w:color="auto"/>
            </w:tcBorders>
          </w:tcPr>
          <w:p>
            <w:pPr>
              <w:jc w:val="right"/>
              <w:ind w:right="92"/>
              <w:spacing w:after="0"/>
              <w:rPr>
                <w:sz w:val="20"/>
                <w:szCs w:val="20"/>
                <w:color w:val="auto"/>
              </w:rPr>
            </w:pPr>
            <w:r>
              <w:rPr>
                <w:rFonts w:ascii="Arial" w:cs="Arial" w:eastAsia="Arial" w:hAnsi="Arial"/>
                <w:sz w:val="14"/>
                <w:szCs w:val="14"/>
                <w:color w:val="auto"/>
              </w:rPr>
              <w:t>392,384</w:t>
            </w:r>
          </w:p>
        </w:tc>
        <w:tc>
          <w:tcPr>
            <w:tcW w:w="760" w:type="dxa"/>
            <w:vAlign w:val="bottom"/>
            <w:tcBorders>
              <w:bottom w:val="single" w:sz="8" w:color="auto"/>
            </w:tcBorders>
          </w:tcPr>
          <w:p>
            <w:pPr>
              <w:jc w:val="right"/>
              <w:ind w:right="92"/>
              <w:spacing w:after="0"/>
              <w:rPr>
                <w:sz w:val="20"/>
                <w:szCs w:val="20"/>
                <w:color w:val="auto"/>
              </w:rPr>
            </w:pPr>
            <w:r>
              <w:rPr>
                <w:rFonts w:ascii="Arial" w:cs="Arial" w:eastAsia="Arial" w:hAnsi="Arial"/>
                <w:sz w:val="14"/>
                <w:szCs w:val="14"/>
                <w:color w:val="auto"/>
              </w:rPr>
              <w:t>—</w:t>
            </w:r>
          </w:p>
        </w:tc>
        <w:tc>
          <w:tcPr>
            <w:tcW w:w="1180" w:type="dxa"/>
            <w:vAlign w:val="bottom"/>
            <w:tcBorders>
              <w:bottom w:val="single" w:sz="8" w:color="auto"/>
            </w:tcBorders>
          </w:tcPr>
          <w:p>
            <w:pPr>
              <w:jc w:val="right"/>
              <w:ind w:right="92"/>
              <w:spacing w:after="0"/>
              <w:rPr>
                <w:sz w:val="20"/>
                <w:szCs w:val="20"/>
                <w:color w:val="auto"/>
              </w:rPr>
            </w:pPr>
            <w:r>
              <w:rPr>
                <w:rFonts w:ascii="Arial" w:cs="Arial" w:eastAsia="Arial" w:hAnsi="Arial"/>
                <w:sz w:val="14"/>
                <w:szCs w:val="14"/>
                <w:color w:val="auto"/>
              </w:rPr>
              <w:t>289,223</w:t>
            </w:r>
          </w:p>
        </w:tc>
        <w:tc>
          <w:tcPr>
            <w:tcW w:w="1240" w:type="dxa"/>
            <w:vAlign w:val="bottom"/>
            <w:tcBorders>
              <w:bottom w:val="single" w:sz="8" w:color="auto"/>
            </w:tcBorders>
          </w:tcPr>
          <w:p>
            <w:pPr>
              <w:jc w:val="right"/>
              <w:ind w:right="112"/>
              <w:spacing w:after="0"/>
              <w:rPr>
                <w:sz w:val="20"/>
                <w:szCs w:val="20"/>
                <w:color w:val="auto"/>
              </w:rPr>
            </w:pPr>
            <w:r>
              <w:rPr>
                <w:rFonts w:ascii="Arial" w:cs="Arial" w:eastAsia="Arial" w:hAnsi="Arial"/>
                <w:sz w:val="14"/>
                <w:szCs w:val="14"/>
                <w:color w:val="auto"/>
              </w:rPr>
              <w:t>44,487</w:t>
            </w:r>
          </w:p>
        </w:tc>
        <w:tc>
          <w:tcPr>
            <w:tcW w:w="1220" w:type="dxa"/>
            <w:vAlign w:val="bottom"/>
            <w:tcBorders>
              <w:bottom w:val="single" w:sz="8" w:color="auto"/>
            </w:tcBorders>
          </w:tcPr>
          <w:p>
            <w:pPr>
              <w:jc w:val="right"/>
              <w:ind w:right="92"/>
              <w:spacing w:after="0"/>
              <w:rPr>
                <w:sz w:val="20"/>
                <w:szCs w:val="20"/>
                <w:color w:val="auto"/>
              </w:rPr>
            </w:pPr>
            <w:r>
              <w:rPr>
                <w:rFonts w:ascii="Arial" w:cs="Arial" w:eastAsia="Arial" w:hAnsi="Arial"/>
                <w:sz w:val="14"/>
                <w:szCs w:val="14"/>
                <w:color w:val="auto"/>
              </w:rPr>
              <w:t>326,439</w:t>
            </w:r>
          </w:p>
        </w:tc>
        <w:tc>
          <w:tcPr>
            <w:tcW w:w="1480" w:type="dxa"/>
            <w:vAlign w:val="bottom"/>
            <w:tcBorders>
              <w:bottom w:val="single" w:sz="8" w:color="auto"/>
            </w:tcBorders>
          </w:tcPr>
          <w:p>
            <w:pPr>
              <w:jc w:val="right"/>
              <w:ind w:right="92"/>
              <w:spacing w:after="0"/>
              <w:rPr>
                <w:sz w:val="20"/>
                <w:szCs w:val="20"/>
                <w:color w:val="auto"/>
              </w:rPr>
            </w:pPr>
            <w:r>
              <w:rPr>
                <w:rFonts w:ascii="Arial" w:cs="Arial" w:eastAsia="Arial" w:hAnsi="Arial"/>
                <w:sz w:val="14"/>
                <w:szCs w:val="14"/>
                <w:color w:val="auto"/>
              </w:rPr>
              <w:t>—</w:t>
            </w:r>
          </w:p>
        </w:tc>
        <w:tc>
          <w:tcPr>
            <w:tcW w:w="1240" w:type="dxa"/>
            <w:vAlign w:val="bottom"/>
            <w:tcBorders>
              <w:bottom w:val="single" w:sz="8" w:color="auto"/>
            </w:tcBorders>
          </w:tcPr>
          <w:p>
            <w:pPr>
              <w:jc w:val="right"/>
              <w:ind w:right="112"/>
              <w:spacing w:after="0"/>
              <w:rPr>
                <w:sz w:val="20"/>
                <w:szCs w:val="20"/>
                <w:color w:val="auto"/>
              </w:rPr>
            </w:pPr>
            <w:r>
              <w:rPr>
                <w:rFonts w:ascii="Arial" w:cs="Arial" w:eastAsia="Arial" w:hAnsi="Arial"/>
                <w:sz w:val="14"/>
                <w:szCs w:val="14"/>
                <w:color w:val="auto"/>
              </w:rPr>
              <w:t>150,121</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1,202,654</w:t>
            </w:r>
          </w:p>
        </w:tc>
      </w:tr>
      <w:tr>
        <w:trPr>
          <w:trHeight w:val="199"/>
        </w:trPr>
        <w:tc>
          <w:tcPr>
            <w:tcW w:w="1960" w:type="dxa"/>
            <w:vAlign w:val="bottom"/>
          </w:tcPr>
          <w:p>
            <w:pPr>
              <w:spacing w:after="0"/>
              <w:rPr>
                <w:sz w:val="20"/>
                <w:szCs w:val="20"/>
                <w:color w:val="auto"/>
              </w:rPr>
            </w:pPr>
            <w:r>
              <w:rPr>
                <w:rFonts w:ascii="Arial" w:cs="Arial" w:eastAsia="Arial" w:hAnsi="Arial"/>
                <w:sz w:val="14"/>
                <w:szCs w:val="14"/>
                <w:b w:val="1"/>
                <w:bCs w:val="1"/>
                <w:color w:val="455986"/>
              </w:rPr>
              <w:t>Richard S. Fox</w:t>
            </w:r>
          </w:p>
        </w:tc>
        <w:tc>
          <w:tcPr>
            <w:tcW w:w="660" w:type="dxa"/>
            <w:vAlign w:val="bottom"/>
            <w:tcBorders>
              <w:bottom w:val="single" w:sz="8" w:color="auto"/>
            </w:tcBorders>
          </w:tcPr>
          <w:p>
            <w:pPr>
              <w:ind w:left="180"/>
              <w:spacing w:after="0"/>
              <w:rPr>
                <w:sz w:val="20"/>
                <w:szCs w:val="20"/>
                <w:color w:val="auto"/>
              </w:rPr>
            </w:pPr>
            <w:r>
              <w:rPr>
                <w:rFonts w:ascii="Arial" w:cs="Arial" w:eastAsia="Arial" w:hAnsi="Arial"/>
                <w:sz w:val="14"/>
                <w:szCs w:val="14"/>
                <w:color w:val="auto"/>
              </w:rPr>
              <w:t>2020</w:t>
            </w:r>
          </w:p>
        </w:tc>
        <w:tc>
          <w:tcPr>
            <w:tcW w:w="840" w:type="dxa"/>
            <w:vAlign w:val="bottom"/>
            <w:tcBorders>
              <w:bottom w:val="single" w:sz="8" w:color="auto"/>
            </w:tcBorders>
          </w:tcPr>
          <w:p>
            <w:pPr>
              <w:jc w:val="right"/>
              <w:ind w:right="92"/>
              <w:spacing w:after="0"/>
              <w:rPr>
                <w:sz w:val="20"/>
                <w:szCs w:val="20"/>
                <w:color w:val="auto"/>
              </w:rPr>
            </w:pPr>
            <w:r>
              <w:rPr>
                <w:rFonts w:ascii="Arial" w:cs="Arial" w:eastAsia="Arial" w:hAnsi="Arial"/>
                <w:sz w:val="14"/>
                <w:szCs w:val="14"/>
                <w:color w:val="auto"/>
              </w:rPr>
              <w:t>425,454</w:t>
            </w:r>
          </w:p>
        </w:tc>
        <w:tc>
          <w:tcPr>
            <w:tcW w:w="760" w:type="dxa"/>
            <w:vAlign w:val="bottom"/>
            <w:tcBorders>
              <w:bottom w:val="single" w:sz="8" w:color="auto"/>
            </w:tcBorders>
          </w:tcPr>
          <w:p>
            <w:pPr>
              <w:jc w:val="right"/>
              <w:ind w:right="92"/>
              <w:spacing w:after="0"/>
              <w:rPr>
                <w:sz w:val="20"/>
                <w:szCs w:val="20"/>
                <w:color w:val="auto"/>
              </w:rPr>
            </w:pPr>
            <w:r>
              <w:rPr>
                <w:rFonts w:ascii="Arial" w:cs="Arial" w:eastAsia="Arial" w:hAnsi="Arial"/>
                <w:sz w:val="14"/>
                <w:szCs w:val="14"/>
                <w:color w:val="auto"/>
              </w:rPr>
              <w:t>—</w:t>
            </w:r>
          </w:p>
        </w:tc>
        <w:tc>
          <w:tcPr>
            <w:tcW w:w="1180" w:type="dxa"/>
            <w:vAlign w:val="bottom"/>
            <w:tcBorders>
              <w:bottom w:val="single" w:sz="8" w:color="auto"/>
            </w:tcBorders>
          </w:tcPr>
          <w:p>
            <w:pPr>
              <w:jc w:val="right"/>
              <w:ind w:right="92"/>
              <w:spacing w:after="0"/>
              <w:rPr>
                <w:sz w:val="20"/>
                <w:szCs w:val="20"/>
                <w:color w:val="auto"/>
              </w:rPr>
            </w:pPr>
            <w:r>
              <w:rPr>
                <w:rFonts w:ascii="Arial" w:cs="Arial" w:eastAsia="Arial" w:hAnsi="Arial"/>
                <w:sz w:val="14"/>
                <w:szCs w:val="14"/>
                <w:color w:val="auto"/>
              </w:rPr>
              <w:t>695,083</w:t>
            </w:r>
          </w:p>
        </w:tc>
        <w:tc>
          <w:tcPr>
            <w:tcW w:w="1240" w:type="dxa"/>
            <w:vAlign w:val="bottom"/>
            <w:tcBorders>
              <w:bottom w:val="single" w:sz="8" w:color="auto"/>
            </w:tcBorders>
          </w:tcPr>
          <w:p>
            <w:pPr>
              <w:jc w:val="right"/>
              <w:ind w:right="112"/>
              <w:spacing w:after="0"/>
              <w:rPr>
                <w:sz w:val="20"/>
                <w:szCs w:val="20"/>
                <w:color w:val="auto"/>
              </w:rPr>
            </w:pPr>
            <w:r>
              <w:rPr>
                <w:rFonts w:ascii="Arial" w:cs="Arial" w:eastAsia="Arial" w:hAnsi="Arial"/>
                <w:sz w:val="14"/>
                <w:szCs w:val="14"/>
                <w:color w:val="auto"/>
              </w:rPr>
              <w:t>—</w:t>
            </w:r>
          </w:p>
        </w:tc>
        <w:tc>
          <w:tcPr>
            <w:tcW w:w="1220" w:type="dxa"/>
            <w:vAlign w:val="bottom"/>
            <w:tcBorders>
              <w:bottom w:val="single" w:sz="8" w:color="auto"/>
            </w:tcBorders>
          </w:tcPr>
          <w:p>
            <w:pPr>
              <w:jc w:val="right"/>
              <w:ind w:right="92"/>
              <w:spacing w:after="0"/>
              <w:rPr>
                <w:sz w:val="20"/>
                <w:szCs w:val="20"/>
                <w:color w:val="auto"/>
              </w:rPr>
            </w:pPr>
            <w:r>
              <w:rPr>
                <w:rFonts w:ascii="Arial" w:cs="Arial" w:eastAsia="Arial" w:hAnsi="Arial"/>
                <w:sz w:val="14"/>
                <w:szCs w:val="14"/>
                <w:color w:val="auto"/>
              </w:rPr>
              <w:t>396,991</w:t>
            </w:r>
          </w:p>
        </w:tc>
        <w:tc>
          <w:tcPr>
            <w:tcW w:w="1480" w:type="dxa"/>
            <w:vAlign w:val="bottom"/>
            <w:tcBorders>
              <w:bottom w:val="single" w:sz="8" w:color="auto"/>
            </w:tcBorders>
          </w:tcPr>
          <w:p>
            <w:pPr>
              <w:jc w:val="right"/>
              <w:ind w:right="92"/>
              <w:spacing w:after="0"/>
              <w:rPr>
                <w:sz w:val="20"/>
                <w:szCs w:val="20"/>
                <w:color w:val="auto"/>
              </w:rPr>
            </w:pPr>
            <w:r>
              <w:rPr>
                <w:rFonts w:ascii="Arial" w:cs="Arial" w:eastAsia="Arial" w:hAnsi="Arial"/>
                <w:sz w:val="14"/>
                <w:szCs w:val="14"/>
                <w:color w:val="auto"/>
              </w:rPr>
              <w:t>821,694</w:t>
            </w:r>
          </w:p>
        </w:tc>
        <w:tc>
          <w:tcPr>
            <w:tcW w:w="1240" w:type="dxa"/>
            <w:vAlign w:val="bottom"/>
            <w:tcBorders>
              <w:bottom w:val="single" w:sz="8" w:color="auto"/>
            </w:tcBorders>
          </w:tcPr>
          <w:p>
            <w:pPr>
              <w:jc w:val="right"/>
              <w:ind w:right="112"/>
              <w:spacing w:after="0"/>
              <w:rPr>
                <w:sz w:val="20"/>
                <w:szCs w:val="20"/>
                <w:color w:val="auto"/>
              </w:rPr>
            </w:pPr>
            <w:r>
              <w:rPr>
                <w:rFonts w:ascii="Arial" w:cs="Arial" w:eastAsia="Arial" w:hAnsi="Arial"/>
                <w:sz w:val="14"/>
                <w:szCs w:val="14"/>
                <w:color w:val="auto"/>
              </w:rPr>
              <w:t>15,901</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2,355,123</w:t>
            </w:r>
          </w:p>
        </w:tc>
      </w:tr>
      <w:tr>
        <w:trPr>
          <w:trHeight w:val="194"/>
        </w:trPr>
        <w:tc>
          <w:tcPr>
            <w:tcW w:w="1960" w:type="dxa"/>
            <w:vAlign w:val="bottom"/>
          </w:tcPr>
          <w:p>
            <w:pPr>
              <w:spacing w:after="0"/>
              <w:rPr>
                <w:sz w:val="20"/>
                <w:szCs w:val="20"/>
                <w:color w:val="auto"/>
              </w:rPr>
            </w:pPr>
            <w:r>
              <w:rPr>
                <w:rFonts w:ascii="Arial" w:cs="Arial" w:eastAsia="Arial" w:hAnsi="Arial"/>
                <w:sz w:val="14"/>
                <w:szCs w:val="14"/>
                <w:color w:val="231F20"/>
                <w:w w:val="95"/>
              </w:rPr>
              <w:t>EVP and Chief Operating Officer</w:t>
            </w:r>
          </w:p>
        </w:tc>
        <w:tc>
          <w:tcPr>
            <w:tcW w:w="660" w:type="dxa"/>
            <w:vAlign w:val="bottom"/>
            <w:tcBorders>
              <w:bottom w:val="single" w:sz="8" w:color="auto"/>
            </w:tcBorders>
          </w:tcPr>
          <w:p>
            <w:pPr>
              <w:ind w:left="180"/>
              <w:spacing w:after="0"/>
              <w:rPr>
                <w:sz w:val="20"/>
                <w:szCs w:val="20"/>
                <w:color w:val="auto"/>
              </w:rPr>
            </w:pPr>
            <w:r>
              <w:rPr>
                <w:rFonts w:ascii="Arial" w:cs="Arial" w:eastAsia="Arial" w:hAnsi="Arial"/>
                <w:sz w:val="14"/>
                <w:szCs w:val="14"/>
                <w:color w:val="auto"/>
              </w:rPr>
              <w:t>2019</w:t>
            </w:r>
          </w:p>
        </w:tc>
        <w:tc>
          <w:tcPr>
            <w:tcW w:w="840" w:type="dxa"/>
            <w:vAlign w:val="bottom"/>
            <w:tcBorders>
              <w:bottom w:val="single" w:sz="8" w:color="auto"/>
            </w:tcBorders>
          </w:tcPr>
          <w:p>
            <w:pPr>
              <w:jc w:val="right"/>
              <w:ind w:right="92"/>
              <w:spacing w:after="0"/>
              <w:rPr>
                <w:sz w:val="20"/>
                <w:szCs w:val="20"/>
                <w:color w:val="auto"/>
              </w:rPr>
            </w:pPr>
            <w:r>
              <w:rPr>
                <w:rFonts w:ascii="Arial" w:cs="Arial" w:eastAsia="Arial" w:hAnsi="Arial"/>
                <w:sz w:val="14"/>
                <w:szCs w:val="14"/>
                <w:color w:val="auto"/>
              </w:rPr>
              <w:t>394,682</w:t>
            </w:r>
          </w:p>
        </w:tc>
        <w:tc>
          <w:tcPr>
            <w:tcW w:w="760" w:type="dxa"/>
            <w:vAlign w:val="bottom"/>
            <w:tcBorders>
              <w:bottom w:val="single" w:sz="8" w:color="auto"/>
            </w:tcBorders>
          </w:tcPr>
          <w:p>
            <w:pPr>
              <w:jc w:val="right"/>
              <w:ind w:right="92"/>
              <w:spacing w:after="0"/>
              <w:rPr>
                <w:sz w:val="20"/>
                <w:szCs w:val="20"/>
                <w:color w:val="auto"/>
              </w:rPr>
            </w:pPr>
            <w:r>
              <w:rPr>
                <w:rFonts w:ascii="Arial" w:cs="Arial" w:eastAsia="Arial" w:hAnsi="Arial"/>
                <w:sz w:val="14"/>
                <w:szCs w:val="14"/>
                <w:color w:val="auto"/>
              </w:rPr>
              <w:t>—</w:t>
            </w:r>
          </w:p>
        </w:tc>
        <w:tc>
          <w:tcPr>
            <w:tcW w:w="1180" w:type="dxa"/>
            <w:vAlign w:val="bottom"/>
            <w:tcBorders>
              <w:bottom w:val="single" w:sz="8" w:color="auto"/>
            </w:tcBorders>
          </w:tcPr>
          <w:p>
            <w:pPr>
              <w:jc w:val="right"/>
              <w:ind w:right="92"/>
              <w:spacing w:after="0"/>
              <w:rPr>
                <w:sz w:val="20"/>
                <w:szCs w:val="20"/>
                <w:color w:val="auto"/>
              </w:rPr>
            </w:pPr>
            <w:r>
              <w:rPr>
                <w:rFonts w:ascii="Arial" w:cs="Arial" w:eastAsia="Arial" w:hAnsi="Arial"/>
                <w:sz w:val="14"/>
                <w:szCs w:val="14"/>
                <w:color w:val="auto"/>
              </w:rPr>
              <w:t>132,893</w:t>
            </w:r>
          </w:p>
        </w:tc>
        <w:tc>
          <w:tcPr>
            <w:tcW w:w="1240" w:type="dxa"/>
            <w:vAlign w:val="bottom"/>
            <w:tcBorders>
              <w:bottom w:val="single" w:sz="8" w:color="auto"/>
            </w:tcBorders>
          </w:tcPr>
          <w:p>
            <w:pPr>
              <w:jc w:val="right"/>
              <w:ind w:right="112"/>
              <w:spacing w:after="0"/>
              <w:rPr>
                <w:sz w:val="20"/>
                <w:szCs w:val="20"/>
                <w:color w:val="auto"/>
              </w:rPr>
            </w:pPr>
            <w:r>
              <w:rPr>
                <w:rFonts w:ascii="Arial" w:cs="Arial" w:eastAsia="Arial" w:hAnsi="Arial"/>
                <w:sz w:val="14"/>
                <w:szCs w:val="14"/>
                <w:color w:val="auto"/>
              </w:rPr>
              <w:t>295,433</w:t>
            </w:r>
          </w:p>
        </w:tc>
        <w:tc>
          <w:tcPr>
            <w:tcW w:w="1220" w:type="dxa"/>
            <w:vAlign w:val="bottom"/>
            <w:tcBorders>
              <w:bottom w:val="single" w:sz="8" w:color="auto"/>
            </w:tcBorders>
          </w:tcPr>
          <w:p>
            <w:pPr>
              <w:jc w:val="right"/>
              <w:ind w:right="92"/>
              <w:spacing w:after="0"/>
              <w:rPr>
                <w:sz w:val="20"/>
                <w:szCs w:val="20"/>
                <w:color w:val="auto"/>
              </w:rPr>
            </w:pPr>
            <w:r>
              <w:rPr>
                <w:rFonts w:ascii="Arial" w:cs="Arial" w:eastAsia="Arial" w:hAnsi="Arial"/>
                <w:sz w:val="14"/>
                <w:szCs w:val="14"/>
                <w:color w:val="auto"/>
              </w:rPr>
              <w:t>329,420</w:t>
            </w:r>
          </w:p>
        </w:tc>
        <w:tc>
          <w:tcPr>
            <w:tcW w:w="1480" w:type="dxa"/>
            <w:vAlign w:val="bottom"/>
            <w:tcBorders>
              <w:bottom w:val="single" w:sz="8" w:color="auto"/>
            </w:tcBorders>
          </w:tcPr>
          <w:p>
            <w:pPr>
              <w:jc w:val="right"/>
              <w:ind w:right="92"/>
              <w:spacing w:after="0"/>
              <w:rPr>
                <w:sz w:val="20"/>
                <w:szCs w:val="20"/>
                <w:color w:val="auto"/>
              </w:rPr>
            </w:pPr>
            <w:r>
              <w:rPr>
                <w:rFonts w:ascii="Arial" w:cs="Arial" w:eastAsia="Arial" w:hAnsi="Arial"/>
                <w:sz w:val="14"/>
                <w:szCs w:val="14"/>
                <w:color w:val="auto"/>
              </w:rPr>
              <w:t>732,586</w:t>
            </w:r>
          </w:p>
        </w:tc>
        <w:tc>
          <w:tcPr>
            <w:tcW w:w="1240" w:type="dxa"/>
            <w:vAlign w:val="bottom"/>
            <w:tcBorders>
              <w:bottom w:val="single" w:sz="8" w:color="auto"/>
            </w:tcBorders>
          </w:tcPr>
          <w:p>
            <w:pPr>
              <w:jc w:val="right"/>
              <w:ind w:right="112"/>
              <w:spacing w:after="0"/>
              <w:rPr>
                <w:sz w:val="20"/>
                <w:szCs w:val="20"/>
                <w:color w:val="auto"/>
              </w:rPr>
            </w:pPr>
            <w:r>
              <w:rPr>
                <w:rFonts w:ascii="Arial" w:cs="Arial" w:eastAsia="Arial" w:hAnsi="Arial"/>
                <w:sz w:val="14"/>
                <w:szCs w:val="14"/>
                <w:color w:val="auto"/>
              </w:rPr>
              <w:t>22,747</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1,907,761</w:t>
            </w:r>
          </w:p>
        </w:tc>
      </w:tr>
      <w:tr>
        <w:trPr>
          <w:trHeight w:val="197"/>
        </w:trPr>
        <w:tc>
          <w:tcPr>
            <w:tcW w:w="196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ind w:left="180"/>
              <w:spacing w:after="0"/>
              <w:rPr>
                <w:sz w:val="20"/>
                <w:szCs w:val="20"/>
                <w:color w:val="auto"/>
              </w:rPr>
            </w:pPr>
            <w:r>
              <w:rPr>
                <w:rFonts w:ascii="Arial" w:cs="Arial" w:eastAsia="Arial" w:hAnsi="Arial"/>
                <w:sz w:val="14"/>
                <w:szCs w:val="14"/>
                <w:color w:val="auto"/>
              </w:rPr>
              <w:t>2018</w:t>
            </w:r>
          </w:p>
        </w:tc>
        <w:tc>
          <w:tcPr>
            <w:tcW w:w="840" w:type="dxa"/>
            <w:vAlign w:val="bottom"/>
            <w:tcBorders>
              <w:bottom w:val="single" w:sz="8" w:color="auto"/>
            </w:tcBorders>
          </w:tcPr>
          <w:p>
            <w:pPr>
              <w:jc w:val="right"/>
              <w:ind w:right="92"/>
              <w:spacing w:after="0"/>
              <w:rPr>
                <w:sz w:val="20"/>
                <w:szCs w:val="20"/>
                <w:color w:val="auto"/>
              </w:rPr>
            </w:pPr>
            <w:r>
              <w:rPr>
                <w:rFonts w:ascii="Arial" w:cs="Arial" w:eastAsia="Arial" w:hAnsi="Arial"/>
                <w:sz w:val="14"/>
                <w:szCs w:val="14"/>
                <w:color w:val="auto"/>
              </w:rPr>
              <w:t>373,257</w:t>
            </w:r>
          </w:p>
        </w:tc>
        <w:tc>
          <w:tcPr>
            <w:tcW w:w="760" w:type="dxa"/>
            <w:vAlign w:val="bottom"/>
            <w:tcBorders>
              <w:bottom w:val="single" w:sz="8" w:color="auto"/>
            </w:tcBorders>
          </w:tcPr>
          <w:p>
            <w:pPr>
              <w:jc w:val="right"/>
              <w:ind w:right="92"/>
              <w:spacing w:after="0"/>
              <w:rPr>
                <w:sz w:val="20"/>
                <w:szCs w:val="20"/>
                <w:color w:val="auto"/>
              </w:rPr>
            </w:pPr>
            <w:r>
              <w:rPr>
                <w:rFonts w:ascii="Arial" w:cs="Arial" w:eastAsia="Arial" w:hAnsi="Arial"/>
                <w:sz w:val="14"/>
                <w:szCs w:val="14"/>
                <w:color w:val="auto"/>
              </w:rPr>
              <w:t>—</w:t>
            </w:r>
          </w:p>
        </w:tc>
        <w:tc>
          <w:tcPr>
            <w:tcW w:w="1180" w:type="dxa"/>
            <w:vAlign w:val="bottom"/>
            <w:tcBorders>
              <w:bottom w:val="single" w:sz="8" w:color="auto"/>
            </w:tcBorders>
          </w:tcPr>
          <w:p>
            <w:pPr>
              <w:jc w:val="right"/>
              <w:ind w:right="92"/>
              <w:spacing w:after="0"/>
              <w:rPr>
                <w:sz w:val="20"/>
                <w:szCs w:val="20"/>
                <w:color w:val="auto"/>
              </w:rPr>
            </w:pPr>
            <w:r>
              <w:rPr>
                <w:rFonts w:ascii="Arial" w:cs="Arial" w:eastAsia="Arial" w:hAnsi="Arial"/>
                <w:sz w:val="14"/>
                <w:szCs w:val="14"/>
                <w:color w:val="auto"/>
              </w:rPr>
              <w:t>296,461</w:t>
            </w:r>
          </w:p>
        </w:tc>
        <w:tc>
          <w:tcPr>
            <w:tcW w:w="1240" w:type="dxa"/>
            <w:vAlign w:val="bottom"/>
            <w:tcBorders>
              <w:bottom w:val="single" w:sz="8" w:color="auto"/>
            </w:tcBorders>
          </w:tcPr>
          <w:p>
            <w:pPr>
              <w:jc w:val="right"/>
              <w:ind w:right="112"/>
              <w:spacing w:after="0"/>
              <w:rPr>
                <w:sz w:val="20"/>
                <w:szCs w:val="20"/>
                <w:color w:val="auto"/>
              </w:rPr>
            </w:pPr>
            <w:r>
              <w:rPr>
                <w:rFonts w:ascii="Arial" w:cs="Arial" w:eastAsia="Arial" w:hAnsi="Arial"/>
                <w:sz w:val="14"/>
                <w:szCs w:val="14"/>
                <w:color w:val="auto"/>
              </w:rPr>
              <w:t>45,594</w:t>
            </w:r>
          </w:p>
        </w:tc>
        <w:tc>
          <w:tcPr>
            <w:tcW w:w="1220" w:type="dxa"/>
            <w:vAlign w:val="bottom"/>
            <w:tcBorders>
              <w:bottom w:val="single" w:sz="8" w:color="auto"/>
            </w:tcBorders>
          </w:tcPr>
          <w:p>
            <w:pPr>
              <w:jc w:val="right"/>
              <w:ind w:right="92"/>
              <w:spacing w:after="0"/>
              <w:rPr>
                <w:sz w:val="20"/>
                <w:szCs w:val="20"/>
                <w:color w:val="auto"/>
              </w:rPr>
            </w:pPr>
            <w:r>
              <w:rPr>
                <w:rFonts w:ascii="Arial" w:cs="Arial" w:eastAsia="Arial" w:hAnsi="Arial"/>
                <w:sz w:val="14"/>
                <w:szCs w:val="14"/>
                <w:color w:val="auto"/>
              </w:rPr>
              <w:t>311,572</w:t>
            </w:r>
          </w:p>
        </w:tc>
        <w:tc>
          <w:tcPr>
            <w:tcW w:w="1480" w:type="dxa"/>
            <w:vAlign w:val="bottom"/>
            <w:tcBorders>
              <w:bottom w:val="single" w:sz="8" w:color="auto"/>
            </w:tcBorders>
          </w:tcPr>
          <w:p>
            <w:pPr>
              <w:jc w:val="right"/>
              <w:ind w:right="92"/>
              <w:spacing w:after="0"/>
              <w:rPr>
                <w:sz w:val="20"/>
                <w:szCs w:val="20"/>
                <w:color w:val="auto"/>
              </w:rPr>
            </w:pPr>
            <w:r>
              <w:rPr>
                <w:rFonts w:ascii="Arial" w:cs="Arial" w:eastAsia="Arial" w:hAnsi="Arial"/>
                <w:sz w:val="14"/>
                <w:szCs w:val="14"/>
                <w:color w:val="auto"/>
              </w:rPr>
              <w:t>217,073</w:t>
            </w:r>
          </w:p>
        </w:tc>
        <w:tc>
          <w:tcPr>
            <w:tcW w:w="1240" w:type="dxa"/>
            <w:vAlign w:val="bottom"/>
            <w:tcBorders>
              <w:bottom w:val="single" w:sz="8" w:color="auto"/>
            </w:tcBorders>
          </w:tcPr>
          <w:p>
            <w:pPr>
              <w:jc w:val="right"/>
              <w:ind w:right="112"/>
              <w:spacing w:after="0"/>
              <w:rPr>
                <w:sz w:val="20"/>
                <w:szCs w:val="20"/>
                <w:color w:val="auto"/>
              </w:rPr>
            </w:pPr>
            <w:r>
              <w:rPr>
                <w:rFonts w:ascii="Arial" w:cs="Arial" w:eastAsia="Arial" w:hAnsi="Arial"/>
                <w:sz w:val="14"/>
                <w:szCs w:val="14"/>
                <w:color w:val="auto"/>
              </w:rPr>
              <w:t>22,794</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1,266,751</w:t>
            </w:r>
          </w:p>
        </w:tc>
      </w:tr>
      <w:tr>
        <w:trPr>
          <w:trHeight w:val="199"/>
        </w:trPr>
        <w:tc>
          <w:tcPr>
            <w:tcW w:w="1960" w:type="dxa"/>
            <w:vAlign w:val="bottom"/>
          </w:tcPr>
          <w:p>
            <w:pPr>
              <w:spacing w:after="0"/>
              <w:rPr>
                <w:sz w:val="20"/>
                <w:szCs w:val="20"/>
                <w:color w:val="auto"/>
              </w:rPr>
            </w:pPr>
            <w:r>
              <w:rPr>
                <w:rFonts w:ascii="Arial" w:cs="Arial" w:eastAsia="Arial" w:hAnsi="Arial"/>
                <w:sz w:val="14"/>
                <w:szCs w:val="14"/>
                <w:b w:val="1"/>
                <w:bCs w:val="1"/>
                <w:color w:val="455986"/>
              </w:rPr>
              <w:t>Matthew R. Rhodes</w:t>
            </w:r>
          </w:p>
        </w:tc>
        <w:tc>
          <w:tcPr>
            <w:tcW w:w="660" w:type="dxa"/>
            <w:vAlign w:val="bottom"/>
            <w:tcBorders>
              <w:bottom w:val="single" w:sz="8" w:color="auto"/>
            </w:tcBorders>
          </w:tcPr>
          <w:p>
            <w:pPr>
              <w:ind w:left="180"/>
              <w:spacing w:after="0"/>
              <w:rPr>
                <w:sz w:val="20"/>
                <w:szCs w:val="20"/>
                <w:color w:val="auto"/>
              </w:rPr>
            </w:pPr>
            <w:r>
              <w:rPr>
                <w:rFonts w:ascii="Arial" w:cs="Arial" w:eastAsia="Arial" w:hAnsi="Arial"/>
                <w:sz w:val="14"/>
                <w:szCs w:val="14"/>
                <w:color w:val="auto"/>
              </w:rPr>
              <w:t>2020</w:t>
            </w:r>
          </w:p>
        </w:tc>
        <w:tc>
          <w:tcPr>
            <w:tcW w:w="840" w:type="dxa"/>
            <w:vAlign w:val="bottom"/>
            <w:tcBorders>
              <w:bottom w:val="single" w:sz="8" w:color="auto"/>
            </w:tcBorders>
          </w:tcPr>
          <w:p>
            <w:pPr>
              <w:jc w:val="right"/>
              <w:ind w:right="92"/>
              <w:spacing w:after="0"/>
              <w:rPr>
                <w:sz w:val="20"/>
                <w:szCs w:val="20"/>
                <w:color w:val="auto"/>
              </w:rPr>
            </w:pPr>
            <w:r>
              <w:rPr>
                <w:rFonts w:ascii="Arial" w:cs="Arial" w:eastAsia="Arial" w:hAnsi="Arial"/>
                <w:sz w:val="14"/>
                <w:szCs w:val="14"/>
                <w:color w:val="auto"/>
              </w:rPr>
              <w:t>424,415</w:t>
            </w:r>
          </w:p>
        </w:tc>
        <w:tc>
          <w:tcPr>
            <w:tcW w:w="760" w:type="dxa"/>
            <w:vAlign w:val="bottom"/>
            <w:tcBorders>
              <w:bottom w:val="single" w:sz="8" w:color="auto"/>
            </w:tcBorders>
          </w:tcPr>
          <w:p>
            <w:pPr>
              <w:jc w:val="right"/>
              <w:ind w:right="92"/>
              <w:spacing w:after="0"/>
              <w:rPr>
                <w:sz w:val="20"/>
                <w:szCs w:val="20"/>
                <w:color w:val="auto"/>
              </w:rPr>
            </w:pPr>
            <w:r>
              <w:rPr>
                <w:rFonts w:ascii="Arial" w:cs="Arial" w:eastAsia="Arial" w:hAnsi="Arial"/>
                <w:sz w:val="14"/>
                <w:szCs w:val="14"/>
                <w:color w:val="auto"/>
              </w:rPr>
              <w:t>—</w:t>
            </w:r>
          </w:p>
        </w:tc>
        <w:tc>
          <w:tcPr>
            <w:tcW w:w="1180" w:type="dxa"/>
            <w:vAlign w:val="bottom"/>
            <w:tcBorders>
              <w:bottom w:val="single" w:sz="8" w:color="auto"/>
            </w:tcBorders>
          </w:tcPr>
          <w:p>
            <w:pPr>
              <w:jc w:val="right"/>
              <w:ind w:right="92"/>
              <w:spacing w:after="0"/>
              <w:rPr>
                <w:sz w:val="20"/>
                <w:szCs w:val="20"/>
                <w:color w:val="auto"/>
              </w:rPr>
            </w:pPr>
            <w:r>
              <w:rPr>
                <w:rFonts w:ascii="Arial" w:cs="Arial" w:eastAsia="Arial" w:hAnsi="Arial"/>
                <w:sz w:val="14"/>
                <w:szCs w:val="14"/>
                <w:color w:val="auto"/>
              </w:rPr>
              <w:t>561,603</w:t>
            </w:r>
          </w:p>
        </w:tc>
        <w:tc>
          <w:tcPr>
            <w:tcW w:w="1240" w:type="dxa"/>
            <w:vAlign w:val="bottom"/>
            <w:tcBorders>
              <w:bottom w:val="single" w:sz="8" w:color="auto"/>
            </w:tcBorders>
          </w:tcPr>
          <w:p>
            <w:pPr>
              <w:jc w:val="right"/>
              <w:ind w:right="112"/>
              <w:spacing w:after="0"/>
              <w:rPr>
                <w:sz w:val="20"/>
                <w:szCs w:val="20"/>
                <w:color w:val="auto"/>
              </w:rPr>
            </w:pPr>
            <w:r>
              <w:rPr>
                <w:rFonts w:ascii="Arial" w:cs="Arial" w:eastAsia="Arial" w:hAnsi="Arial"/>
                <w:sz w:val="14"/>
                <w:szCs w:val="14"/>
                <w:color w:val="auto"/>
              </w:rPr>
              <w:t>—</w:t>
            </w:r>
          </w:p>
        </w:tc>
        <w:tc>
          <w:tcPr>
            <w:tcW w:w="1220" w:type="dxa"/>
            <w:vAlign w:val="bottom"/>
            <w:tcBorders>
              <w:bottom w:val="single" w:sz="8" w:color="auto"/>
            </w:tcBorders>
          </w:tcPr>
          <w:p>
            <w:pPr>
              <w:jc w:val="right"/>
              <w:ind w:right="92"/>
              <w:spacing w:after="0"/>
              <w:rPr>
                <w:sz w:val="20"/>
                <w:szCs w:val="20"/>
                <w:color w:val="auto"/>
              </w:rPr>
            </w:pPr>
            <w:r>
              <w:rPr>
                <w:rFonts w:ascii="Arial" w:cs="Arial" w:eastAsia="Arial" w:hAnsi="Arial"/>
                <w:sz w:val="14"/>
                <w:szCs w:val="14"/>
                <w:color w:val="auto"/>
              </w:rPr>
              <w:t>364,818</w:t>
            </w:r>
          </w:p>
        </w:tc>
        <w:tc>
          <w:tcPr>
            <w:tcW w:w="1480" w:type="dxa"/>
            <w:vAlign w:val="bottom"/>
            <w:tcBorders>
              <w:bottom w:val="single" w:sz="8" w:color="auto"/>
            </w:tcBorders>
          </w:tcPr>
          <w:p>
            <w:pPr>
              <w:jc w:val="right"/>
              <w:ind w:right="92"/>
              <w:spacing w:after="0"/>
              <w:rPr>
                <w:sz w:val="20"/>
                <w:szCs w:val="20"/>
                <w:color w:val="auto"/>
              </w:rPr>
            </w:pPr>
            <w:r>
              <w:rPr>
                <w:rFonts w:ascii="Arial" w:cs="Arial" w:eastAsia="Arial" w:hAnsi="Arial"/>
                <w:sz w:val="14"/>
                <w:szCs w:val="14"/>
                <w:color w:val="auto"/>
              </w:rPr>
              <w:t>—</w:t>
            </w:r>
          </w:p>
        </w:tc>
        <w:tc>
          <w:tcPr>
            <w:tcW w:w="1240" w:type="dxa"/>
            <w:vAlign w:val="bottom"/>
            <w:tcBorders>
              <w:bottom w:val="single" w:sz="8" w:color="auto"/>
            </w:tcBorders>
          </w:tcPr>
          <w:p>
            <w:pPr>
              <w:jc w:val="right"/>
              <w:ind w:right="112"/>
              <w:spacing w:after="0"/>
              <w:rPr>
                <w:sz w:val="20"/>
                <w:szCs w:val="20"/>
                <w:color w:val="auto"/>
              </w:rPr>
            </w:pPr>
            <w:r>
              <w:rPr>
                <w:rFonts w:ascii="Arial" w:cs="Arial" w:eastAsia="Arial" w:hAnsi="Arial"/>
                <w:sz w:val="14"/>
                <w:szCs w:val="14"/>
                <w:color w:val="auto"/>
              </w:rPr>
              <w:t>19,780</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1,370,616</w:t>
            </w:r>
          </w:p>
        </w:tc>
      </w:tr>
      <w:tr>
        <w:trPr>
          <w:trHeight w:val="191"/>
        </w:trPr>
        <w:tc>
          <w:tcPr>
            <w:tcW w:w="1960" w:type="dxa"/>
            <w:vAlign w:val="bottom"/>
          </w:tcPr>
          <w:p>
            <w:pPr>
              <w:spacing w:after="0"/>
              <w:rPr>
                <w:sz w:val="20"/>
                <w:szCs w:val="20"/>
                <w:color w:val="auto"/>
              </w:rPr>
            </w:pPr>
            <w:r>
              <w:rPr>
                <w:rFonts w:ascii="Arial" w:cs="Arial" w:eastAsia="Arial" w:hAnsi="Arial"/>
                <w:sz w:val="14"/>
                <w:szCs w:val="14"/>
                <w:color w:val="231F20"/>
              </w:rPr>
              <w:t>EVP, Strategy &amp;</w:t>
            </w:r>
          </w:p>
        </w:tc>
        <w:tc>
          <w:tcPr>
            <w:tcW w:w="660" w:type="dxa"/>
            <w:vAlign w:val="bottom"/>
            <w:tcBorders>
              <w:bottom w:val="single" w:sz="8" w:color="auto"/>
            </w:tcBorders>
          </w:tcPr>
          <w:p>
            <w:pPr>
              <w:ind w:left="180"/>
              <w:spacing w:after="0"/>
              <w:rPr>
                <w:sz w:val="20"/>
                <w:szCs w:val="20"/>
                <w:color w:val="auto"/>
              </w:rPr>
            </w:pPr>
            <w:r>
              <w:rPr>
                <w:rFonts w:ascii="Arial" w:cs="Arial" w:eastAsia="Arial" w:hAnsi="Arial"/>
                <w:sz w:val="14"/>
                <w:szCs w:val="14"/>
                <w:color w:val="auto"/>
              </w:rPr>
              <w:t>2019</w:t>
            </w:r>
          </w:p>
        </w:tc>
        <w:tc>
          <w:tcPr>
            <w:tcW w:w="840" w:type="dxa"/>
            <w:vAlign w:val="bottom"/>
            <w:tcBorders>
              <w:bottom w:val="single" w:sz="8" w:color="auto"/>
            </w:tcBorders>
          </w:tcPr>
          <w:p>
            <w:pPr>
              <w:jc w:val="right"/>
              <w:ind w:right="92"/>
              <w:spacing w:after="0"/>
              <w:rPr>
                <w:sz w:val="20"/>
                <w:szCs w:val="20"/>
                <w:color w:val="auto"/>
              </w:rPr>
            </w:pPr>
            <w:r>
              <w:rPr>
                <w:rFonts w:ascii="Arial" w:cs="Arial" w:eastAsia="Arial" w:hAnsi="Arial"/>
                <w:sz w:val="14"/>
                <w:szCs w:val="14"/>
                <w:color w:val="auto"/>
              </w:rPr>
              <w:t>399,572</w:t>
            </w:r>
          </w:p>
        </w:tc>
        <w:tc>
          <w:tcPr>
            <w:tcW w:w="760" w:type="dxa"/>
            <w:vAlign w:val="bottom"/>
            <w:tcBorders>
              <w:bottom w:val="single" w:sz="8" w:color="auto"/>
            </w:tcBorders>
          </w:tcPr>
          <w:p>
            <w:pPr>
              <w:jc w:val="right"/>
              <w:ind w:right="92"/>
              <w:spacing w:after="0"/>
              <w:rPr>
                <w:sz w:val="20"/>
                <w:szCs w:val="20"/>
                <w:color w:val="auto"/>
              </w:rPr>
            </w:pPr>
            <w:r>
              <w:rPr>
                <w:rFonts w:ascii="Arial" w:cs="Arial" w:eastAsia="Arial" w:hAnsi="Arial"/>
                <w:sz w:val="14"/>
                <w:szCs w:val="14"/>
                <w:color w:val="auto"/>
              </w:rPr>
              <w:t>—</w:t>
            </w:r>
          </w:p>
        </w:tc>
        <w:tc>
          <w:tcPr>
            <w:tcW w:w="1180" w:type="dxa"/>
            <w:vAlign w:val="bottom"/>
            <w:tcBorders>
              <w:bottom w:val="single" w:sz="8" w:color="auto"/>
            </w:tcBorders>
          </w:tcPr>
          <w:p>
            <w:pPr>
              <w:jc w:val="right"/>
              <w:ind w:right="92"/>
              <w:spacing w:after="0"/>
              <w:rPr>
                <w:sz w:val="20"/>
                <w:szCs w:val="20"/>
                <w:color w:val="auto"/>
              </w:rPr>
            </w:pPr>
            <w:r>
              <w:rPr>
                <w:rFonts w:ascii="Arial" w:cs="Arial" w:eastAsia="Arial" w:hAnsi="Arial"/>
                <w:sz w:val="14"/>
                <w:szCs w:val="14"/>
                <w:color w:val="auto"/>
              </w:rPr>
              <w:t>103,168</w:t>
            </w:r>
          </w:p>
        </w:tc>
        <w:tc>
          <w:tcPr>
            <w:tcW w:w="1240" w:type="dxa"/>
            <w:vAlign w:val="bottom"/>
            <w:tcBorders>
              <w:bottom w:val="single" w:sz="8" w:color="auto"/>
            </w:tcBorders>
          </w:tcPr>
          <w:p>
            <w:pPr>
              <w:jc w:val="right"/>
              <w:ind w:right="112"/>
              <w:spacing w:after="0"/>
              <w:rPr>
                <w:sz w:val="20"/>
                <w:szCs w:val="20"/>
                <w:color w:val="auto"/>
              </w:rPr>
            </w:pPr>
            <w:r>
              <w:rPr>
                <w:rFonts w:ascii="Arial" w:cs="Arial" w:eastAsia="Arial" w:hAnsi="Arial"/>
                <w:sz w:val="14"/>
                <w:szCs w:val="14"/>
                <w:color w:val="auto"/>
              </w:rPr>
              <w:t>229,394</w:t>
            </w:r>
          </w:p>
        </w:tc>
        <w:tc>
          <w:tcPr>
            <w:tcW w:w="1220" w:type="dxa"/>
            <w:vAlign w:val="bottom"/>
            <w:tcBorders>
              <w:bottom w:val="single" w:sz="8" w:color="auto"/>
            </w:tcBorders>
          </w:tcPr>
          <w:p>
            <w:pPr>
              <w:jc w:val="right"/>
              <w:ind w:right="92"/>
              <w:spacing w:after="0"/>
              <w:rPr>
                <w:sz w:val="20"/>
                <w:szCs w:val="20"/>
                <w:color w:val="auto"/>
              </w:rPr>
            </w:pPr>
            <w:r>
              <w:rPr>
                <w:rFonts w:ascii="Arial" w:cs="Arial" w:eastAsia="Arial" w:hAnsi="Arial"/>
                <w:sz w:val="14"/>
                <w:szCs w:val="14"/>
                <w:color w:val="auto"/>
              </w:rPr>
              <w:t>288,949</w:t>
            </w:r>
          </w:p>
        </w:tc>
        <w:tc>
          <w:tcPr>
            <w:tcW w:w="1480" w:type="dxa"/>
            <w:vAlign w:val="bottom"/>
            <w:tcBorders>
              <w:bottom w:val="single" w:sz="8" w:color="auto"/>
            </w:tcBorders>
          </w:tcPr>
          <w:p>
            <w:pPr>
              <w:jc w:val="right"/>
              <w:ind w:right="92"/>
              <w:spacing w:after="0"/>
              <w:rPr>
                <w:sz w:val="20"/>
                <w:szCs w:val="20"/>
                <w:color w:val="auto"/>
              </w:rPr>
            </w:pPr>
            <w:r>
              <w:rPr>
                <w:rFonts w:ascii="Arial" w:cs="Arial" w:eastAsia="Arial" w:hAnsi="Arial"/>
                <w:sz w:val="14"/>
                <w:szCs w:val="14"/>
                <w:color w:val="auto"/>
              </w:rPr>
              <w:t>—</w:t>
            </w:r>
          </w:p>
        </w:tc>
        <w:tc>
          <w:tcPr>
            <w:tcW w:w="1240" w:type="dxa"/>
            <w:vAlign w:val="bottom"/>
            <w:tcBorders>
              <w:bottom w:val="single" w:sz="8" w:color="auto"/>
            </w:tcBorders>
          </w:tcPr>
          <w:p>
            <w:pPr>
              <w:jc w:val="right"/>
              <w:ind w:right="112"/>
              <w:spacing w:after="0"/>
              <w:rPr>
                <w:sz w:val="20"/>
                <w:szCs w:val="20"/>
                <w:color w:val="auto"/>
              </w:rPr>
            </w:pPr>
            <w:r>
              <w:rPr>
                <w:rFonts w:ascii="Arial" w:cs="Arial" w:eastAsia="Arial" w:hAnsi="Arial"/>
                <w:sz w:val="14"/>
                <w:szCs w:val="14"/>
                <w:color w:val="auto"/>
              </w:rPr>
              <w:t>17,471</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1,038,554</w:t>
            </w:r>
          </w:p>
        </w:tc>
      </w:tr>
      <w:tr>
        <w:trPr>
          <w:trHeight w:val="200"/>
        </w:trPr>
        <w:tc>
          <w:tcPr>
            <w:tcW w:w="196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Corporate Development</w:t>
            </w:r>
          </w:p>
        </w:tc>
        <w:tc>
          <w:tcPr>
            <w:tcW w:w="660" w:type="dxa"/>
            <w:vAlign w:val="bottom"/>
            <w:tcBorders>
              <w:bottom w:val="single" w:sz="8" w:color="auto"/>
            </w:tcBorders>
          </w:tcPr>
          <w:p>
            <w:pPr>
              <w:ind w:left="180"/>
              <w:spacing w:after="0"/>
              <w:rPr>
                <w:sz w:val="20"/>
                <w:szCs w:val="20"/>
                <w:color w:val="auto"/>
              </w:rPr>
            </w:pPr>
            <w:r>
              <w:rPr>
                <w:rFonts w:ascii="Arial" w:cs="Arial" w:eastAsia="Arial" w:hAnsi="Arial"/>
                <w:sz w:val="14"/>
                <w:szCs w:val="14"/>
                <w:color w:val="auto"/>
              </w:rPr>
              <w:t>2018</w:t>
            </w:r>
          </w:p>
        </w:tc>
        <w:tc>
          <w:tcPr>
            <w:tcW w:w="840" w:type="dxa"/>
            <w:vAlign w:val="bottom"/>
            <w:tcBorders>
              <w:bottom w:val="single" w:sz="8" w:color="auto"/>
            </w:tcBorders>
          </w:tcPr>
          <w:p>
            <w:pPr>
              <w:jc w:val="right"/>
              <w:ind w:right="92"/>
              <w:spacing w:after="0"/>
              <w:rPr>
                <w:sz w:val="20"/>
                <w:szCs w:val="20"/>
                <w:color w:val="auto"/>
              </w:rPr>
            </w:pPr>
            <w:r>
              <w:rPr>
                <w:rFonts w:ascii="Arial" w:cs="Arial" w:eastAsia="Arial" w:hAnsi="Arial"/>
                <w:sz w:val="14"/>
                <w:szCs w:val="14"/>
                <w:color w:val="auto"/>
              </w:rPr>
              <w:t>203,019</w:t>
            </w:r>
          </w:p>
        </w:tc>
        <w:tc>
          <w:tcPr>
            <w:tcW w:w="760" w:type="dxa"/>
            <w:vAlign w:val="bottom"/>
            <w:tcBorders>
              <w:bottom w:val="single" w:sz="8" w:color="auto"/>
            </w:tcBorders>
          </w:tcPr>
          <w:p>
            <w:pPr>
              <w:jc w:val="right"/>
              <w:ind w:right="92"/>
              <w:spacing w:after="0"/>
              <w:rPr>
                <w:sz w:val="20"/>
                <w:szCs w:val="20"/>
                <w:color w:val="auto"/>
              </w:rPr>
            </w:pPr>
            <w:r>
              <w:rPr>
                <w:rFonts w:ascii="Arial" w:cs="Arial" w:eastAsia="Arial" w:hAnsi="Arial"/>
                <w:sz w:val="14"/>
                <w:szCs w:val="14"/>
                <w:color w:val="auto"/>
              </w:rPr>
              <w:t>65,000</w:t>
            </w:r>
          </w:p>
        </w:tc>
        <w:tc>
          <w:tcPr>
            <w:tcW w:w="1180" w:type="dxa"/>
            <w:vAlign w:val="bottom"/>
            <w:tcBorders>
              <w:bottom w:val="single" w:sz="8" w:color="auto"/>
            </w:tcBorders>
          </w:tcPr>
          <w:p>
            <w:pPr>
              <w:jc w:val="right"/>
              <w:ind w:right="92"/>
              <w:spacing w:after="0"/>
              <w:rPr>
                <w:sz w:val="20"/>
                <w:szCs w:val="20"/>
                <w:color w:val="auto"/>
              </w:rPr>
            </w:pPr>
            <w:r>
              <w:rPr>
                <w:rFonts w:ascii="Arial" w:cs="Arial" w:eastAsia="Arial" w:hAnsi="Arial"/>
                <w:sz w:val="14"/>
                <w:szCs w:val="14"/>
                <w:color w:val="auto"/>
              </w:rPr>
              <w:t>636,372</w:t>
            </w:r>
          </w:p>
        </w:tc>
        <w:tc>
          <w:tcPr>
            <w:tcW w:w="1240" w:type="dxa"/>
            <w:vAlign w:val="bottom"/>
            <w:tcBorders>
              <w:bottom w:val="single" w:sz="8" w:color="auto"/>
            </w:tcBorders>
          </w:tcPr>
          <w:p>
            <w:pPr>
              <w:jc w:val="right"/>
              <w:ind w:right="112"/>
              <w:spacing w:after="0"/>
              <w:rPr>
                <w:sz w:val="20"/>
                <w:szCs w:val="20"/>
                <w:color w:val="auto"/>
              </w:rPr>
            </w:pPr>
            <w:r>
              <w:rPr>
                <w:rFonts w:ascii="Arial" w:cs="Arial" w:eastAsia="Arial" w:hAnsi="Arial"/>
                <w:sz w:val="14"/>
                <w:szCs w:val="14"/>
                <w:color w:val="auto"/>
              </w:rPr>
              <w:t>36,885</w:t>
            </w:r>
          </w:p>
        </w:tc>
        <w:tc>
          <w:tcPr>
            <w:tcW w:w="1220" w:type="dxa"/>
            <w:vAlign w:val="bottom"/>
            <w:tcBorders>
              <w:bottom w:val="single" w:sz="8" w:color="auto"/>
            </w:tcBorders>
          </w:tcPr>
          <w:p>
            <w:pPr>
              <w:jc w:val="right"/>
              <w:ind w:right="92"/>
              <w:spacing w:after="0"/>
              <w:rPr>
                <w:sz w:val="20"/>
                <w:szCs w:val="20"/>
                <w:color w:val="auto"/>
              </w:rPr>
            </w:pPr>
            <w:r>
              <w:rPr>
                <w:rFonts w:ascii="Arial" w:cs="Arial" w:eastAsia="Arial" w:hAnsi="Arial"/>
                <w:sz w:val="14"/>
                <w:szCs w:val="14"/>
                <w:color w:val="auto"/>
              </w:rPr>
              <w:t>301,801</w:t>
            </w:r>
          </w:p>
        </w:tc>
        <w:tc>
          <w:tcPr>
            <w:tcW w:w="1480" w:type="dxa"/>
            <w:vAlign w:val="bottom"/>
            <w:tcBorders>
              <w:bottom w:val="single" w:sz="8" w:color="auto"/>
            </w:tcBorders>
          </w:tcPr>
          <w:p>
            <w:pPr>
              <w:jc w:val="right"/>
              <w:ind w:right="92"/>
              <w:spacing w:after="0"/>
              <w:rPr>
                <w:sz w:val="20"/>
                <w:szCs w:val="20"/>
                <w:color w:val="auto"/>
              </w:rPr>
            </w:pPr>
            <w:r>
              <w:rPr>
                <w:rFonts w:ascii="Arial" w:cs="Arial" w:eastAsia="Arial" w:hAnsi="Arial"/>
                <w:sz w:val="14"/>
                <w:szCs w:val="14"/>
                <w:color w:val="auto"/>
              </w:rPr>
              <w:t>—</w:t>
            </w:r>
          </w:p>
        </w:tc>
        <w:tc>
          <w:tcPr>
            <w:tcW w:w="1240" w:type="dxa"/>
            <w:vAlign w:val="bottom"/>
            <w:tcBorders>
              <w:bottom w:val="single" w:sz="8" w:color="auto"/>
            </w:tcBorders>
          </w:tcPr>
          <w:p>
            <w:pPr>
              <w:jc w:val="right"/>
              <w:ind w:right="112"/>
              <w:spacing w:after="0"/>
              <w:rPr>
                <w:sz w:val="20"/>
                <w:szCs w:val="20"/>
                <w:color w:val="auto"/>
              </w:rPr>
            </w:pPr>
            <w:r>
              <w:rPr>
                <w:rFonts w:ascii="Arial" w:cs="Arial" w:eastAsia="Arial" w:hAnsi="Arial"/>
                <w:sz w:val="14"/>
                <w:szCs w:val="14"/>
                <w:color w:val="auto"/>
              </w:rPr>
              <w:t>76,605</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1,319,682</w:t>
            </w:r>
          </w:p>
        </w:tc>
      </w:tr>
      <w:tr>
        <w:trPr>
          <w:trHeight w:val="199"/>
        </w:trPr>
        <w:tc>
          <w:tcPr>
            <w:tcW w:w="1960" w:type="dxa"/>
            <w:vAlign w:val="bottom"/>
          </w:tcPr>
          <w:p>
            <w:pPr>
              <w:spacing w:after="0"/>
              <w:rPr>
                <w:sz w:val="20"/>
                <w:szCs w:val="20"/>
                <w:color w:val="auto"/>
              </w:rPr>
            </w:pPr>
            <w:r>
              <w:rPr>
                <w:rFonts w:ascii="Arial" w:cs="Arial" w:eastAsia="Arial" w:hAnsi="Arial"/>
                <w:sz w:val="14"/>
                <w:szCs w:val="14"/>
                <w:b w:val="1"/>
                <w:bCs w:val="1"/>
                <w:color w:val="455986"/>
              </w:rPr>
              <w:t>Christopher P. Luning</w:t>
            </w:r>
          </w:p>
        </w:tc>
        <w:tc>
          <w:tcPr>
            <w:tcW w:w="660" w:type="dxa"/>
            <w:vAlign w:val="bottom"/>
            <w:tcBorders>
              <w:bottom w:val="single" w:sz="8" w:color="auto"/>
            </w:tcBorders>
          </w:tcPr>
          <w:p>
            <w:pPr>
              <w:ind w:left="180"/>
              <w:spacing w:after="0"/>
              <w:rPr>
                <w:sz w:val="20"/>
                <w:szCs w:val="20"/>
                <w:color w:val="auto"/>
              </w:rPr>
            </w:pPr>
            <w:r>
              <w:rPr>
                <w:rFonts w:ascii="Arial" w:cs="Arial" w:eastAsia="Arial" w:hAnsi="Arial"/>
                <w:sz w:val="14"/>
                <w:szCs w:val="14"/>
                <w:color w:val="auto"/>
              </w:rPr>
              <w:t>2020</w:t>
            </w:r>
          </w:p>
        </w:tc>
        <w:tc>
          <w:tcPr>
            <w:tcW w:w="840" w:type="dxa"/>
            <w:vAlign w:val="bottom"/>
            <w:tcBorders>
              <w:bottom w:val="single" w:sz="8" w:color="auto"/>
            </w:tcBorders>
          </w:tcPr>
          <w:p>
            <w:pPr>
              <w:jc w:val="right"/>
              <w:ind w:right="92"/>
              <w:spacing w:after="0"/>
              <w:rPr>
                <w:sz w:val="20"/>
                <w:szCs w:val="20"/>
                <w:color w:val="auto"/>
              </w:rPr>
            </w:pPr>
            <w:r>
              <w:rPr>
                <w:rFonts w:ascii="Arial" w:cs="Arial" w:eastAsia="Arial" w:hAnsi="Arial"/>
                <w:sz w:val="14"/>
                <w:szCs w:val="14"/>
                <w:color w:val="auto"/>
              </w:rPr>
              <w:t>379,860</w:t>
            </w:r>
          </w:p>
        </w:tc>
        <w:tc>
          <w:tcPr>
            <w:tcW w:w="760" w:type="dxa"/>
            <w:vAlign w:val="bottom"/>
            <w:tcBorders>
              <w:bottom w:val="single" w:sz="8" w:color="auto"/>
            </w:tcBorders>
          </w:tcPr>
          <w:p>
            <w:pPr>
              <w:jc w:val="right"/>
              <w:ind w:right="92"/>
              <w:spacing w:after="0"/>
              <w:rPr>
                <w:sz w:val="20"/>
                <w:szCs w:val="20"/>
                <w:color w:val="auto"/>
              </w:rPr>
            </w:pPr>
            <w:r>
              <w:rPr>
                <w:rFonts w:ascii="Arial" w:cs="Arial" w:eastAsia="Arial" w:hAnsi="Arial"/>
                <w:sz w:val="14"/>
                <w:szCs w:val="14"/>
                <w:color w:val="auto"/>
              </w:rPr>
              <w:t>—</w:t>
            </w:r>
          </w:p>
        </w:tc>
        <w:tc>
          <w:tcPr>
            <w:tcW w:w="1180" w:type="dxa"/>
            <w:vAlign w:val="bottom"/>
            <w:tcBorders>
              <w:bottom w:val="single" w:sz="8" w:color="auto"/>
            </w:tcBorders>
          </w:tcPr>
          <w:p>
            <w:pPr>
              <w:jc w:val="right"/>
              <w:ind w:right="92"/>
              <w:spacing w:after="0"/>
              <w:rPr>
                <w:sz w:val="20"/>
                <w:szCs w:val="20"/>
                <w:color w:val="auto"/>
              </w:rPr>
            </w:pPr>
            <w:r>
              <w:rPr>
                <w:rFonts w:ascii="Arial" w:cs="Arial" w:eastAsia="Arial" w:hAnsi="Arial"/>
                <w:sz w:val="14"/>
                <w:szCs w:val="14"/>
                <w:color w:val="auto"/>
              </w:rPr>
              <w:t>513,176</w:t>
            </w:r>
          </w:p>
        </w:tc>
        <w:tc>
          <w:tcPr>
            <w:tcW w:w="1240" w:type="dxa"/>
            <w:vAlign w:val="bottom"/>
            <w:tcBorders>
              <w:bottom w:val="single" w:sz="8" w:color="auto"/>
            </w:tcBorders>
          </w:tcPr>
          <w:p>
            <w:pPr>
              <w:jc w:val="right"/>
              <w:ind w:right="112"/>
              <w:spacing w:after="0"/>
              <w:rPr>
                <w:sz w:val="20"/>
                <w:szCs w:val="20"/>
                <w:color w:val="auto"/>
              </w:rPr>
            </w:pPr>
            <w:r>
              <w:rPr>
                <w:rFonts w:ascii="Arial" w:cs="Arial" w:eastAsia="Arial" w:hAnsi="Arial"/>
                <w:sz w:val="14"/>
                <w:szCs w:val="14"/>
                <w:color w:val="auto"/>
              </w:rPr>
              <w:t>—</w:t>
            </w:r>
          </w:p>
        </w:tc>
        <w:tc>
          <w:tcPr>
            <w:tcW w:w="1220" w:type="dxa"/>
            <w:vAlign w:val="bottom"/>
            <w:tcBorders>
              <w:bottom w:val="single" w:sz="8" w:color="auto"/>
            </w:tcBorders>
          </w:tcPr>
          <w:p>
            <w:pPr>
              <w:jc w:val="right"/>
              <w:ind w:right="92"/>
              <w:spacing w:after="0"/>
              <w:rPr>
                <w:sz w:val="20"/>
                <w:szCs w:val="20"/>
                <w:color w:val="auto"/>
              </w:rPr>
            </w:pPr>
            <w:r>
              <w:rPr>
                <w:rFonts w:ascii="Arial" w:cs="Arial" w:eastAsia="Arial" w:hAnsi="Arial"/>
                <w:sz w:val="14"/>
                <w:szCs w:val="14"/>
                <w:color w:val="auto"/>
              </w:rPr>
              <w:t>326,519</w:t>
            </w:r>
          </w:p>
        </w:tc>
        <w:tc>
          <w:tcPr>
            <w:tcW w:w="1480" w:type="dxa"/>
            <w:vAlign w:val="bottom"/>
            <w:tcBorders>
              <w:bottom w:val="single" w:sz="8" w:color="auto"/>
            </w:tcBorders>
          </w:tcPr>
          <w:p>
            <w:pPr>
              <w:jc w:val="right"/>
              <w:ind w:right="92"/>
              <w:spacing w:after="0"/>
              <w:rPr>
                <w:sz w:val="20"/>
                <w:szCs w:val="20"/>
                <w:color w:val="auto"/>
              </w:rPr>
            </w:pPr>
            <w:r>
              <w:rPr>
                <w:rFonts w:ascii="Arial" w:cs="Arial" w:eastAsia="Arial" w:hAnsi="Arial"/>
                <w:sz w:val="14"/>
                <w:szCs w:val="14"/>
                <w:color w:val="auto"/>
              </w:rPr>
              <w:t>553,681</w:t>
            </w:r>
          </w:p>
        </w:tc>
        <w:tc>
          <w:tcPr>
            <w:tcW w:w="1240" w:type="dxa"/>
            <w:vAlign w:val="bottom"/>
            <w:tcBorders>
              <w:bottom w:val="single" w:sz="8" w:color="auto"/>
            </w:tcBorders>
          </w:tcPr>
          <w:p>
            <w:pPr>
              <w:jc w:val="right"/>
              <w:ind w:right="112"/>
              <w:spacing w:after="0"/>
              <w:rPr>
                <w:sz w:val="20"/>
                <w:szCs w:val="20"/>
                <w:color w:val="auto"/>
              </w:rPr>
            </w:pPr>
            <w:r>
              <w:rPr>
                <w:rFonts w:ascii="Arial" w:cs="Arial" w:eastAsia="Arial" w:hAnsi="Arial"/>
                <w:sz w:val="14"/>
                <w:szCs w:val="14"/>
                <w:color w:val="auto"/>
              </w:rPr>
              <w:t>17,061</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1,790,297</w:t>
            </w:r>
          </w:p>
        </w:tc>
      </w:tr>
      <w:tr>
        <w:trPr>
          <w:trHeight w:val="191"/>
        </w:trPr>
        <w:tc>
          <w:tcPr>
            <w:tcW w:w="1960" w:type="dxa"/>
            <w:vAlign w:val="bottom"/>
          </w:tcPr>
          <w:p>
            <w:pPr>
              <w:spacing w:after="0"/>
              <w:rPr>
                <w:sz w:val="20"/>
                <w:szCs w:val="20"/>
                <w:color w:val="auto"/>
              </w:rPr>
            </w:pPr>
            <w:r>
              <w:rPr>
                <w:rFonts w:ascii="Arial" w:cs="Arial" w:eastAsia="Arial" w:hAnsi="Arial"/>
                <w:sz w:val="14"/>
                <w:szCs w:val="14"/>
                <w:color w:val="231F20"/>
              </w:rPr>
              <w:t>SVP, General Counsel</w:t>
            </w:r>
          </w:p>
        </w:tc>
        <w:tc>
          <w:tcPr>
            <w:tcW w:w="660" w:type="dxa"/>
            <w:vAlign w:val="bottom"/>
            <w:tcBorders>
              <w:bottom w:val="single" w:sz="8" w:color="auto"/>
            </w:tcBorders>
          </w:tcPr>
          <w:p>
            <w:pPr>
              <w:ind w:left="180"/>
              <w:spacing w:after="0"/>
              <w:rPr>
                <w:sz w:val="20"/>
                <w:szCs w:val="20"/>
                <w:color w:val="auto"/>
              </w:rPr>
            </w:pPr>
            <w:r>
              <w:rPr>
                <w:rFonts w:ascii="Arial" w:cs="Arial" w:eastAsia="Arial" w:hAnsi="Arial"/>
                <w:sz w:val="14"/>
                <w:szCs w:val="14"/>
                <w:color w:val="auto"/>
              </w:rPr>
              <w:t>2019</w:t>
            </w:r>
          </w:p>
        </w:tc>
        <w:tc>
          <w:tcPr>
            <w:tcW w:w="840" w:type="dxa"/>
            <w:vAlign w:val="bottom"/>
            <w:tcBorders>
              <w:bottom w:val="single" w:sz="8" w:color="auto"/>
            </w:tcBorders>
          </w:tcPr>
          <w:p>
            <w:pPr>
              <w:jc w:val="right"/>
              <w:ind w:right="92"/>
              <w:spacing w:after="0"/>
              <w:rPr>
                <w:sz w:val="20"/>
                <w:szCs w:val="20"/>
                <w:color w:val="auto"/>
              </w:rPr>
            </w:pPr>
            <w:r>
              <w:rPr>
                <w:rFonts w:ascii="Arial" w:cs="Arial" w:eastAsia="Arial" w:hAnsi="Arial"/>
                <w:sz w:val="14"/>
                <w:szCs w:val="14"/>
                <w:color w:val="auto"/>
              </w:rPr>
              <w:t>355,830</w:t>
            </w:r>
          </w:p>
        </w:tc>
        <w:tc>
          <w:tcPr>
            <w:tcW w:w="760" w:type="dxa"/>
            <w:vAlign w:val="bottom"/>
            <w:tcBorders>
              <w:bottom w:val="single" w:sz="8" w:color="auto"/>
            </w:tcBorders>
          </w:tcPr>
          <w:p>
            <w:pPr>
              <w:jc w:val="right"/>
              <w:ind w:right="92"/>
              <w:spacing w:after="0"/>
              <w:rPr>
                <w:sz w:val="20"/>
                <w:szCs w:val="20"/>
                <w:color w:val="auto"/>
              </w:rPr>
            </w:pPr>
            <w:r>
              <w:rPr>
                <w:rFonts w:ascii="Arial" w:cs="Arial" w:eastAsia="Arial" w:hAnsi="Arial"/>
                <w:sz w:val="14"/>
                <w:szCs w:val="14"/>
                <w:color w:val="auto"/>
              </w:rPr>
              <w:t>—</w:t>
            </w:r>
          </w:p>
        </w:tc>
        <w:tc>
          <w:tcPr>
            <w:tcW w:w="1180" w:type="dxa"/>
            <w:vAlign w:val="bottom"/>
            <w:tcBorders>
              <w:bottom w:val="single" w:sz="8" w:color="auto"/>
            </w:tcBorders>
          </w:tcPr>
          <w:p>
            <w:pPr>
              <w:jc w:val="right"/>
              <w:ind w:right="92"/>
              <w:spacing w:after="0"/>
              <w:rPr>
                <w:sz w:val="20"/>
                <w:szCs w:val="20"/>
                <w:color w:val="auto"/>
              </w:rPr>
            </w:pPr>
            <w:r>
              <w:rPr>
                <w:rFonts w:ascii="Arial" w:cs="Arial" w:eastAsia="Arial" w:hAnsi="Arial"/>
                <w:sz w:val="14"/>
                <w:szCs w:val="14"/>
                <w:color w:val="auto"/>
              </w:rPr>
              <w:t>92,365</w:t>
            </w:r>
          </w:p>
        </w:tc>
        <w:tc>
          <w:tcPr>
            <w:tcW w:w="1240" w:type="dxa"/>
            <w:vAlign w:val="bottom"/>
            <w:tcBorders>
              <w:bottom w:val="single" w:sz="8" w:color="auto"/>
            </w:tcBorders>
          </w:tcPr>
          <w:p>
            <w:pPr>
              <w:jc w:val="right"/>
              <w:ind w:right="112"/>
              <w:spacing w:after="0"/>
              <w:rPr>
                <w:sz w:val="20"/>
                <w:szCs w:val="20"/>
                <w:color w:val="auto"/>
              </w:rPr>
            </w:pPr>
            <w:r>
              <w:rPr>
                <w:rFonts w:ascii="Arial" w:cs="Arial" w:eastAsia="Arial" w:hAnsi="Arial"/>
                <w:sz w:val="14"/>
                <w:szCs w:val="14"/>
                <w:color w:val="auto"/>
              </w:rPr>
              <w:t>205,312</w:t>
            </w:r>
          </w:p>
        </w:tc>
        <w:tc>
          <w:tcPr>
            <w:tcW w:w="1220" w:type="dxa"/>
            <w:vAlign w:val="bottom"/>
            <w:tcBorders>
              <w:bottom w:val="single" w:sz="8" w:color="auto"/>
            </w:tcBorders>
          </w:tcPr>
          <w:p>
            <w:pPr>
              <w:jc w:val="right"/>
              <w:ind w:right="92"/>
              <w:spacing w:after="0"/>
              <w:rPr>
                <w:sz w:val="20"/>
                <w:szCs w:val="20"/>
                <w:color w:val="auto"/>
              </w:rPr>
            </w:pPr>
            <w:r>
              <w:rPr>
                <w:rFonts w:ascii="Arial" w:cs="Arial" w:eastAsia="Arial" w:hAnsi="Arial"/>
                <w:sz w:val="14"/>
                <w:szCs w:val="14"/>
                <w:color w:val="auto"/>
              </w:rPr>
              <w:t>256,632</w:t>
            </w:r>
          </w:p>
        </w:tc>
        <w:tc>
          <w:tcPr>
            <w:tcW w:w="1480" w:type="dxa"/>
            <w:vAlign w:val="bottom"/>
            <w:tcBorders>
              <w:bottom w:val="single" w:sz="8" w:color="auto"/>
            </w:tcBorders>
          </w:tcPr>
          <w:p>
            <w:pPr>
              <w:jc w:val="right"/>
              <w:ind w:right="92"/>
              <w:spacing w:after="0"/>
              <w:rPr>
                <w:sz w:val="20"/>
                <w:szCs w:val="20"/>
                <w:color w:val="auto"/>
              </w:rPr>
            </w:pPr>
            <w:r>
              <w:rPr>
                <w:rFonts w:ascii="Arial" w:cs="Arial" w:eastAsia="Arial" w:hAnsi="Arial"/>
                <w:sz w:val="14"/>
                <w:szCs w:val="14"/>
                <w:color w:val="auto"/>
              </w:rPr>
              <w:t>454,709</w:t>
            </w:r>
          </w:p>
        </w:tc>
        <w:tc>
          <w:tcPr>
            <w:tcW w:w="1240" w:type="dxa"/>
            <w:vAlign w:val="bottom"/>
            <w:tcBorders>
              <w:bottom w:val="single" w:sz="8" w:color="auto"/>
            </w:tcBorders>
          </w:tcPr>
          <w:p>
            <w:pPr>
              <w:jc w:val="right"/>
              <w:ind w:right="112"/>
              <w:spacing w:after="0"/>
              <w:rPr>
                <w:sz w:val="20"/>
                <w:szCs w:val="20"/>
                <w:color w:val="auto"/>
              </w:rPr>
            </w:pPr>
            <w:r>
              <w:rPr>
                <w:rFonts w:ascii="Arial" w:cs="Arial" w:eastAsia="Arial" w:hAnsi="Arial"/>
                <w:sz w:val="14"/>
                <w:szCs w:val="14"/>
                <w:color w:val="auto"/>
              </w:rPr>
              <w:t>17,724</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1,382,572</w:t>
            </w:r>
          </w:p>
        </w:tc>
      </w:tr>
      <w:tr>
        <w:trPr>
          <w:trHeight w:val="200"/>
        </w:trPr>
        <w:tc>
          <w:tcPr>
            <w:tcW w:w="1960" w:type="dxa"/>
            <w:vAlign w:val="bottom"/>
            <w:tcBorders>
              <w:bottom w:val="single" w:sz="8" w:color="455986"/>
            </w:tcBorders>
          </w:tcPr>
          <w:p>
            <w:pPr>
              <w:spacing w:after="0"/>
              <w:rPr>
                <w:sz w:val="20"/>
                <w:szCs w:val="20"/>
                <w:color w:val="auto"/>
              </w:rPr>
            </w:pPr>
            <w:r>
              <w:rPr>
                <w:rFonts w:ascii="Arial" w:cs="Arial" w:eastAsia="Arial" w:hAnsi="Arial"/>
                <w:sz w:val="14"/>
                <w:szCs w:val="14"/>
                <w:color w:val="auto"/>
              </w:rPr>
              <w:t>and Secretary</w:t>
            </w:r>
          </w:p>
        </w:tc>
        <w:tc>
          <w:tcPr>
            <w:tcW w:w="660" w:type="dxa"/>
            <w:vAlign w:val="bottom"/>
            <w:tcBorders>
              <w:bottom w:val="single" w:sz="8" w:color="455986"/>
            </w:tcBorders>
          </w:tcPr>
          <w:p>
            <w:pPr>
              <w:ind w:left="180"/>
              <w:spacing w:after="0"/>
              <w:rPr>
                <w:sz w:val="20"/>
                <w:szCs w:val="20"/>
                <w:color w:val="auto"/>
              </w:rPr>
            </w:pPr>
            <w:r>
              <w:rPr>
                <w:rFonts w:ascii="Arial" w:cs="Arial" w:eastAsia="Arial" w:hAnsi="Arial"/>
                <w:sz w:val="14"/>
                <w:szCs w:val="14"/>
                <w:color w:val="auto"/>
              </w:rPr>
              <w:t>2018</w:t>
            </w:r>
          </w:p>
        </w:tc>
        <w:tc>
          <w:tcPr>
            <w:tcW w:w="840" w:type="dxa"/>
            <w:vAlign w:val="bottom"/>
            <w:tcBorders>
              <w:bottom w:val="single" w:sz="8" w:color="455986"/>
            </w:tcBorders>
          </w:tcPr>
          <w:p>
            <w:pPr>
              <w:jc w:val="right"/>
              <w:ind w:right="92"/>
              <w:spacing w:after="0"/>
              <w:rPr>
                <w:sz w:val="20"/>
                <w:szCs w:val="20"/>
                <w:color w:val="auto"/>
              </w:rPr>
            </w:pPr>
            <w:r>
              <w:rPr>
                <w:rFonts w:ascii="Arial" w:cs="Arial" w:eastAsia="Arial" w:hAnsi="Arial"/>
                <w:sz w:val="14"/>
                <w:szCs w:val="14"/>
                <w:color w:val="auto"/>
              </w:rPr>
              <w:t>339,732</w:t>
            </w:r>
          </w:p>
        </w:tc>
        <w:tc>
          <w:tcPr>
            <w:tcW w:w="760" w:type="dxa"/>
            <w:vAlign w:val="bottom"/>
            <w:tcBorders>
              <w:bottom w:val="single" w:sz="8" w:color="455986"/>
            </w:tcBorders>
          </w:tcPr>
          <w:p>
            <w:pPr>
              <w:jc w:val="right"/>
              <w:ind w:right="92"/>
              <w:spacing w:after="0"/>
              <w:rPr>
                <w:sz w:val="20"/>
                <w:szCs w:val="20"/>
                <w:color w:val="auto"/>
              </w:rPr>
            </w:pPr>
            <w:r>
              <w:rPr>
                <w:rFonts w:ascii="Arial" w:cs="Arial" w:eastAsia="Arial" w:hAnsi="Arial"/>
                <w:sz w:val="14"/>
                <w:szCs w:val="14"/>
                <w:color w:val="auto"/>
              </w:rPr>
              <w:t>—</w:t>
            </w:r>
          </w:p>
        </w:tc>
        <w:tc>
          <w:tcPr>
            <w:tcW w:w="1180" w:type="dxa"/>
            <w:vAlign w:val="bottom"/>
            <w:tcBorders>
              <w:bottom w:val="single" w:sz="8" w:color="455986"/>
            </w:tcBorders>
          </w:tcPr>
          <w:p>
            <w:pPr>
              <w:jc w:val="right"/>
              <w:ind w:right="92"/>
              <w:spacing w:after="0"/>
              <w:rPr>
                <w:sz w:val="20"/>
                <w:szCs w:val="20"/>
                <w:color w:val="auto"/>
              </w:rPr>
            </w:pPr>
            <w:r>
              <w:rPr>
                <w:rFonts w:ascii="Arial" w:cs="Arial" w:eastAsia="Arial" w:hAnsi="Arial"/>
                <w:sz w:val="14"/>
                <w:szCs w:val="14"/>
                <w:color w:val="auto"/>
              </w:rPr>
              <w:t>239,251</w:t>
            </w:r>
          </w:p>
        </w:tc>
        <w:tc>
          <w:tcPr>
            <w:tcW w:w="1240" w:type="dxa"/>
            <w:vAlign w:val="bottom"/>
            <w:tcBorders>
              <w:bottom w:val="single" w:sz="8" w:color="455986"/>
            </w:tcBorders>
          </w:tcPr>
          <w:p>
            <w:pPr>
              <w:jc w:val="right"/>
              <w:ind w:right="112"/>
              <w:spacing w:after="0"/>
              <w:rPr>
                <w:sz w:val="20"/>
                <w:szCs w:val="20"/>
                <w:color w:val="auto"/>
              </w:rPr>
            </w:pPr>
            <w:r>
              <w:rPr>
                <w:rFonts w:ascii="Arial" w:cs="Arial" w:eastAsia="Arial" w:hAnsi="Arial"/>
                <w:sz w:val="14"/>
                <w:szCs w:val="14"/>
                <w:color w:val="auto"/>
              </w:rPr>
              <w:t>36,797</w:t>
            </w:r>
          </w:p>
        </w:tc>
        <w:tc>
          <w:tcPr>
            <w:tcW w:w="1220" w:type="dxa"/>
            <w:vAlign w:val="bottom"/>
            <w:tcBorders>
              <w:bottom w:val="single" w:sz="8" w:color="455986"/>
            </w:tcBorders>
          </w:tcPr>
          <w:p>
            <w:pPr>
              <w:jc w:val="right"/>
              <w:ind w:right="92"/>
              <w:spacing w:after="0"/>
              <w:rPr>
                <w:sz w:val="20"/>
                <w:szCs w:val="20"/>
                <w:color w:val="auto"/>
              </w:rPr>
            </w:pPr>
            <w:r>
              <w:rPr>
                <w:rFonts w:ascii="Arial" w:cs="Arial" w:eastAsia="Arial" w:hAnsi="Arial"/>
                <w:sz w:val="14"/>
                <w:szCs w:val="14"/>
                <w:color w:val="auto"/>
              </w:rPr>
              <w:t>216,796</w:t>
            </w:r>
          </w:p>
        </w:tc>
        <w:tc>
          <w:tcPr>
            <w:tcW w:w="1480" w:type="dxa"/>
            <w:vAlign w:val="bottom"/>
            <w:tcBorders>
              <w:bottom w:val="single" w:sz="8" w:color="455986"/>
            </w:tcBorders>
          </w:tcPr>
          <w:p>
            <w:pPr>
              <w:jc w:val="right"/>
              <w:ind w:right="92"/>
              <w:spacing w:after="0"/>
              <w:rPr>
                <w:sz w:val="20"/>
                <w:szCs w:val="20"/>
                <w:color w:val="auto"/>
              </w:rPr>
            </w:pPr>
            <w:r>
              <w:rPr>
                <w:rFonts w:ascii="Arial" w:cs="Arial" w:eastAsia="Arial" w:hAnsi="Arial"/>
                <w:sz w:val="14"/>
                <w:szCs w:val="14"/>
                <w:color w:val="auto"/>
              </w:rPr>
              <w:t>31,811</w:t>
            </w:r>
          </w:p>
        </w:tc>
        <w:tc>
          <w:tcPr>
            <w:tcW w:w="1240" w:type="dxa"/>
            <w:vAlign w:val="bottom"/>
            <w:tcBorders>
              <w:bottom w:val="single" w:sz="8" w:color="455986"/>
            </w:tcBorders>
          </w:tcPr>
          <w:p>
            <w:pPr>
              <w:jc w:val="right"/>
              <w:ind w:right="112"/>
              <w:spacing w:after="0"/>
              <w:rPr>
                <w:sz w:val="20"/>
                <w:szCs w:val="20"/>
                <w:color w:val="auto"/>
              </w:rPr>
            </w:pPr>
            <w:r>
              <w:rPr>
                <w:rFonts w:ascii="Arial" w:cs="Arial" w:eastAsia="Arial" w:hAnsi="Arial"/>
                <w:sz w:val="14"/>
                <w:szCs w:val="14"/>
                <w:color w:val="auto"/>
              </w:rPr>
              <w:t>14,562</w:t>
            </w:r>
          </w:p>
        </w:tc>
        <w:tc>
          <w:tcPr>
            <w:tcW w:w="760" w:type="dxa"/>
            <w:vAlign w:val="bottom"/>
            <w:tcBorders>
              <w:bottom w:val="single" w:sz="8" w:color="455986"/>
            </w:tcBorders>
          </w:tcPr>
          <w:p>
            <w:pPr>
              <w:jc w:val="right"/>
              <w:spacing w:after="0"/>
              <w:rPr>
                <w:sz w:val="20"/>
                <w:szCs w:val="20"/>
                <w:color w:val="auto"/>
              </w:rPr>
            </w:pPr>
            <w:r>
              <w:rPr>
                <w:rFonts w:ascii="Arial" w:cs="Arial" w:eastAsia="Arial" w:hAnsi="Arial"/>
                <w:sz w:val="14"/>
                <w:szCs w:val="14"/>
                <w:color w:val="auto"/>
              </w:rPr>
              <w:t>878,949</w:t>
            </w:r>
          </w:p>
        </w:tc>
      </w:tr>
    </w:tbl>
    <w:p>
      <w:pPr>
        <w:spacing w:after="0" w:line="73" w:lineRule="exact"/>
        <w:rPr>
          <w:sz w:val="20"/>
          <w:szCs w:val="20"/>
          <w:color w:val="auto"/>
        </w:rPr>
      </w:pPr>
    </w:p>
    <w:p>
      <w:pPr>
        <w:ind w:left="200" w:hanging="198"/>
        <w:spacing w:after="0"/>
        <w:tabs>
          <w:tab w:leader="none" w:pos="200" w:val="left"/>
        </w:tabs>
        <w:numPr>
          <w:ilvl w:val="0"/>
          <w:numId w:val="128"/>
        </w:numPr>
        <w:rPr>
          <w:rFonts w:ascii="Arial" w:cs="Arial" w:eastAsia="Arial" w:hAnsi="Arial"/>
          <w:sz w:val="13"/>
          <w:szCs w:val="13"/>
          <w:color w:val="231F20"/>
        </w:rPr>
      </w:pPr>
      <w:r>
        <w:rPr>
          <w:rFonts w:ascii="Arial" w:cs="Arial" w:eastAsia="Arial" w:hAnsi="Arial"/>
          <w:sz w:val="13"/>
          <w:szCs w:val="13"/>
          <w:color w:val="231F20"/>
        </w:rPr>
        <w:t>Salary and Non-Equity Incentive Plan Compensation amounts include amounts deferred by the named executive officer pursuant to the Executive Deferral Plan described beginning on page 78.</w:t>
      </w:r>
    </w:p>
    <w:p>
      <w:pPr>
        <w:spacing w:after="0" w:line="65" w:lineRule="exact"/>
        <w:rPr>
          <w:rFonts w:ascii="Arial" w:cs="Arial" w:eastAsia="Arial" w:hAnsi="Arial"/>
          <w:sz w:val="13"/>
          <w:szCs w:val="13"/>
          <w:color w:val="231F20"/>
        </w:rPr>
      </w:pPr>
    </w:p>
    <w:p>
      <w:pPr>
        <w:ind w:left="200" w:right="100" w:hanging="198"/>
        <w:spacing w:after="0" w:line="238" w:lineRule="auto"/>
        <w:tabs>
          <w:tab w:leader="none" w:pos="200" w:val="left"/>
        </w:tabs>
        <w:numPr>
          <w:ilvl w:val="0"/>
          <w:numId w:val="128"/>
        </w:numPr>
        <w:rPr>
          <w:rFonts w:ascii="Arial" w:cs="Arial" w:eastAsia="Arial" w:hAnsi="Arial"/>
          <w:sz w:val="13"/>
          <w:szCs w:val="13"/>
          <w:color w:val="231F20"/>
        </w:rPr>
      </w:pPr>
      <w:r>
        <w:rPr>
          <w:rFonts w:ascii="Arial" w:cs="Arial" w:eastAsia="Arial" w:hAnsi="Arial"/>
          <w:sz w:val="13"/>
          <w:szCs w:val="13"/>
          <w:b w:val="1"/>
          <w:bCs w:val="1"/>
          <w:color w:val="231F20"/>
        </w:rPr>
        <w:t xml:space="preserve">The grant date fair value of stock-based compensation </w:t>
      </w:r>
      <w:r>
        <w:rPr>
          <w:rFonts w:ascii="Arial" w:cs="Arial" w:eastAsia="Arial" w:hAnsi="Arial"/>
          <w:sz w:val="13"/>
          <w:szCs w:val="13"/>
          <w:color w:val="231F20"/>
        </w:rPr>
        <w:t>is based on the fair market value on the date of grant as determined In accordance with the FASB ASC Topic 718 accounting guidance</w:t>
      </w:r>
      <w:r>
        <w:rPr>
          <w:rFonts w:ascii="Arial" w:cs="Arial" w:eastAsia="Arial" w:hAnsi="Arial"/>
          <w:sz w:val="13"/>
          <w:szCs w:val="13"/>
          <w:b w:val="1"/>
          <w:bCs w:val="1"/>
          <w:color w:val="231F20"/>
        </w:rPr>
        <w:t xml:space="preserve"> </w:t>
      </w:r>
      <w:r>
        <w:rPr>
          <w:rFonts w:ascii="Arial" w:cs="Arial" w:eastAsia="Arial" w:hAnsi="Arial"/>
          <w:sz w:val="13"/>
          <w:szCs w:val="13"/>
          <w:color w:val="231F20"/>
        </w:rPr>
        <w:t>for stock compensation. The assumptions used in calculating the fair market value are set forth in Note 14, Employee Stock and Incentive Plan contained In the Notes to the Consolidated Financial Statements In the Company’s Annual Report on Form 10-K for the fiscal year ended December 31, 2020. For performance shares, the RSUs, and Restricted Stock, the Grant Date Fair Value of Stock and Options Awards shown is based on the target number of the shares underlying the awards granted.</w:t>
      </w:r>
    </w:p>
    <w:p>
      <w:pPr>
        <w:spacing w:after="0" w:line="57" w:lineRule="exact"/>
        <w:rPr>
          <w:rFonts w:ascii="Arial" w:cs="Arial" w:eastAsia="Arial" w:hAnsi="Arial"/>
          <w:sz w:val="13"/>
          <w:szCs w:val="13"/>
          <w:color w:val="231F20"/>
        </w:rPr>
      </w:pPr>
    </w:p>
    <w:p>
      <w:pPr>
        <w:ind w:left="200" w:right="360" w:hanging="198"/>
        <w:spacing w:after="0" w:line="263" w:lineRule="auto"/>
        <w:tabs>
          <w:tab w:leader="none" w:pos="200" w:val="left"/>
        </w:tabs>
        <w:numPr>
          <w:ilvl w:val="0"/>
          <w:numId w:val="128"/>
        </w:numPr>
        <w:rPr>
          <w:rFonts w:ascii="Arial" w:cs="Arial" w:eastAsia="Arial" w:hAnsi="Arial"/>
          <w:sz w:val="13"/>
          <w:szCs w:val="13"/>
          <w:color w:val="231F20"/>
        </w:rPr>
      </w:pPr>
      <w:r>
        <w:rPr>
          <w:rFonts w:ascii="Arial" w:cs="Arial" w:eastAsia="Arial" w:hAnsi="Arial"/>
          <w:sz w:val="13"/>
          <w:szCs w:val="13"/>
          <w:b w:val="1"/>
          <w:bCs w:val="1"/>
          <w:color w:val="231F20"/>
        </w:rPr>
        <w:t xml:space="preserve">Non-Equity Incentive Plan Compensation </w:t>
      </w:r>
      <w:r>
        <w:rPr>
          <w:rFonts w:ascii="Arial" w:cs="Arial" w:eastAsia="Arial" w:hAnsi="Arial"/>
          <w:sz w:val="13"/>
          <w:szCs w:val="13"/>
          <w:color w:val="231F20"/>
        </w:rPr>
        <w:t>is shown for the year in which the compensation is earned and is generally paid in the following calendar year. See the description of these annual</w:t>
      </w:r>
      <w:r>
        <w:rPr>
          <w:rFonts w:ascii="Arial" w:cs="Arial" w:eastAsia="Arial" w:hAnsi="Arial"/>
          <w:sz w:val="13"/>
          <w:szCs w:val="13"/>
          <w:b w:val="1"/>
          <w:bCs w:val="1"/>
          <w:color w:val="231F20"/>
        </w:rPr>
        <w:t xml:space="preserve"> </w:t>
      </w:r>
      <w:r>
        <w:rPr>
          <w:rFonts w:ascii="Arial" w:cs="Arial" w:eastAsia="Arial" w:hAnsi="Arial"/>
          <w:sz w:val="13"/>
          <w:szCs w:val="13"/>
          <w:color w:val="231F20"/>
        </w:rPr>
        <w:t>cash Incentive awards above under the CD&amp;A section of this proxy statement.</w:t>
      </w:r>
    </w:p>
    <w:p>
      <w:pPr>
        <w:spacing w:after="0" w:line="42" w:lineRule="exact"/>
        <w:rPr>
          <w:rFonts w:ascii="Arial" w:cs="Arial" w:eastAsia="Arial" w:hAnsi="Arial"/>
          <w:sz w:val="13"/>
          <w:szCs w:val="13"/>
          <w:color w:val="231F20"/>
        </w:rPr>
      </w:pPr>
    </w:p>
    <w:p>
      <w:pPr>
        <w:ind w:left="200" w:right="200" w:hanging="198"/>
        <w:spacing w:after="0" w:line="232" w:lineRule="auto"/>
        <w:tabs>
          <w:tab w:leader="none" w:pos="200" w:val="left"/>
        </w:tabs>
        <w:numPr>
          <w:ilvl w:val="0"/>
          <w:numId w:val="128"/>
        </w:numPr>
        <w:rPr>
          <w:rFonts w:ascii="Arial" w:cs="Arial" w:eastAsia="Arial" w:hAnsi="Arial"/>
          <w:sz w:val="13"/>
          <w:szCs w:val="13"/>
          <w:color w:val="231F20"/>
        </w:rPr>
      </w:pPr>
      <w:r>
        <w:rPr>
          <w:rFonts w:ascii="Arial" w:cs="Arial" w:eastAsia="Arial" w:hAnsi="Arial"/>
          <w:sz w:val="13"/>
          <w:szCs w:val="13"/>
          <w:b w:val="1"/>
          <w:bCs w:val="1"/>
          <w:color w:val="231F20"/>
        </w:rPr>
        <w:t xml:space="preserve">Change in Non-qualified Pension Value and Deferred Compensation Earnings. </w:t>
      </w:r>
      <w:r>
        <w:rPr>
          <w:rFonts w:ascii="Arial" w:cs="Arial" w:eastAsia="Arial" w:hAnsi="Arial"/>
          <w:sz w:val="13"/>
          <w:szCs w:val="13"/>
          <w:color w:val="231F20"/>
        </w:rPr>
        <w:t>The increase from 2018 to 2019 was primarily due to the significant decrease in the discount rate from 4.30%</w:t>
      </w:r>
      <w:r>
        <w:rPr>
          <w:rFonts w:ascii="Arial" w:cs="Arial" w:eastAsia="Arial" w:hAnsi="Arial"/>
          <w:sz w:val="13"/>
          <w:szCs w:val="13"/>
          <w:b w:val="1"/>
          <w:bCs w:val="1"/>
          <w:color w:val="231F20"/>
        </w:rPr>
        <w:t xml:space="preserve"> </w:t>
      </w:r>
      <w:r>
        <w:rPr>
          <w:rFonts w:ascii="Arial" w:cs="Arial" w:eastAsia="Arial" w:hAnsi="Arial"/>
          <w:sz w:val="13"/>
          <w:szCs w:val="13"/>
          <w:color w:val="231F20"/>
        </w:rPr>
        <w:t>at December 31, 2018 to 3.35% at December 31, 2019, plus the increase in benefit accrual for each participant. The change in pension value is based on the aggregate change In the actuarial present value of the named executive officer’s accumulated benefit under all defined benefit pension plans (Including non-qualified pension plans) from the pension plan measurement date used for financial statement reporting purposes in the Company’s audited statements for the prior completed fiscal year to the pension plan measurement date used for financial statement reporting purposes in the Company’s audited financial statements for the covered fiscal year. All amounts deferred by participants in the Executive Deferral Plan and all prior deferrals under the Executive Deferral Plan are invested in a variety of mutual funds selected by each participant under trust-owned life insurance used by the Company to fund the Executive Deferral Plan; there are no preferential or above-market earnings on this deferred compensation. Messrs. Rhodes and Schuller are not eligible to participate in the Retirement Plan because they were hired by the Company after the Retirement Plan was closed to new entrants.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104140</wp:posOffset>
            </wp:positionV>
            <wp:extent cx="7139940" cy="825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7139940" cy="8255"/>
                    </a:xfrm>
                    <a:prstGeom prst="rect">
                      <a:avLst/>
                    </a:prstGeom>
                    <a:noFill/>
                  </pic:spPr>
                </pic:pic>
              </a:graphicData>
            </a:graphic>
          </wp:anchor>
        </w:drawing>
      </w:r>
    </w:p>
    <w:p>
      <w:pPr>
        <w:spacing w:after="0" w:line="214" w:lineRule="exact"/>
        <w:rPr>
          <w:sz w:val="20"/>
          <w:szCs w:val="20"/>
          <w:color w:val="auto"/>
        </w:rPr>
      </w:pPr>
    </w:p>
    <w:p>
      <w:pPr>
        <w:ind w:left="300" w:hanging="298"/>
        <w:spacing w:after="0"/>
        <w:tabs>
          <w:tab w:leader="none" w:pos="300" w:val="left"/>
        </w:tabs>
        <w:numPr>
          <w:ilvl w:val="0"/>
          <w:numId w:val="129"/>
        </w:numPr>
        <w:rPr>
          <w:rFonts w:ascii="Arial" w:cs="Arial" w:eastAsia="Arial" w:hAnsi="Arial"/>
          <w:sz w:val="15"/>
          <w:szCs w:val="15"/>
          <w:color w:val="455986"/>
        </w:rPr>
      </w:pPr>
      <w:r>
        <w:rPr>
          <w:rFonts w:ascii="Arial" w:cs="Arial" w:eastAsia="Arial" w:hAnsi="Arial"/>
          <w:sz w:val="12"/>
          <w:szCs w:val="12"/>
          <w:color w:val="4395D4"/>
        </w:rPr>
        <w:t xml:space="preserve">ESSENTIAL UTILITIES, INC. </w:t>
      </w:r>
      <w:r>
        <w:rPr>
          <w:rFonts w:ascii="Arial" w:cs="Arial" w:eastAsia="Arial" w:hAnsi="Arial"/>
          <w:sz w:val="12"/>
          <w:szCs w:val="12"/>
          <w:color w:val="455986"/>
        </w:rPr>
        <w:t>2021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316230</wp:posOffset>
            </wp:positionV>
            <wp:extent cx="7139940" cy="2413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7139940" cy="24130"/>
                    </a:xfrm>
                    <a:prstGeom prst="rect">
                      <a:avLst/>
                    </a:prstGeom>
                    <a:noFill/>
                  </pic:spPr>
                </pic:pic>
              </a:graphicData>
            </a:graphic>
          </wp:anchor>
        </w:drawing>
      </w:r>
    </w:p>
    <w:p>
      <w:pPr>
        <w:sectPr>
          <w:pgSz w:w="11900" w:h="16838" w:orient="portrait"/>
          <w:cols w:equalWidth="0" w:num="1">
            <w:col w:w="11340"/>
          </w:cols>
          <w:pgMar w:left="320" w:top="585" w:right="239" w:bottom="1440" w:gutter="0" w:footer="0" w:header="0"/>
        </w:sectPr>
      </w:pPr>
    </w:p>
    <w:bookmarkStart w:id="73" w:name="page74"/>
    <w:bookmarkEnd w:id="73"/>
    <w:p>
      <w:pPr>
        <w:spacing w:after="0"/>
        <w:rPr>
          <w:sz w:val="20"/>
          <w:szCs w:val="20"/>
          <w:color w:val="auto"/>
        </w:rPr>
      </w:pPr>
      <w:r>
        <w:rPr>
          <w:rFonts w:ascii="Arial" w:cs="Arial" w:eastAsia="Arial" w:hAnsi="Arial"/>
          <w:sz w:val="14"/>
          <w:szCs w:val="14"/>
          <w:b w:val="1"/>
          <w:bCs w:val="1"/>
          <w:color w:val="455986"/>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27940</wp:posOffset>
            </wp:positionV>
            <wp:extent cx="7139940" cy="825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7139940" cy="8255"/>
                    </a:xfrm>
                    <a:prstGeom prst="rect">
                      <a:avLst/>
                    </a:prstGeom>
                    <a:noFill/>
                  </pic:spPr>
                </pic:pic>
              </a:graphicData>
            </a:graphic>
          </wp:anchor>
        </w:drawing>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4460" w:type="dxa"/>
            <w:vAlign w:val="bottom"/>
            <w:gridSpan w:val="3"/>
          </w:tcPr>
          <w:p>
            <w:pPr>
              <w:spacing w:after="0"/>
              <w:rPr>
                <w:sz w:val="20"/>
                <w:szCs w:val="20"/>
                <w:color w:val="auto"/>
              </w:rPr>
            </w:pPr>
            <w:r>
              <w:rPr>
                <w:rFonts w:ascii="Arial" w:cs="Arial" w:eastAsia="Arial" w:hAnsi="Arial"/>
                <w:sz w:val="13"/>
                <w:szCs w:val="13"/>
                <w:color w:val="231F20"/>
              </w:rPr>
              <w:t xml:space="preserve">(5) </w:t>
            </w:r>
            <w:r>
              <w:rPr>
                <w:rFonts w:ascii="Arial" w:cs="Arial" w:eastAsia="Arial" w:hAnsi="Arial"/>
                <w:sz w:val="13"/>
                <w:szCs w:val="13"/>
                <w:b w:val="1"/>
                <w:bCs w:val="1"/>
                <w:color w:val="231F20"/>
              </w:rPr>
              <w:t>All Other Compensation</w:t>
            </w:r>
            <w:r>
              <w:rPr>
                <w:rFonts w:ascii="Arial" w:cs="Arial" w:eastAsia="Arial" w:hAnsi="Arial"/>
                <w:sz w:val="13"/>
                <w:szCs w:val="13"/>
                <w:color w:val="231F20"/>
              </w:rPr>
              <w:t xml:space="preserve"> includes the components listed below.</w:t>
            </w:r>
          </w:p>
        </w:tc>
        <w:tc>
          <w:tcPr>
            <w:tcW w:w="96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700" w:type="dxa"/>
            <w:vAlign w:val="bottom"/>
          </w:tcPr>
          <w:p>
            <w:pPr>
              <w:spacing w:after="0"/>
              <w:rPr>
                <w:sz w:val="15"/>
                <w:szCs w:val="15"/>
                <w:color w:val="auto"/>
              </w:rPr>
            </w:pPr>
          </w:p>
        </w:tc>
      </w:tr>
      <w:tr>
        <w:trPr>
          <w:trHeight w:val="388"/>
        </w:trPr>
        <w:tc>
          <w:tcPr>
            <w:tcW w:w="19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100" w:type="dxa"/>
            <w:vAlign w:val="bottom"/>
          </w:tcPr>
          <w:p>
            <w:pPr>
              <w:jc w:val="right"/>
              <w:ind w:right="92"/>
              <w:spacing w:after="0"/>
              <w:rPr>
                <w:sz w:val="20"/>
                <w:szCs w:val="20"/>
                <w:color w:val="auto"/>
              </w:rPr>
            </w:pPr>
            <w:r>
              <w:rPr>
                <w:rFonts w:ascii="Arial" w:cs="Arial" w:eastAsia="Arial" w:hAnsi="Arial"/>
                <w:sz w:val="14"/>
                <w:szCs w:val="14"/>
                <w:color w:val="auto"/>
              </w:rPr>
              <w:t>Dividend</w:t>
            </w:r>
          </w:p>
        </w:tc>
        <w:tc>
          <w:tcPr>
            <w:tcW w:w="960" w:type="dxa"/>
            <w:vAlign w:val="bottom"/>
          </w:tcPr>
          <w:p>
            <w:pPr>
              <w:spacing w:after="0"/>
              <w:rPr>
                <w:sz w:val="24"/>
                <w:szCs w:val="24"/>
                <w:color w:val="auto"/>
              </w:rPr>
            </w:pPr>
          </w:p>
        </w:tc>
        <w:tc>
          <w:tcPr>
            <w:tcW w:w="1680" w:type="dxa"/>
            <w:vAlign w:val="bottom"/>
          </w:tcPr>
          <w:p>
            <w:pPr>
              <w:jc w:val="right"/>
              <w:ind w:right="192"/>
              <w:spacing w:after="0"/>
              <w:rPr>
                <w:sz w:val="20"/>
                <w:szCs w:val="20"/>
                <w:color w:val="auto"/>
              </w:rPr>
            </w:pPr>
            <w:r>
              <w:rPr>
                <w:rFonts w:ascii="Arial" w:cs="Arial" w:eastAsia="Arial" w:hAnsi="Arial"/>
                <w:sz w:val="14"/>
                <w:szCs w:val="14"/>
                <w:color w:val="231F20"/>
              </w:rPr>
              <w:t>401(k) Company</w:t>
            </w:r>
          </w:p>
        </w:tc>
        <w:tc>
          <w:tcPr>
            <w:tcW w:w="11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153"/>
        </w:trPr>
        <w:tc>
          <w:tcPr>
            <w:tcW w:w="194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1100" w:type="dxa"/>
            <w:vAlign w:val="bottom"/>
          </w:tcPr>
          <w:p>
            <w:pPr>
              <w:jc w:val="right"/>
              <w:ind w:right="52"/>
              <w:spacing w:after="0" w:line="153" w:lineRule="exact"/>
              <w:rPr>
                <w:sz w:val="20"/>
                <w:szCs w:val="20"/>
                <w:color w:val="auto"/>
              </w:rPr>
            </w:pPr>
            <w:r>
              <w:rPr>
                <w:rFonts w:ascii="Arial" w:cs="Arial" w:eastAsia="Arial" w:hAnsi="Arial"/>
                <w:sz w:val="14"/>
                <w:szCs w:val="14"/>
                <w:color w:val="auto"/>
              </w:rPr>
              <w:t>Equivalents</w:t>
            </w:r>
          </w:p>
        </w:tc>
        <w:tc>
          <w:tcPr>
            <w:tcW w:w="960" w:type="dxa"/>
            <w:vAlign w:val="bottom"/>
          </w:tcPr>
          <w:p>
            <w:pPr>
              <w:jc w:val="right"/>
              <w:ind w:right="133"/>
              <w:spacing w:after="0" w:line="153" w:lineRule="exact"/>
              <w:rPr>
                <w:sz w:val="20"/>
                <w:szCs w:val="20"/>
                <w:color w:val="auto"/>
              </w:rPr>
            </w:pPr>
            <w:r>
              <w:rPr>
                <w:rFonts w:ascii="Arial" w:cs="Arial" w:eastAsia="Arial" w:hAnsi="Arial"/>
                <w:sz w:val="14"/>
                <w:szCs w:val="14"/>
                <w:color w:val="auto"/>
              </w:rPr>
              <w:t>Group Life</w:t>
            </w:r>
          </w:p>
        </w:tc>
        <w:tc>
          <w:tcPr>
            <w:tcW w:w="1680" w:type="dxa"/>
            <w:vAlign w:val="bottom"/>
          </w:tcPr>
          <w:p>
            <w:pPr>
              <w:jc w:val="right"/>
              <w:ind w:right="192"/>
              <w:spacing w:after="0" w:line="153" w:lineRule="exact"/>
              <w:rPr>
                <w:sz w:val="20"/>
                <w:szCs w:val="20"/>
                <w:color w:val="auto"/>
              </w:rPr>
            </w:pPr>
            <w:r>
              <w:rPr>
                <w:rFonts w:ascii="Arial" w:cs="Arial" w:eastAsia="Arial" w:hAnsi="Arial"/>
                <w:sz w:val="14"/>
                <w:szCs w:val="14"/>
                <w:color w:val="231F20"/>
              </w:rPr>
              <w:t>Match and Company</w:t>
            </w:r>
          </w:p>
        </w:tc>
        <w:tc>
          <w:tcPr>
            <w:tcW w:w="1140" w:type="dxa"/>
            <w:vAlign w:val="bottom"/>
          </w:tcPr>
          <w:p>
            <w:pPr>
              <w:jc w:val="right"/>
              <w:ind w:right="193"/>
              <w:spacing w:after="0" w:line="153" w:lineRule="exact"/>
              <w:rPr>
                <w:sz w:val="20"/>
                <w:szCs w:val="20"/>
                <w:color w:val="auto"/>
              </w:rPr>
            </w:pPr>
            <w:r>
              <w:rPr>
                <w:rFonts w:ascii="Arial" w:cs="Arial" w:eastAsia="Arial" w:hAnsi="Arial"/>
                <w:sz w:val="14"/>
                <w:szCs w:val="14"/>
                <w:color w:val="auto"/>
              </w:rPr>
              <w:t>Relocation</w:t>
            </w:r>
          </w:p>
        </w:tc>
        <w:tc>
          <w:tcPr>
            <w:tcW w:w="1420" w:type="dxa"/>
            <w:vAlign w:val="bottom"/>
          </w:tcPr>
          <w:p>
            <w:pPr>
              <w:jc w:val="right"/>
              <w:ind w:right="233"/>
              <w:spacing w:after="0" w:line="153" w:lineRule="exact"/>
              <w:rPr>
                <w:sz w:val="20"/>
                <w:szCs w:val="20"/>
                <w:color w:val="auto"/>
              </w:rPr>
            </w:pPr>
            <w:r>
              <w:rPr>
                <w:rFonts w:ascii="Arial" w:cs="Arial" w:eastAsia="Arial" w:hAnsi="Arial"/>
                <w:sz w:val="14"/>
                <w:szCs w:val="14"/>
                <w:color w:val="auto"/>
              </w:rPr>
              <w:t>Car Allowance</w:t>
            </w:r>
          </w:p>
        </w:tc>
        <w:tc>
          <w:tcPr>
            <w:tcW w:w="880" w:type="dxa"/>
            <w:vAlign w:val="bottom"/>
          </w:tcPr>
          <w:p>
            <w:pPr>
              <w:jc w:val="right"/>
              <w:ind w:right="192"/>
              <w:spacing w:after="0" w:line="153" w:lineRule="exact"/>
              <w:rPr>
                <w:sz w:val="20"/>
                <w:szCs w:val="20"/>
                <w:color w:val="auto"/>
              </w:rPr>
            </w:pPr>
            <w:r>
              <w:rPr>
                <w:rFonts w:ascii="Arial" w:cs="Arial" w:eastAsia="Arial" w:hAnsi="Arial"/>
                <w:sz w:val="14"/>
                <w:szCs w:val="14"/>
                <w:color w:val="auto"/>
              </w:rPr>
              <w:t>Other</w:t>
            </w:r>
          </w:p>
        </w:tc>
        <w:tc>
          <w:tcPr>
            <w:tcW w:w="700" w:type="dxa"/>
            <w:vAlign w:val="bottom"/>
          </w:tcPr>
          <w:p>
            <w:pPr>
              <w:jc w:val="right"/>
              <w:spacing w:after="0" w:line="153" w:lineRule="exact"/>
              <w:rPr>
                <w:sz w:val="20"/>
                <w:szCs w:val="20"/>
                <w:color w:val="auto"/>
              </w:rPr>
            </w:pPr>
            <w:r>
              <w:rPr>
                <w:rFonts w:ascii="Arial" w:cs="Arial" w:eastAsia="Arial" w:hAnsi="Arial"/>
                <w:sz w:val="14"/>
                <w:szCs w:val="14"/>
                <w:color w:val="auto"/>
              </w:rPr>
              <w:t>Total</w:t>
            </w:r>
          </w:p>
        </w:tc>
      </w:tr>
      <w:tr>
        <w:trPr>
          <w:trHeight w:val="204"/>
        </w:trPr>
        <w:tc>
          <w:tcPr>
            <w:tcW w:w="1940" w:type="dxa"/>
            <w:vAlign w:val="bottom"/>
            <w:tcBorders>
              <w:bottom w:val="single" w:sz="8" w:color="231F20"/>
            </w:tcBorders>
          </w:tcPr>
          <w:p>
            <w:pPr>
              <w:spacing w:after="0"/>
              <w:rPr>
                <w:sz w:val="17"/>
                <w:szCs w:val="17"/>
                <w:color w:val="auto"/>
              </w:rPr>
            </w:pPr>
          </w:p>
        </w:tc>
        <w:tc>
          <w:tcPr>
            <w:tcW w:w="1420" w:type="dxa"/>
            <w:vAlign w:val="bottom"/>
            <w:tcBorders>
              <w:bottom w:val="single" w:sz="8" w:color="231F20"/>
            </w:tcBorders>
          </w:tcPr>
          <w:p>
            <w:pPr>
              <w:spacing w:after="0"/>
              <w:rPr>
                <w:sz w:val="17"/>
                <w:szCs w:val="17"/>
                <w:color w:val="auto"/>
              </w:rPr>
            </w:pPr>
          </w:p>
        </w:tc>
        <w:tc>
          <w:tcPr>
            <w:tcW w:w="1100" w:type="dxa"/>
            <w:vAlign w:val="bottom"/>
            <w:tcBorders>
              <w:bottom w:val="single" w:sz="8" w:color="231F20"/>
            </w:tcBorders>
          </w:tcPr>
          <w:p>
            <w:pPr>
              <w:jc w:val="right"/>
              <w:ind w:right="52"/>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231F20"/>
            </w:tcBorders>
          </w:tcPr>
          <w:p>
            <w:pPr>
              <w:jc w:val="right"/>
              <w:ind w:right="93"/>
              <w:spacing w:after="0" w:line="204" w:lineRule="exact"/>
              <w:rPr>
                <w:sz w:val="20"/>
                <w:szCs w:val="20"/>
                <w:color w:val="auto"/>
              </w:rPr>
            </w:pPr>
            <w:r>
              <w:rPr>
                <w:rFonts w:ascii="Arial" w:cs="Arial" w:eastAsia="Arial" w:hAnsi="Arial"/>
                <w:sz w:val="23"/>
                <w:szCs w:val="23"/>
                <w:color w:val="auto"/>
                <w:vertAlign w:val="subscript"/>
              </w:rPr>
              <w:t>($)</w:t>
            </w:r>
            <w:r>
              <w:rPr>
                <w:rFonts w:ascii="Arial" w:cs="Arial" w:eastAsia="Arial" w:hAnsi="Arial"/>
                <w:sz w:val="10"/>
                <w:szCs w:val="10"/>
                <w:color w:val="auto"/>
              </w:rPr>
              <w:t>(a)</w:t>
            </w:r>
          </w:p>
        </w:tc>
        <w:tc>
          <w:tcPr>
            <w:tcW w:w="1680" w:type="dxa"/>
            <w:vAlign w:val="bottom"/>
            <w:tcBorders>
              <w:bottom w:val="single" w:sz="8" w:color="231F20"/>
            </w:tcBorders>
          </w:tcPr>
          <w:p>
            <w:pPr>
              <w:jc w:val="right"/>
              <w:ind w:right="172"/>
              <w:spacing w:after="0" w:line="204" w:lineRule="exact"/>
              <w:rPr>
                <w:sz w:val="20"/>
                <w:szCs w:val="20"/>
                <w:color w:val="auto"/>
              </w:rPr>
            </w:pPr>
            <w:r>
              <w:rPr>
                <w:rFonts w:ascii="Arial" w:cs="Arial" w:eastAsia="Arial" w:hAnsi="Arial"/>
                <w:sz w:val="14"/>
                <w:szCs w:val="14"/>
                <w:color w:val="231F20"/>
              </w:rPr>
              <w:t>Contribution ($)</w:t>
            </w:r>
            <w:r>
              <w:rPr>
                <w:rFonts w:ascii="Arial" w:cs="Arial" w:eastAsia="Arial" w:hAnsi="Arial"/>
                <w:sz w:val="22"/>
                <w:szCs w:val="22"/>
                <w:color w:val="231F20"/>
                <w:vertAlign w:val="superscript"/>
              </w:rPr>
              <w:t>(b)</w:t>
            </w:r>
          </w:p>
        </w:tc>
        <w:tc>
          <w:tcPr>
            <w:tcW w:w="1140" w:type="dxa"/>
            <w:vAlign w:val="bottom"/>
            <w:tcBorders>
              <w:bottom w:val="single" w:sz="8" w:color="231F20"/>
            </w:tcBorders>
          </w:tcPr>
          <w:p>
            <w:pPr>
              <w:jc w:val="right"/>
              <w:ind w:right="153"/>
              <w:spacing w:after="0" w:line="204" w:lineRule="exact"/>
              <w:rPr>
                <w:sz w:val="20"/>
                <w:szCs w:val="20"/>
                <w:color w:val="auto"/>
              </w:rPr>
            </w:pPr>
            <w:r>
              <w:rPr>
                <w:rFonts w:ascii="Arial" w:cs="Arial" w:eastAsia="Arial" w:hAnsi="Arial"/>
                <w:sz w:val="23"/>
                <w:szCs w:val="23"/>
                <w:color w:val="auto"/>
                <w:vertAlign w:val="subscript"/>
              </w:rPr>
              <w:t>($)</w:t>
            </w:r>
            <w:r>
              <w:rPr>
                <w:rFonts w:ascii="Arial" w:cs="Arial" w:eastAsia="Arial" w:hAnsi="Arial"/>
                <w:sz w:val="10"/>
                <w:szCs w:val="10"/>
                <w:color w:val="auto"/>
              </w:rPr>
              <w:t>(c)</w:t>
            </w:r>
          </w:p>
        </w:tc>
        <w:tc>
          <w:tcPr>
            <w:tcW w:w="1420" w:type="dxa"/>
            <w:vAlign w:val="bottom"/>
            <w:tcBorders>
              <w:bottom w:val="single" w:sz="8" w:color="231F20"/>
            </w:tcBorders>
          </w:tcPr>
          <w:p>
            <w:pPr>
              <w:jc w:val="right"/>
              <w:ind w:right="193"/>
              <w:spacing w:after="0" w:line="204" w:lineRule="exact"/>
              <w:rPr>
                <w:sz w:val="20"/>
                <w:szCs w:val="20"/>
                <w:color w:val="auto"/>
              </w:rPr>
            </w:pPr>
            <w:r>
              <w:rPr>
                <w:rFonts w:ascii="Arial" w:cs="Arial" w:eastAsia="Arial" w:hAnsi="Arial"/>
                <w:sz w:val="23"/>
                <w:szCs w:val="23"/>
                <w:color w:val="auto"/>
                <w:vertAlign w:val="subscript"/>
              </w:rPr>
              <w:t>($)</w:t>
            </w:r>
            <w:r>
              <w:rPr>
                <w:rFonts w:ascii="Arial" w:cs="Arial" w:eastAsia="Arial" w:hAnsi="Arial"/>
                <w:sz w:val="10"/>
                <w:szCs w:val="10"/>
                <w:color w:val="auto"/>
              </w:rPr>
              <w:t>(d)</w:t>
            </w:r>
          </w:p>
        </w:tc>
        <w:tc>
          <w:tcPr>
            <w:tcW w:w="880" w:type="dxa"/>
            <w:vAlign w:val="bottom"/>
            <w:tcBorders>
              <w:bottom w:val="single" w:sz="8" w:color="231F20"/>
            </w:tcBorders>
          </w:tcPr>
          <w:p>
            <w:pPr>
              <w:jc w:val="right"/>
              <w:ind w:right="152"/>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231F20"/>
            </w:tcBorders>
          </w:tcPr>
          <w:p>
            <w:pPr>
              <w:jc w:val="right"/>
              <w:spacing w:after="0"/>
              <w:rPr>
                <w:sz w:val="20"/>
                <w:szCs w:val="20"/>
                <w:color w:val="auto"/>
              </w:rPr>
            </w:pPr>
            <w:r>
              <w:rPr>
                <w:rFonts w:ascii="Arial" w:cs="Arial" w:eastAsia="Arial" w:hAnsi="Arial"/>
                <w:sz w:val="14"/>
                <w:szCs w:val="14"/>
                <w:color w:val="auto"/>
              </w:rPr>
              <w:t>($)</w:t>
            </w:r>
          </w:p>
        </w:tc>
      </w:tr>
      <w:tr>
        <w:trPr>
          <w:trHeight w:val="193"/>
        </w:trPr>
        <w:tc>
          <w:tcPr>
            <w:tcW w:w="1940" w:type="dxa"/>
            <w:vAlign w:val="bottom"/>
          </w:tcPr>
          <w:p>
            <w:pPr>
              <w:spacing w:after="0"/>
              <w:rPr>
                <w:sz w:val="20"/>
                <w:szCs w:val="20"/>
                <w:color w:val="auto"/>
              </w:rPr>
            </w:pPr>
            <w:r>
              <w:rPr>
                <w:rFonts w:ascii="Arial" w:cs="Arial" w:eastAsia="Arial" w:hAnsi="Arial"/>
                <w:sz w:val="14"/>
                <w:szCs w:val="14"/>
                <w:color w:val="231F20"/>
              </w:rPr>
              <w:t>Franklin</w:t>
            </w:r>
          </w:p>
        </w:tc>
        <w:tc>
          <w:tcPr>
            <w:tcW w:w="1420" w:type="dxa"/>
            <w:vAlign w:val="bottom"/>
            <w:tcBorders>
              <w:bottom w:val="single" w:sz="8" w:color="231F20"/>
            </w:tcBorders>
          </w:tcPr>
          <w:p>
            <w:pPr>
              <w:jc w:val="right"/>
              <w:ind w:right="192"/>
              <w:spacing w:after="0"/>
              <w:rPr>
                <w:sz w:val="20"/>
                <w:szCs w:val="20"/>
                <w:color w:val="auto"/>
              </w:rPr>
            </w:pPr>
            <w:r>
              <w:rPr>
                <w:rFonts w:ascii="Arial" w:cs="Arial" w:eastAsia="Arial" w:hAnsi="Arial"/>
                <w:sz w:val="14"/>
                <w:szCs w:val="14"/>
                <w:color w:val="231F20"/>
              </w:rPr>
              <w:t>2020</w:t>
            </w:r>
          </w:p>
        </w:tc>
        <w:tc>
          <w:tcPr>
            <w:tcW w:w="1100" w:type="dxa"/>
            <w:vAlign w:val="bottom"/>
            <w:tcBorders>
              <w:bottom w:val="single" w:sz="8" w:color="231F20"/>
            </w:tcBorders>
          </w:tcPr>
          <w:p>
            <w:pPr>
              <w:jc w:val="right"/>
              <w:ind w:right="52"/>
              <w:spacing w:after="0"/>
              <w:rPr>
                <w:sz w:val="20"/>
                <w:szCs w:val="20"/>
                <w:color w:val="auto"/>
              </w:rPr>
            </w:pPr>
            <w:r>
              <w:rPr>
                <w:rFonts w:ascii="Arial" w:cs="Arial" w:eastAsia="Arial" w:hAnsi="Arial"/>
                <w:sz w:val="14"/>
                <w:szCs w:val="14"/>
                <w:color w:val="231F20"/>
              </w:rPr>
              <w:t>—</w:t>
            </w:r>
          </w:p>
        </w:tc>
        <w:tc>
          <w:tcPr>
            <w:tcW w:w="960" w:type="dxa"/>
            <w:vAlign w:val="bottom"/>
            <w:tcBorders>
              <w:bottom w:val="single" w:sz="8" w:color="231F20"/>
            </w:tcBorders>
          </w:tcPr>
          <w:p>
            <w:pPr>
              <w:jc w:val="right"/>
              <w:ind w:right="93"/>
              <w:spacing w:after="0"/>
              <w:rPr>
                <w:sz w:val="20"/>
                <w:szCs w:val="20"/>
                <w:color w:val="auto"/>
              </w:rPr>
            </w:pPr>
            <w:r>
              <w:rPr>
                <w:rFonts w:ascii="Arial" w:cs="Arial" w:eastAsia="Arial" w:hAnsi="Arial"/>
                <w:sz w:val="14"/>
                <w:szCs w:val="14"/>
                <w:color w:val="231F20"/>
              </w:rPr>
              <w:t>6,450</w:t>
            </w:r>
          </w:p>
        </w:tc>
        <w:tc>
          <w:tcPr>
            <w:tcW w:w="1680" w:type="dxa"/>
            <w:vAlign w:val="bottom"/>
            <w:tcBorders>
              <w:bottom w:val="single" w:sz="8" w:color="231F20"/>
            </w:tcBorders>
          </w:tcPr>
          <w:p>
            <w:pPr>
              <w:jc w:val="right"/>
              <w:ind w:right="172"/>
              <w:spacing w:after="0"/>
              <w:rPr>
                <w:sz w:val="20"/>
                <w:szCs w:val="20"/>
                <w:color w:val="auto"/>
              </w:rPr>
            </w:pPr>
            <w:r>
              <w:rPr>
                <w:rFonts w:ascii="Arial" w:cs="Arial" w:eastAsia="Arial" w:hAnsi="Arial"/>
                <w:sz w:val="14"/>
                <w:szCs w:val="14"/>
                <w:color w:val="231F20"/>
              </w:rPr>
              <w:t>7,594</w:t>
            </w:r>
          </w:p>
        </w:tc>
        <w:tc>
          <w:tcPr>
            <w:tcW w:w="1140" w:type="dxa"/>
            <w:vAlign w:val="bottom"/>
            <w:tcBorders>
              <w:bottom w:val="single" w:sz="8" w:color="231F20"/>
            </w:tcBorders>
          </w:tcPr>
          <w:p>
            <w:pPr>
              <w:jc w:val="right"/>
              <w:ind w:right="153"/>
              <w:spacing w:after="0"/>
              <w:rPr>
                <w:sz w:val="20"/>
                <w:szCs w:val="20"/>
                <w:color w:val="auto"/>
              </w:rPr>
            </w:pPr>
            <w:r>
              <w:rPr>
                <w:rFonts w:ascii="Arial" w:cs="Arial" w:eastAsia="Arial" w:hAnsi="Arial"/>
                <w:sz w:val="14"/>
                <w:szCs w:val="14"/>
                <w:color w:val="231F20"/>
              </w:rPr>
              <w:t>—</w:t>
            </w:r>
          </w:p>
        </w:tc>
        <w:tc>
          <w:tcPr>
            <w:tcW w:w="1420" w:type="dxa"/>
            <w:vAlign w:val="bottom"/>
            <w:tcBorders>
              <w:bottom w:val="single" w:sz="8" w:color="231F20"/>
            </w:tcBorders>
          </w:tcPr>
          <w:p>
            <w:pPr>
              <w:jc w:val="right"/>
              <w:ind w:right="193"/>
              <w:spacing w:after="0"/>
              <w:rPr>
                <w:sz w:val="20"/>
                <w:szCs w:val="20"/>
                <w:color w:val="auto"/>
              </w:rPr>
            </w:pPr>
            <w:r>
              <w:rPr>
                <w:rFonts w:ascii="Arial" w:cs="Arial" w:eastAsia="Arial" w:hAnsi="Arial"/>
                <w:sz w:val="14"/>
                <w:szCs w:val="14"/>
                <w:color w:val="231F20"/>
              </w:rPr>
              <w:t>4,154</w:t>
            </w:r>
          </w:p>
        </w:tc>
        <w:tc>
          <w:tcPr>
            <w:tcW w:w="880" w:type="dxa"/>
            <w:vAlign w:val="bottom"/>
            <w:tcBorders>
              <w:bottom w:val="single" w:sz="8" w:color="231F20"/>
            </w:tcBorders>
          </w:tcPr>
          <w:p>
            <w:pPr>
              <w:jc w:val="right"/>
              <w:ind w:right="152"/>
              <w:spacing w:after="0"/>
              <w:rPr>
                <w:sz w:val="20"/>
                <w:szCs w:val="20"/>
                <w:color w:val="auto"/>
              </w:rPr>
            </w:pPr>
            <w:r>
              <w:rPr>
                <w:rFonts w:ascii="Arial" w:cs="Arial" w:eastAsia="Arial" w:hAnsi="Arial"/>
                <w:sz w:val="14"/>
                <w:szCs w:val="14"/>
                <w:color w:val="231F20"/>
              </w:rPr>
              <w:t>—</w:t>
            </w:r>
          </w:p>
        </w:tc>
        <w:tc>
          <w:tcPr>
            <w:tcW w:w="700" w:type="dxa"/>
            <w:vAlign w:val="bottom"/>
            <w:tcBorders>
              <w:bottom w:val="single" w:sz="8" w:color="231F20"/>
            </w:tcBorders>
          </w:tcPr>
          <w:p>
            <w:pPr>
              <w:jc w:val="right"/>
              <w:spacing w:after="0"/>
              <w:rPr>
                <w:sz w:val="20"/>
                <w:szCs w:val="20"/>
                <w:color w:val="auto"/>
              </w:rPr>
            </w:pPr>
            <w:r>
              <w:rPr>
                <w:rFonts w:ascii="Arial" w:cs="Arial" w:eastAsia="Arial" w:hAnsi="Arial"/>
                <w:sz w:val="14"/>
                <w:szCs w:val="14"/>
                <w:color w:val="231F20"/>
              </w:rPr>
              <w:t>18,198</w:t>
            </w:r>
          </w:p>
        </w:tc>
      </w:tr>
      <w:tr>
        <w:trPr>
          <w:trHeight w:val="197"/>
        </w:trPr>
        <w:tc>
          <w:tcPr>
            <w:tcW w:w="1940" w:type="dxa"/>
            <w:vAlign w:val="bottom"/>
          </w:tcPr>
          <w:p>
            <w:pPr>
              <w:spacing w:after="0"/>
              <w:rPr>
                <w:sz w:val="17"/>
                <w:szCs w:val="17"/>
                <w:color w:val="auto"/>
              </w:rPr>
            </w:pPr>
          </w:p>
        </w:tc>
        <w:tc>
          <w:tcPr>
            <w:tcW w:w="1420" w:type="dxa"/>
            <w:vAlign w:val="bottom"/>
            <w:tcBorders>
              <w:bottom w:val="single" w:sz="8" w:color="231F20"/>
            </w:tcBorders>
          </w:tcPr>
          <w:p>
            <w:pPr>
              <w:jc w:val="right"/>
              <w:ind w:right="192"/>
              <w:spacing w:after="0"/>
              <w:rPr>
                <w:sz w:val="20"/>
                <w:szCs w:val="20"/>
                <w:color w:val="auto"/>
              </w:rPr>
            </w:pPr>
            <w:r>
              <w:rPr>
                <w:rFonts w:ascii="Arial" w:cs="Arial" w:eastAsia="Arial" w:hAnsi="Arial"/>
                <w:sz w:val="14"/>
                <w:szCs w:val="14"/>
                <w:color w:val="231F20"/>
              </w:rPr>
              <w:t>2019</w:t>
            </w:r>
          </w:p>
        </w:tc>
        <w:tc>
          <w:tcPr>
            <w:tcW w:w="1100" w:type="dxa"/>
            <w:vAlign w:val="bottom"/>
            <w:tcBorders>
              <w:bottom w:val="single" w:sz="8" w:color="231F20"/>
            </w:tcBorders>
          </w:tcPr>
          <w:p>
            <w:pPr>
              <w:jc w:val="right"/>
              <w:ind w:right="52"/>
              <w:spacing w:after="0"/>
              <w:rPr>
                <w:sz w:val="20"/>
                <w:szCs w:val="20"/>
                <w:color w:val="auto"/>
              </w:rPr>
            </w:pPr>
            <w:r>
              <w:rPr>
                <w:rFonts w:ascii="Arial" w:cs="Arial" w:eastAsia="Arial" w:hAnsi="Arial"/>
                <w:sz w:val="14"/>
                <w:szCs w:val="14"/>
                <w:color w:val="231F20"/>
              </w:rPr>
              <w:t>—</w:t>
            </w:r>
          </w:p>
        </w:tc>
        <w:tc>
          <w:tcPr>
            <w:tcW w:w="960" w:type="dxa"/>
            <w:vAlign w:val="bottom"/>
            <w:tcBorders>
              <w:bottom w:val="single" w:sz="8" w:color="231F20"/>
            </w:tcBorders>
          </w:tcPr>
          <w:p>
            <w:pPr>
              <w:jc w:val="right"/>
              <w:ind w:right="93"/>
              <w:spacing w:after="0"/>
              <w:rPr>
                <w:sz w:val="20"/>
                <w:szCs w:val="20"/>
                <w:color w:val="auto"/>
              </w:rPr>
            </w:pPr>
            <w:r>
              <w:rPr>
                <w:rFonts w:ascii="Arial" w:cs="Arial" w:eastAsia="Arial" w:hAnsi="Arial"/>
                <w:sz w:val="14"/>
                <w:szCs w:val="14"/>
                <w:color w:val="231F20"/>
              </w:rPr>
              <w:t>3,450</w:t>
            </w:r>
          </w:p>
        </w:tc>
        <w:tc>
          <w:tcPr>
            <w:tcW w:w="1680" w:type="dxa"/>
            <w:vAlign w:val="bottom"/>
            <w:tcBorders>
              <w:bottom w:val="single" w:sz="8" w:color="231F20"/>
            </w:tcBorders>
          </w:tcPr>
          <w:p>
            <w:pPr>
              <w:jc w:val="right"/>
              <w:ind w:right="172"/>
              <w:spacing w:after="0"/>
              <w:rPr>
                <w:sz w:val="20"/>
                <w:szCs w:val="20"/>
                <w:color w:val="auto"/>
              </w:rPr>
            </w:pPr>
            <w:r>
              <w:rPr>
                <w:rFonts w:ascii="Arial" w:cs="Arial" w:eastAsia="Arial" w:hAnsi="Arial"/>
                <w:sz w:val="14"/>
                <w:szCs w:val="14"/>
                <w:color w:val="231F20"/>
              </w:rPr>
              <w:t>7,997</w:t>
            </w:r>
          </w:p>
        </w:tc>
        <w:tc>
          <w:tcPr>
            <w:tcW w:w="1140" w:type="dxa"/>
            <w:vAlign w:val="bottom"/>
            <w:tcBorders>
              <w:bottom w:val="single" w:sz="8" w:color="231F20"/>
            </w:tcBorders>
          </w:tcPr>
          <w:p>
            <w:pPr>
              <w:jc w:val="right"/>
              <w:ind w:right="153"/>
              <w:spacing w:after="0"/>
              <w:rPr>
                <w:sz w:val="20"/>
                <w:szCs w:val="20"/>
                <w:color w:val="auto"/>
              </w:rPr>
            </w:pPr>
            <w:r>
              <w:rPr>
                <w:rFonts w:ascii="Arial" w:cs="Arial" w:eastAsia="Arial" w:hAnsi="Arial"/>
                <w:sz w:val="14"/>
                <w:szCs w:val="14"/>
                <w:color w:val="231F20"/>
              </w:rPr>
              <w:t>—</w:t>
            </w:r>
          </w:p>
        </w:tc>
        <w:tc>
          <w:tcPr>
            <w:tcW w:w="1420" w:type="dxa"/>
            <w:vAlign w:val="bottom"/>
            <w:tcBorders>
              <w:bottom w:val="single" w:sz="8" w:color="231F20"/>
            </w:tcBorders>
          </w:tcPr>
          <w:p>
            <w:pPr>
              <w:jc w:val="right"/>
              <w:ind w:right="193"/>
              <w:spacing w:after="0"/>
              <w:rPr>
                <w:sz w:val="20"/>
                <w:szCs w:val="20"/>
                <w:color w:val="auto"/>
              </w:rPr>
            </w:pPr>
            <w:r>
              <w:rPr>
                <w:rFonts w:ascii="Arial" w:cs="Arial" w:eastAsia="Arial" w:hAnsi="Arial"/>
                <w:sz w:val="14"/>
                <w:szCs w:val="14"/>
                <w:color w:val="231F20"/>
              </w:rPr>
              <w:t>3,743</w:t>
            </w:r>
          </w:p>
        </w:tc>
        <w:tc>
          <w:tcPr>
            <w:tcW w:w="880" w:type="dxa"/>
            <w:vAlign w:val="bottom"/>
            <w:tcBorders>
              <w:bottom w:val="single" w:sz="8" w:color="231F20"/>
            </w:tcBorders>
          </w:tcPr>
          <w:p>
            <w:pPr>
              <w:jc w:val="right"/>
              <w:ind w:right="152"/>
              <w:spacing w:after="0"/>
              <w:rPr>
                <w:sz w:val="20"/>
                <w:szCs w:val="20"/>
                <w:color w:val="auto"/>
              </w:rPr>
            </w:pPr>
            <w:r>
              <w:rPr>
                <w:rFonts w:ascii="Arial" w:cs="Arial" w:eastAsia="Arial" w:hAnsi="Arial"/>
                <w:sz w:val="14"/>
                <w:szCs w:val="14"/>
                <w:color w:val="231F20"/>
              </w:rPr>
              <w:t>6,860</w:t>
            </w:r>
          </w:p>
        </w:tc>
        <w:tc>
          <w:tcPr>
            <w:tcW w:w="700" w:type="dxa"/>
            <w:vAlign w:val="bottom"/>
            <w:tcBorders>
              <w:bottom w:val="single" w:sz="8" w:color="231F20"/>
            </w:tcBorders>
          </w:tcPr>
          <w:p>
            <w:pPr>
              <w:jc w:val="right"/>
              <w:spacing w:after="0"/>
              <w:rPr>
                <w:sz w:val="20"/>
                <w:szCs w:val="20"/>
                <w:color w:val="auto"/>
              </w:rPr>
            </w:pPr>
            <w:r>
              <w:rPr>
                <w:rFonts w:ascii="Arial" w:cs="Arial" w:eastAsia="Arial" w:hAnsi="Arial"/>
                <w:sz w:val="14"/>
                <w:szCs w:val="14"/>
                <w:color w:val="231F20"/>
              </w:rPr>
              <w:t>22,050</w:t>
            </w:r>
          </w:p>
        </w:tc>
      </w:tr>
      <w:tr>
        <w:trPr>
          <w:trHeight w:val="197"/>
        </w:trPr>
        <w:tc>
          <w:tcPr>
            <w:tcW w:w="1940" w:type="dxa"/>
            <w:vAlign w:val="bottom"/>
            <w:tcBorders>
              <w:bottom w:val="single" w:sz="8" w:color="231F20"/>
            </w:tcBorders>
          </w:tcPr>
          <w:p>
            <w:pPr>
              <w:spacing w:after="0"/>
              <w:rPr>
                <w:sz w:val="17"/>
                <w:szCs w:val="17"/>
                <w:color w:val="auto"/>
              </w:rPr>
            </w:pPr>
          </w:p>
        </w:tc>
        <w:tc>
          <w:tcPr>
            <w:tcW w:w="1420" w:type="dxa"/>
            <w:vAlign w:val="bottom"/>
            <w:tcBorders>
              <w:bottom w:val="single" w:sz="8" w:color="231F20"/>
            </w:tcBorders>
          </w:tcPr>
          <w:p>
            <w:pPr>
              <w:jc w:val="right"/>
              <w:ind w:right="192"/>
              <w:spacing w:after="0"/>
              <w:rPr>
                <w:sz w:val="20"/>
                <w:szCs w:val="20"/>
                <w:color w:val="auto"/>
              </w:rPr>
            </w:pPr>
            <w:r>
              <w:rPr>
                <w:rFonts w:ascii="Arial" w:cs="Arial" w:eastAsia="Arial" w:hAnsi="Arial"/>
                <w:sz w:val="14"/>
                <w:szCs w:val="14"/>
                <w:color w:val="231F20"/>
              </w:rPr>
              <w:t>2018</w:t>
            </w:r>
          </w:p>
        </w:tc>
        <w:tc>
          <w:tcPr>
            <w:tcW w:w="1100" w:type="dxa"/>
            <w:vAlign w:val="bottom"/>
            <w:tcBorders>
              <w:bottom w:val="single" w:sz="8" w:color="231F20"/>
            </w:tcBorders>
          </w:tcPr>
          <w:p>
            <w:pPr>
              <w:jc w:val="right"/>
              <w:ind w:right="52"/>
              <w:spacing w:after="0"/>
              <w:rPr>
                <w:sz w:val="20"/>
                <w:szCs w:val="20"/>
                <w:color w:val="auto"/>
              </w:rPr>
            </w:pPr>
            <w:r>
              <w:rPr>
                <w:rFonts w:ascii="Arial" w:cs="Arial" w:eastAsia="Arial" w:hAnsi="Arial"/>
                <w:sz w:val="14"/>
                <w:szCs w:val="14"/>
                <w:color w:val="231F20"/>
              </w:rPr>
              <w:t>—</w:t>
            </w:r>
          </w:p>
        </w:tc>
        <w:tc>
          <w:tcPr>
            <w:tcW w:w="960" w:type="dxa"/>
            <w:vAlign w:val="bottom"/>
            <w:tcBorders>
              <w:bottom w:val="single" w:sz="8" w:color="231F20"/>
            </w:tcBorders>
          </w:tcPr>
          <w:p>
            <w:pPr>
              <w:jc w:val="right"/>
              <w:ind w:right="93"/>
              <w:spacing w:after="0"/>
              <w:rPr>
                <w:sz w:val="20"/>
                <w:szCs w:val="20"/>
                <w:color w:val="auto"/>
              </w:rPr>
            </w:pPr>
            <w:r>
              <w:rPr>
                <w:rFonts w:ascii="Arial" w:cs="Arial" w:eastAsia="Arial" w:hAnsi="Arial"/>
                <w:sz w:val="14"/>
                <w:szCs w:val="14"/>
                <w:color w:val="231F20"/>
              </w:rPr>
              <w:t>3,450</w:t>
            </w:r>
          </w:p>
        </w:tc>
        <w:tc>
          <w:tcPr>
            <w:tcW w:w="1680" w:type="dxa"/>
            <w:vAlign w:val="bottom"/>
            <w:tcBorders>
              <w:bottom w:val="single" w:sz="8" w:color="231F20"/>
            </w:tcBorders>
          </w:tcPr>
          <w:p>
            <w:pPr>
              <w:jc w:val="right"/>
              <w:ind w:right="172"/>
              <w:spacing w:after="0"/>
              <w:rPr>
                <w:sz w:val="20"/>
                <w:szCs w:val="20"/>
                <w:color w:val="auto"/>
              </w:rPr>
            </w:pPr>
            <w:r>
              <w:rPr>
                <w:rFonts w:ascii="Arial" w:cs="Arial" w:eastAsia="Arial" w:hAnsi="Arial"/>
                <w:sz w:val="14"/>
                <w:szCs w:val="14"/>
                <w:color w:val="231F20"/>
              </w:rPr>
              <w:t>8,250</w:t>
            </w:r>
          </w:p>
        </w:tc>
        <w:tc>
          <w:tcPr>
            <w:tcW w:w="1140" w:type="dxa"/>
            <w:vAlign w:val="bottom"/>
            <w:tcBorders>
              <w:bottom w:val="single" w:sz="8" w:color="231F20"/>
            </w:tcBorders>
          </w:tcPr>
          <w:p>
            <w:pPr>
              <w:jc w:val="right"/>
              <w:ind w:right="153"/>
              <w:spacing w:after="0"/>
              <w:rPr>
                <w:sz w:val="20"/>
                <w:szCs w:val="20"/>
                <w:color w:val="auto"/>
              </w:rPr>
            </w:pPr>
            <w:r>
              <w:rPr>
                <w:rFonts w:ascii="Arial" w:cs="Arial" w:eastAsia="Arial" w:hAnsi="Arial"/>
                <w:sz w:val="14"/>
                <w:szCs w:val="14"/>
                <w:color w:val="231F20"/>
              </w:rPr>
              <w:t>—</w:t>
            </w:r>
          </w:p>
        </w:tc>
        <w:tc>
          <w:tcPr>
            <w:tcW w:w="1420" w:type="dxa"/>
            <w:vAlign w:val="bottom"/>
            <w:tcBorders>
              <w:bottom w:val="single" w:sz="8" w:color="231F20"/>
            </w:tcBorders>
          </w:tcPr>
          <w:p>
            <w:pPr>
              <w:jc w:val="right"/>
              <w:ind w:right="193"/>
              <w:spacing w:after="0"/>
              <w:rPr>
                <w:sz w:val="20"/>
                <w:szCs w:val="20"/>
                <w:color w:val="auto"/>
              </w:rPr>
            </w:pPr>
            <w:r>
              <w:rPr>
                <w:rFonts w:ascii="Arial" w:cs="Arial" w:eastAsia="Arial" w:hAnsi="Arial"/>
                <w:sz w:val="14"/>
                <w:szCs w:val="14"/>
                <w:color w:val="231F20"/>
              </w:rPr>
              <w:t>6,257</w:t>
            </w:r>
          </w:p>
        </w:tc>
        <w:tc>
          <w:tcPr>
            <w:tcW w:w="880" w:type="dxa"/>
            <w:vAlign w:val="bottom"/>
            <w:tcBorders>
              <w:bottom w:val="single" w:sz="8" w:color="231F20"/>
            </w:tcBorders>
          </w:tcPr>
          <w:p>
            <w:pPr>
              <w:jc w:val="right"/>
              <w:ind w:right="152"/>
              <w:spacing w:after="0"/>
              <w:rPr>
                <w:sz w:val="20"/>
                <w:szCs w:val="20"/>
                <w:color w:val="auto"/>
              </w:rPr>
            </w:pPr>
            <w:r>
              <w:rPr>
                <w:rFonts w:ascii="Arial" w:cs="Arial" w:eastAsia="Arial" w:hAnsi="Arial"/>
                <w:sz w:val="14"/>
                <w:szCs w:val="14"/>
                <w:color w:val="231F20"/>
              </w:rPr>
              <w:t>195</w:t>
            </w:r>
          </w:p>
        </w:tc>
        <w:tc>
          <w:tcPr>
            <w:tcW w:w="700" w:type="dxa"/>
            <w:vAlign w:val="bottom"/>
            <w:tcBorders>
              <w:bottom w:val="single" w:sz="8" w:color="231F20"/>
            </w:tcBorders>
          </w:tcPr>
          <w:p>
            <w:pPr>
              <w:jc w:val="right"/>
              <w:spacing w:after="0"/>
              <w:rPr>
                <w:sz w:val="20"/>
                <w:szCs w:val="20"/>
                <w:color w:val="auto"/>
              </w:rPr>
            </w:pPr>
            <w:r>
              <w:rPr>
                <w:rFonts w:ascii="Arial" w:cs="Arial" w:eastAsia="Arial" w:hAnsi="Arial"/>
                <w:sz w:val="14"/>
                <w:szCs w:val="14"/>
                <w:color w:val="231F20"/>
              </w:rPr>
              <w:t>17,957</w:t>
            </w:r>
          </w:p>
        </w:tc>
      </w:tr>
      <w:tr>
        <w:trPr>
          <w:trHeight w:val="197"/>
        </w:trPr>
        <w:tc>
          <w:tcPr>
            <w:tcW w:w="1940" w:type="dxa"/>
            <w:vAlign w:val="bottom"/>
          </w:tcPr>
          <w:p>
            <w:pPr>
              <w:spacing w:after="0"/>
              <w:rPr>
                <w:sz w:val="20"/>
                <w:szCs w:val="20"/>
                <w:color w:val="auto"/>
              </w:rPr>
            </w:pPr>
            <w:r>
              <w:rPr>
                <w:rFonts w:ascii="Arial" w:cs="Arial" w:eastAsia="Arial" w:hAnsi="Arial"/>
                <w:sz w:val="14"/>
                <w:szCs w:val="14"/>
                <w:color w:val="231F20"/>
              </w:rPr>
              <w:t>Schuller</w:t>
            </w:r>
          </w:p>
        </w:tc>
        <w:tc>
          <w:tcPr>
            <w:tcW w:w="1420" w:type="dxa"/>
            <w:vAlign w:val="bottom"/>
            <w:tcBorders>
              <w:bottom w:val="single" w:sz="8" w:color="231F20"/>
            </w:tcBorders>
          </w:tcPr>
          <w:p>
            <w:pPr>
              <w:jc w:val="right"/>
              <w:ind w:right="192"/>
              <w:spacing w:after="0"/>
              <w:rPr>
                <w:sz w:val="20"/>
                <w:szCs w:val="20"/>
                <w:color w:val="auto"/>
              </w:rPr>
            </w:pPr>
            <w:r>
              <w:rPr>
                <w:rFonts w:ascii="Arial" w:cs="Arial" w:eastAsia="Arial" w:hAnsi="Arial"/>
                <w:sz w:val="14"/>
                <w:szCs w:val="14"/>
                <w:color w:val="231F20"/>
              </w:rPr>
              <w:t>2020</w:t>
            </w:r>
          </w:p>
        </w:tc>
        <w:tc>
          <w:tcPr>
            <w:tcW w:w="1100" w:type="dxa"/>
            <w:vAlign w:val="bottom"/>
            <w:tcBorders>
              <w:bottom w:val="single" w:sz="8" w:color="231F20"/>
            </w:tcBorders>
          </w:tcPr>
          <w:p>
            <w:pPr>
              <w:jc w:val="right"/>
              <w:ind w:right="52"/>
              <w:spacing w:after="0"/>
              <w:rPr>
                <w:sz w:val="20"/>
                <w:szCs w:val="20"/>
                <w:color w:val="auto"/>
              </w:rPr>
            </w:pPr>
            <w:r>
              <w:rPr>
                <w:rFonts w:ascii="Arial" w:cs="Arial" w:eastAsia="Arial" w:hAnsi="Arial"/>
                <w:sz w:val="14"/>
                <w:szCs w:val="14"/>
                <w:color w:val="231F20"/>
              </w:rPr>
              <w:t>—</w:t>
            </w:r>
          </w:p>
        </w:tc>
        <w:tc>
          <w:tcPr>
            <w:tcW w:w="960" w:type="dxa"/>
            <w:vAlign w:val="bottom"/>
            <w:tcBorders>
              <w:bottom w:val="single" w:sz="8" w:color="231F20"/>
            </w:tcBorders>
          </w:tcPr>
          <w:p>
            <w:pPr>
              <w:jc w:val="right"/>
              <w:ind w:right="93"/>
              <w:spacing w:after="0"/>
              <w:rPr>
                <w:sz w:val="20"/>
                <w:szCs w:val="20"/>
                <w:color w:val="auto"/>
              </w:rPr>
            </w:pPr>
            <w:r>
              <w:rPr>
                <w:rFonts w:ascii="Arial" w:cs="Arial" w:eastAsia="Arial" w:hAnsi="Arial"/>
                <w:sz w:val="14"/>
                <w:szCs w:val="14"/>
                <w:color w:val="231F20"/>
              </w:rPr>
              <w:t>414</w:t>
            </w:r>
          </w:p>
        </w:tc>
        <w:tc>
          <w:tcPr>
            <w:tcW w:w="1680" w:type="dxa"/>
            <w:vAlign w:val="bottom"/>
            <w:tcBorders>
              <w:bottom w:val="single" w:sz="8" w:color="231F20"/>
            </w:tcBorders>
          </w:tcPr>
          <w:p>
            <w:pPr>
              <w:jc w:val="right"/>
              <w:ind w:right="172"/>
              <w:spacing w:after="0"/>
              <w:rPr>
                <w:sz w:val="20"/>
                <w:szCs w:val="20"/>
                <w:color w:val="auto"/>
              </w:rPr>
            </w:pPr>
            <w:r>
              <w:rPr>
                <w:rFonts w:ascii="Arial" w:cs="Arial" w:eastAsia="Arial" w:hAnsi="Arial"/>
                <w:sz w:val="14"/>
                <w:szCs w:val="14"/>
                <w:color w:val="231F20"/>
              </w:rPr>
              <w:t>19,600</w:t>
            </w:r>
          </w:p>
        </w:tc>
        <w:tc>
          <w:tcPr>
            <w:tcW w:w="1140" w:type="dxa"/>
            <w:vAlign w:val="bottom"/>
            <w:tcBorders>
              <w:bottom w:val="single" w:sz="8" w:color="231F20"/>
            </w:tcBorders>
          </w:tcPr>
          <w:p>
            <w:pPr>
              <w:jc w:val="right"/>
              <w:ind w:right="153"/>
              <w:spacing w:after="0"/>
              <w:rPr>
                <w:sz w:val="20"/>
                <w:szCs w:val="20"/>
                <w:color w:val="auto"/>
              </w:rPr>
            </w:pPr>
            <w:r>
              <w:rPr>
                <w:rFonts w:ascii="Arial" w:cs="Arial" w:eastAsia="Arial" w:hAnsi="Arial"/>
                <w:sz w:val="14"/>
                <w:szCs w:val="14"/>
                <w:color w:val="231F20"/>
              </w:rPr>
              <w:t>—</w:t>
            </w:r>
          </w:p>
        </w:tc>
        <w:tc>
          <w:tcPr>
            <w:tcW w:w="1420" w:type="dxa"/>
            <w:vAlign w:val="bottom"/>
            <w:tcBorders>
              <w:bottom w:val="single" w:sz="8" w:color="231F20"/>
            </w:tcBorders>
          </w:tcPr>
          <w:p>
            <w:pPr>
              <w:jc w:val="right"/>
              <w:ind w:right="193"/>
              <w:spacing w:after="0"/>
              <w:rPr>
                <w:sz w:val="20"/>
                <w:szCs w:val="20"/>
                <w:color w:val="auto"/>
              </w:rPr>
            </w:pPr>
            <w:r>
              <w:rPr>
                <w:rFonts w:ascii="Arial" w:cs="Arial" w:eastAsia="Arial" w:hAnsi="Arial"/>
                <w:sz w:val="14"/>
                <w:szCs w:val="14"/>
                <w:color w:val="231F20"/>
              </w:rPr>
              <w:t>3,675</w:t>
            </w:r>
          </w:p>
        </w:tc>
        <w:tc>
          <w:tcPr>
            <w:tcW w:w="880" w:type="dxa"/>
            <w:vAlign w:val="bottom"/>
            <w:tcBorders>
              <w:bottom w:val="single" w:sz="8" w:color="231F20"/>
            </w:tcBorders>
          </w:tcPr>
          <w:p>
            <w:pPr>
              <w:jc w:val="right"/>
              <w:ind w:right="152"/>
              <w:spacing w:after="0"/>
              <w:rPr>
                <w:sz w:val="20"/>
                <w:szCs w:val="20"/>
                <w:color w:val="auto"/>
              </w:rPr>
            </w:pPr>
            <w:r>
              <w:rPr>
                <w:rFonts w:ascii="Arial" w:cs="Arial" w:eastAsia="Arial" w:hAnsi="Arial"/>
                <w:sz w:val="14"/>
                <w:szCs w:val="14"/>
                <w:color w:val="231F20"/>
              </w:rPr>
              <w:t>—</w:t>
            </w:r>
          </w:p>
        </w:tc>
        <w:tc>
          <w:tcPr>
            <w:tcW w:w="700" w:type="dxa"/>
            <w:vAlign w:val="bottom"/>
            <w:tcBorders>
              <w:bottom w:val="single" w:sz="8" w:color="231F20"/>
            </w:tcBorders>
          </w:tcPr>
          <w:p>
            <w:pPr>
              <w:jc w:val="right"/>
              <w:spacing w:after="0"/>
              <w:rPr>
                <w:sz w:val="20"/>
                <w:szCs w:val="20"/>
                <w:color w:val="auto"/>
              </w:rPr>
            </w:pPr>
            <w:r>
              <w:rPr>
                <w:rFonts w:ascii="Arial" w:cs="Arial" w:eastAsia="Arial" w:hAnsi="Arial"/>
                <w:sz w:val="14"/>
                <w:szCs w:val="14"/>
                <w:color w:val="231F20"/>
              </w:rPr>
              <w:t>23,689</w:t>
            </w:r>
          </w:p>
        </w:tc>
      </w:tr>
      <w:tr>
        <w:trPr>
          <w:trHeight w:val="197"/>
        </w:trPr>
        <w:tc>
          <w:tcPr>
            <w:tcW w:w="1940" w:type="dxa"/>
            <w:vAlign w:val="bottom"/>
          </w:tcPr>
          <w:p>
            <w:pPr>
              <w:spacing w:after="0"/>
              <w:rPr>
                <w:sz w:val="17"/>
                <w:szCs w:val="17"/>
                <w:color w:val="auto"/>
              </w:rPr>
            </w:pPr>
          </w:p>
        </w:tc>
        <w:tc>
          <w:tcPr>
            <w:tcW w:w="1420" w:type="dxa"/>
            <w:vAlign w:val="bottom"/>
            <w:tcBorders>
              <w:bottom w:val="single" w:sz="8" w:color="231F20"/>
            </w:tcBorders>
          </w:tcPr>
          <w:p>
            <w:pPr>
              <w:jc w:val="right"/>
              <w:ind w:right="192"/>
              <w:spacing w:after="0"/>
              <w:rPr>
                <w:sz w:val="20"/>
                <w:szCs w:val="20"/>
                <w:color w:val="auto"/>
              </w:rPr>
            </w:pPr>
            <w:r>
              <w:rPr>
                <w:rFonts w:ascii="Arial" w:cs="Arial" w:eastAsia="Arial" w:hAnsi="Arial"/>
                <w:sz w:val="14"/>
                <w:szCs w:val="14"/>
                <w:color w:val="231F20"/>
              </w:rPr>
              <w:t>2019</w:t>
            </w:r>
          </w:p>
        </w:tc>
        <w:tc>
          <w:tcPr>
            <w:tcW w:w="1100" w:type="dxa"/>
            <w:vAlign w:val="bottom"/>
            <w:tcBorders>
              <w:bottom w:val="single" w:sz="8" w:color="231F20"/>
            </w:tcBorders>
          </w:tcPr>
          <w:p>
            <w:pPr>
              <w:jc w:val="right"/>
              <w:ind w:right="52"/>
              <w:spacing w:after="0"/>
              <w:rPr>
                <w:sz w:val="20"/>
                <w:szCs w:val="20"/>
                <w:color w:val="auto"/>
              </w:rPr>
            </w:pPr>
            <w:r>
              <w:rPr>
                <w:rFonts w:ascii="Arial" w:cs="Arial" w:eastAsia="Arial" w:hAnsi="Arial"/>
                <w:sz w:val="14"/>
                <w:szCs w:val="14"/>
                <w:color w:val="231F20"/>
              </w:rPr>
              <w:t>—</w:t>
            </w:r>
          </w:p>
        </w:tc>
        <w:tc>
          <w:tcPr>
            <w:tcW w:w="960" w:type="dxa"/>
            <w:vAlign w:val="bottom"/>
            <w:tcBorders>
              <w:bottom w:val="single" w:sz="8" w:color="231F20"/>
            </w:tcBorders>
          </w:tcPr>
          <w:p>
            <w:pPr>
              <w:jc w:val="right"/>
              <w:ind w:right="93"/>
              <w:spacing w:after="0"/>
              <w:rPr>
                <w:sz w:val="20"/>
                <w:szCs w:val="20"/>
                <w:color w:val="auto"/>
              </w:rPr>
            </w:pPr>
            <w:r>
              <w:rPr>
                <w:rFonts w:ascii="Arial" w:cs="Arial" w:eastAsia="Arial" w:hAnsi="Arial"/>
                <w:sz w:val="14"/>
                <w:szCs w:val="14"/>
                <w:color w:val="231F20"/>
              </w:rPr>
              <w:t>414</w:t>
            </w:r>
          </w:p>
        </w:tc>
        <w:tc>
          <w:tcPr>
            <w:tcW w:w="1680" w:type="dxa"/>
            <w:vAlign w:val="bottom"/>
            <w:tcBorders>
              <w:bottom w:val="single" w:sz="8" w:color="231F20"/>
            </w:tcBorders>
          </w:tcPr>
          <w:p>
            <w:pPr>
              <w:jc w:val="right"/>
              <w:ind w:right="172"/>
              <w:spacing w:after="0"/>
              <w:rPr>
                <w:sz w:val="20"/>
                <w:szCs w:val="20"/>
                <w:color w:val="auto"/>
              </w:rPr>
            </w:pPr>
            <w:r>
              <w:rPr>
                <w:rFonts w:ascii="Arial" w:cs="Arial" w:eastAsia="Arial" w:hAnsi="Arial"/>
                <w:sz w:val="14"/>
                <w:szCs w:val="14"/>
                <w:color w:val="231F20"/>
              </w:rPr>
              <w:t>24,501</w:t>
            </w:r>
          </w:p>
        </w:tc>
        <w:tc>
          <w:tcPr>
            <w:tcW w:w="1140" w:type="dxa"/>
            <w:vAlign w:val="bottom"/>
            <w:tcBorders>
              <w:bottom w:val="single" w:sz="8" w:color="231F20"/>
            </w:tcBorders>
          </w:tcPr>
          <w:p>
            <w:pPr>
              <w:jc w:val="right"/>
              <w:ind w:right="153"/>
              <w:spacing w:after="0"/>
              <w:rPr>
                <w:sz w:val="20"/>
                <w:szCs w:val="20"/>
                <w:color w:val="auto"/>
              </w:rPr>
            </w:pPr>
            <w:r>
              <w:rPr>
                <w:rFonts w:ascii="Arial" w:cs="Arial" w:eastAsia="Arial" w:hAnsi="Arial"/>
                <w:sz w:val="14"/>
                <w:szCs w:val="14"/>
                <w:color w:val="231F20"/>
              </w:rPr>
              <w:t>—</w:t>
            </w:r>
          </w:p>
        </w:tc>
        <w:tc>
          <w:tcPr>
            <w:tcW w:w="1420" w:type="dxa"/>
            <w:vAlign w:val="bottom"/>
            <w:tcBorders>
              <w:bottom w:val="single" w:sz="8" w:color="231F20"/>
            </w:tcBorders>
          </w:tcPr>
          <w:p>
            <w:pPr>
              <w:jc w:val="right"/>
              <w:ind w:right="193"/>
              <w:spacing w:after="0"/>
              <w:rPr>
                <w:sz w:val="20"/>
                <w:szCs w:val="20"/>
                <w:color w:val="auto"/>
              </w:rPr>
            </w:pPr>
            <w:r>
              <w:rPr>
                <w:rFonts w:ascii="Arial" w:cs="Arial" w:eastAsia="Arial" w:hAnsi="Arial"/>
                <w:sz w:val="14"/>
                <w:szCs w:val="14"/>
                <w:color w:val="231F20"/>
              </w:rPr>
              <w:t>6,536</w:t>
            </w:r>
          </w:p>
        </w:tc>
        <w:tc>
          <w:tcPr>
            <w:tcW w:w="880" w:type="dxa"/>
            <w:vAlign w:val="bottom"/>
            <w:tcBorders>
              <w:bottom w:val="single" w:sz="8" w:color="231F20"/>
            </w:tcBorders>
          </w:tcPr>
          <w:p>
            <w:pPr>
              <w:jc w:val="right"/>
              <w:ind w:right="152"/>
              <w:spacing w:after="0"/>
              <w:rPr>
                <w:sz w:val="20"/>
                <w:szCs w:val="20"/>
                <w:color w:val="auto"/>
              </w:rPr>
            </w:pPr>
            <w:r>
              <w:rPr>
                <w:rFonts w:ascii="Arial" w:cs="Arial" w:eastAsia="Arial" w:hAnsi="Arial"/>
                <w:sz w:val="14"/>
                <w:szCs w:val="14"/>
                <w:color w:val="231F20"/>
              </w:rPr>
              <w:t>—</w:t>
            </w:r>
          </w:p>
        </w:tc>
        <w:tc>
          <w:tcPr>
            <w:tcW w:w="700" w:type="dxa"/>
            <w:vAlign w:val="bottom"/>
            <w:tcBorders>
              <w:bottom w:val="single" w:sz="8" w:color="231F20"/>
            </w:tcBorders>
          </w:tcPr>
          <w:p>
            <w:pPr>
              <w:jc w:val="right"/>
              <w:spacing w:after="0"/>
              <w:rPr>
                <w:sz w:val="20"/>
                <w:szCs w:val="20"/>
                <w:color w:val="auto"/>
              </w:rPr>
            </w:pPr>
            <w:r>
              <w:rPr>
                <w:rFonts w:ascii="Arial" w:cs="Arial" w:eastAsia="Arial" w:hAnsi="Arial"/>
                <w:sz w:val="14"/>
                <w:szCs w:val="14"/>
                <w:color w:val="231F20"/>
              </w:rPr>
              <w:t>31,451</w:t>
            </w:r>
          </w:p>
        </w:tc>
      </w:tr>
      <w:tr>
        <w:trPr>
          <w:trHeight w:val="197"/>
        </w:trPr>
        <w:tc>
          <w:tcPr>
            <w:tcW w:w="1940" w:type="dxa"/>
            <w:vAlign w:val="bottom"/>
            <w:tcBorders>
              <w:bottom w:val="single" w:sz="8" w:color="231F20"/>
            </w:tcBorders>
          </w:tcPr>
          <w:p>
            <w:pPr>
              <w:spacing w:after="0"/>
              <w:rPr>
                <w:sz w:val="17"/>
                <w:szCs w:val="17"/>
                <w:color w:val="auto"/>
              </w:rPr>
            </w:pPr>
          </w:p>
        </w:tc>
        <w:tc>
          <w:tcPr>
            <w:tcW w:w="1420" w:type="dxa"/>
            <w:vAlign w:val="bottom"/>
            <w:tcBorders>
              <w:bottom w:val="single" w:sz="8" w:color="231F20"/>
            </w:tcBorders>
          </w:tcPr>
          <w:p>
            <w:pPr>
              <w:jc w:val="right"/>
              <w:ind w:right="192"/>
              <w:spacing w:after="0"/>
              <w:rPr>
                <w:sz w:val="20"/>
                <w:szCs w:val="20"/>
                <w:color w:val="auto"/>
              </w:rPr>
            </w:pPr>
            <w:r>
              <w:rPr>
                <w:rFonts w:ascii="Arial" w:cs="Arial" w:eastAsia="Arial" w:hAnsi="Arial"/>
                <w:sz w:val="14"/>
                <w:szCs w:val="14"/>
                <w:color w:val="231F20"/>
              </w:rPr>
              <w:t>2018</w:t>
            </w:r>
          </w:p>
        </w:tc>
        <w:tc>
          <w:tcPr>
            <w:tcW w:w="1100" w:type="dxa"/>
            <w:vAlign w:val="bottom"/>
            <w:tcBorders>
              <w:bottom w:val="single" w:sz="8" w:color="231F20"/>
            </w:tcBorders>
          </w:tcPr>
          <w:p>
            <w:pPr>
              <w:jc w:val="right"/>
              <w:ind w:right="52"/>
              <w:spacing w:after="0"/>
              <w:rPr>
                <w:sz w:val="20"/>
                <w:szCs w:val="20"/>
                <w:color w:val="auto"/>
              </w:rPr>
            </w:pPr>
            <w:r>
              <w:rPr>
                <w:rFonts w:ascii="Arial" w:cs="Arial" w:eastAsia="Arial" w:hAnsi="Arial"/>
                <w:sz w:val="14"/>
                <w:szCs w:val="14"/>
                <w:color w:val="231F20"/>
              </w:rPr>
              <w:t>—</w:t>
            </w:r>
          </w:p>
        </w:tc>
        <w:tc>
          <w:tcPr>
            <w:tcW w:w="960" w:type="dxa"/>
            <w:vAlign w:val="bottom"/>
            <w:tcBorders>
              <w:bottom w:val="single" w:sz="8" w:color="231F20"/>
            </w:tcBorders>
          </w:tcPr>
          <w:p>
            <w:pPr>
              <w:jc w:val="right"/>
              <w:ind w:right="93"/>
              <w:spacing w:after="0"/>
              <w:rPr>
                <w:sz w:val="20"/>
                <w:szCs w:val="20"/>
                <w:color w:val="auto"/>
              </w:rPr>
            </w:pPr>
            <w:r>
              <w:rPr>
                <w:rFonts w:ascii="Arial" w:cs="Arial" w:eastAsia="Arial" w:hAnsi="Arial"/>
                <w:sz w:val="14"/>
                <w:szCs w:val="14"/>
                <w:color w:val="231F20"/>
              </w:rPr>
              <w:t>270</w:t>
            </w:r>
          </w:p>
        </w:tc>
        <w:tc>
          <w:tcPr>
            <w:tcW w:w="1680" w:type="dxa"/>
            <w:vAlign w:val="bottom"/>
            <w:tcBorders>
              <w:bottom w:val="single" w:sz="8" w:color="231F20"/>
            </w:tcBorders>
          </w:tcPr>
          <w:p>
            <w:pPr>
              <w:jc w:val="right"/>
              <w:ind w:right="172"/>
              <w:spacing w:after="0"/>
              <w:rPr>
                <w:sz w:val="20"/>
                <w:szCs w:val="20"/>
                <w:color w:val="auto"/>
              </w:rPr>
            </w:pPr>
            <w:r>
              <w:rPr>
                <w:rFonts w:ascii="Arial" w:cs="Arial" w:eastAsia="Arial" w:hAnsi="Arial"/>
                <w:sz w:val="14"/>
                <w:szCs w:val="14"/>
                <w:color w:val="231F20"/>
              </w:rPr>
              <w:t>22,040</w:t>
            </w:r>
          </w:p>
        </w:tc>
        <w:tc>
          <w:tcPr>
            <w:tcW w:w="1140" w:type="dxa"/>
            <w:vAlign w:val="bottom"/>
            <w:tcBorders>
              <w:bottom w:val="single" w:sz="8" w:color="231F20"/>
            </w:tcBorders>
          </w:tcPr>
          <w:p>
            <w:pPr>
              <w:jc w:val="right"/>
              <w:ind w:right="153"/>
              <w:spacing w:after="0"/>
              <w:rPr>
                <w:sz w:val="20"/>
                <w:szCs w:val="20"/>
                <w:color w:val="auto"/>
              </w:rPr>
            </w:pPr>
            <w:r>
              <w:rPr>
                <w:rFonts w:ascii="Arial" w:cs="Arial" w:eastAsia="Arial" w:hAnsi="Arial"/>
                <w:sz w:val="14"/>
                <w:szCs w:val="14"/>
                <w:color w:val="231F20"/>
              </w:rPr>
              <w:t>119,867</w:t>
            </w:r>
          </w:p>
        </w:tc>
        <w:tc>
          <w:tcPr>
            <w:tcW w:w="1420" w:type="dxa"/>
            <w:vAlign w:val="bottom"/>
            <w:tcBorders>
              <w:bottom w:val="single" w:sz="8" w:color="231F20"/>
            </w:tcBorders>
          </w:tcPr>
          <w:p>
            <w:pPr>
              <w:jc w:val="right"/>
              <w:ind w:right="193"/>
              <w:spacing w:after="0"/>
              <w:rPr>
                <w:sz w:val="20"/>
                <w:szCs w:val="20"/>
                <w:color w:val="auto"/>
              </w:rPr>
            </w:pPr>
            <w:r>
              <w:rPr>
                <w:rFonts w:ascii="Arial" w:cs="Arial" w:eastAsia="Arial" w:hAnsi="Arial"/>
                <w:sz w:val="14"/>
                <w:szCs w:val="14"/>
                <w:color w:val="231F20"/>
              </w:rPr>
              <w:t>7,944</w:t>
            </w:r>
          </w:p>
        </w:tc>
        <w:tc>
          <w:tcPr>
            <w:tcW w:w="880" w:type="dxa"/>
            <w:vAlign w:val="bottom"/>
            <w:tcBorders>
              <w:bottom w:val="single" w:sz="8" w:color="231F20"/>
            </w:tcBorders>
          </w:tcPr>
          <w:p>
            <w:pPr>
              <w:jc w:val="right"/>
              <w:ind w:right="152"/>
              <w:spacing w:after="0"/>
              <w:rPr>
                <w:sz w:val="20"/>
                <w:szCs w:val="20"/>
                <w:color w:val="auto"/>
              </w:rPr>
            </w:pPr>
            <w:r>
              <w:rPr>
                <w:rFonts w:ascii="Arial" w:cs="Arial" w:eastAsia="Arial" w:hAnsi="Arial"/>
                <w:sz w:val="14"/>
                <w:szCs w:val="14"/>
                <w:color w:val="231F20"/>
              </w:rPr>
              <w:t>—</w:t>
            </w:r>
          </w:p>
        </w:tc>
        <w:tc>
          <w:tcPr>
            <w:tcW w:w="700" w:type="dxa"/>
            <w:vAlign w:val="bottom"/>
            <w:tcBorders>
              <w:bottom w:val="single" w:sz="8" w:color="231F20"/>
            </w:tcBorders>
          </w:tcPr>
          <w:p>
            <w:pPr>
              <w:jc w:val="right"/>
              <w:spacing w:after="0"/>
              <w:rPr>
                <w:sz w:val="20"/>
                <w:szCs w:val="20"/>
                <w:color w:val="auto"/>
              </w:rPr>
            </w:pPr>
            <w:r>
              <w:rPr>
                <w:rFonts w:ascii="Arial" w:cs="Arial" w:eastAsia="Arial" w:hAnsi="Arial"/>
                <w:sz w:val="14"/>
                <w:szCs w:val="14"/>
                <w:color w:val="231F20"/>
              </w:rPr>
              <w:t>150,121</w:t>
            </w:r>
          </w:p>
        </w:tc>
      </w:tr>
      <w:tr>
        <w:trPr>
          <w:trHeight w:val="197"/>
        </w:trPr>
        <w:tc>
          <w:tcPr>
            <w:tcW w:w="1940" w:type="dxa"/>
            <w:vAlign w:val="bottom"/>
          </w:tcPr>
          <w:p>
            <w:pPr>
              <w:spacing w:after="0"/>
              <w:rPr>
                <w:sz w:val="20"/>
                <w:szCs w:val="20"/>
                <w:color w:val="auto"/>
              </w:rPr>
            </w:pPr>
            <w:r>
              <w:rPr>
                <w:rFonts w:ascii="Arial" w:cs="Arial" w:eastAsia="Arial" w:hAnsi="Arial"/>
                <w:sz w:val="14"/>
                <w:szCs w:val="14"/>
                <w:color w:val="231F20"/>
              </w:rPr>
              <w:t>Fox</w:t>
            </w:r>
          </w:p>
        </w:tc>
        <w:tc>
          <w:tcPr>
            <w:tcW w:w="1420" w:type="dxa"/>
            <w:vAlign w:val="bottom"/>
            <w:tcBorders>
              <w:bottom w:val="single" w:sz="8" w:color="231F20"/>
            </w:tcBorders>
          </w:tcPr>
          <w:p>
            <w:pPr>
              <w:jc w:val="right"/>
              <w:ind w:right="192"/>
              <w:spacing w:after="0"/>
              <w:rPr>
                <w:sz w:val="20"/>
                <w:szCs w:val="20"/>
                <w:color w:val="auto"/>
              </w:rPr>
            </w:pPr>
            <w:r>
              <w:rPr>
                <w:rFonts w:ascii="Arial" w:cs="Arial" w:eastAsia="Arial" w:hAnsi="Arial"/>
                <w:sz w:val="14"/>
                <w:szCs w:val="14"/>
                <w:color w:val="231F20"/>
              </w:rPr>
              <w:t>2020</w:t>
            </w:r>
          </w:p>
        </w:tc>
        <w:tc>
          <w:tcPr>
            <w:tcW w:w="1100" w:type="dxa"/>
            <w:vAlign w:val="bottom"/>
            <w:tcBorders>
              <w:bottom w:val="single" w:sz="8" w:color="231F20"/>
            </w:tcBorders>
          </w:tcPr>
          <w:p>
            <w:pPr>
              <w:jc w:val="right"/>
              <w:ind w:right="52"/>
              <w:spacing w:after="0"/>
              <w:rPr>
                <w:sz w:val="20"/>
                <w:szCs w:val="20"/>
                <w:color w:val="auto"/>
              </w:rPr>
            </w:pPr>
            <w:r>
              <w:rPr>
                <w:rFonts w:ascii="Arial" w:cs="Arial" w:eastAsia="Arial" w:hAnsi="Arial"/>
                <w:sz w:val="14"/>
                <w:szCs w:val="14"/>
                <w:color w:val="231F20"/>
              </w:rPr>
              <w:t>—</w:t>
            </w:r>
          </w:p>
        </w:tc>
        <w:tc>
          <w:tcPr>
            <w:tcW w:w="960" w:type="dxa"/>
            <w:vAlign w:val="bottom"/>
            <w:tcBorders>
              <w:bottom w:val="single" w:sz="8" w:color="231F20"/>
            </w:tcBorders>
          </w:tcPr>
          <w:p>
            <w:pPr>
              <w:jc w:val="right"/>
              <w:ind w:right="93"/>
              <w:spacing w:after="0"/>
              <w:rPr>
                <w:sz w:val="20"/>
                <w:szCs w:val="20"/>
                <w:color w:val="auto"/>
              </w:rPr>
            </w:pPr>
            <w:r>
              <w:rPr>
                <w:rFonts w:ascii="Arial" w:cs="Arial" w:eastAsia="Arial" w:hAnsi="Arial"/>
                <w:sz w:val="14"/>
                <w:szCs w:val="14"/>
                <w:color w:val="231F20"/>
              </w:rPr>
              <w:t>4,211</w:t>
            </w:r>
          </w:p>
        </w:tc>
        <w:tc>
          <w:tcPr>
            <w:tcW w:w="1680" w:type="dxa"/>
            <w:vAlign w:val="bottom"/>
            <w:tcBorders>
              <w:bottom w:val="single" w:sz="8" w:color="231F20"/>
            </w:tcBorders>
          </w:tcPr>
          <w:p>
            <w:pPr>
              <w:jc w:val="right"/>
              <w:ind w:right="172"/>
              <w:spacing w:after="0"/>
              <w:rPr>
                <w:sz w:val="20"/>
                <w:szCs w:val="20"/>
                <w:color w:val="auto"/>
              </w:rPr>
            </w:pPr>
            <w:r>
              <w:rPr>
                <w:rFonts w:ascii="Arial" w:cs="Arial" w:eastAsia="Arial" w:hAnsi="Arial"/>
                <w:sz w:val="14"/>
                <w:szCs w:val="14"/>
                <w:color w:val="231F20"/>
              </w:rPr>
              <w:t>8,550</w:t>
            </w:r>
          </w:p>
        </w:tc>
        <w:tc>
          <w:tcPr>
            <w:tcW w:w="1140" w:type="dxa"/>
            <w:vAlign w:val="bottom"/>
            <w:tcBorders>
              <w:bottom w:val="single" w:sz="8" w:color="231F20"/>
            </w:tcBorders>
          </w:tcPr>
          <w:p>
            <w:pPr>
              <w:jc w:val="right"/>
              <w:ind w:right="153"/>
              <w:spacing w:after="0"/>
              <w:rPr>
                <w:sz w:val="20"/>
                <w:szCs w:val="20"/>
                <w:color w:val="auto"/>
              </w:rPr>
            </w:pPr>
            <w:r>
              <w:rPr>
                <w:rFonts w:ascii="Arial" w:cs="Arial" w:eastAsia="Arial" w:hAnsi="Arial"/>
                <w:sz w:val="14"/>
                <w:szCs w:val="14"/>
                <w:color w:val="231F20"/>
              </w:rPr>
              <w:t>—</w:t>
            </w:r>
          </w:p>
        </w:tc>
        <w:tc>
          <w:tcPr>
            <w:tcW w:w="1420" w:type="dxa"/>
            <w:vAlign w:val="bottom"/>
            <w:tcBorders>
              <w:bottom w:val="single" w:sz="8" w:color="231F20"/>
            </w:tcBorders>
          </w:tcPr>
          <w:p>
            <w:pPr>
              <w:jc w:val="right"/>
              <w:ind w:right="193"/>
              <w:spacing w:after="0"/>
              <w:rPr>
                <w:sz w:val="20"/>
                <w:szCs w:val="20"/>
                <w:color w:val="auto"/>
              </w:rPr>
            </w:pPr>
            <w:r>
              <w:rPr>
                <w:rFonts w:ascii="Arial" w:cs="Arial" w:eastAsia="Arial" w:hAnsi="Arial"/>
                <w:sz w:val="14"/>
                <w:szCs w:val="14"/>
                <w:color w:val="231F20"/>
              </w:rPr>
              <w:t>3,140</w:t>
            </w:r>
          </w:p>
        </w:tc>
        <w:tc>
          <w:tcPr>
            <w:tcW w:w="880" w:type="dxa"/>
            <w:vAlign w:val="bottom"/>
            <w:tcBorders>
              <w:bottom w:val="single" w:sz="8" w:color="231F20"/>
            </w:tcBorders>
          </w:tcPr>
          <w:p>
            <w:pPr>
              <w:jc w:val="right"/>
              <w:ind w:right="152"/>
              <w:spacing w:after="0"/>
              <w:rPr>
                <w:sz w:val="20"/>
                <w:szCs w:val="20"/>
                <w:color w:val="auto"/>
              </w:rPr>
            </w:pPr>
            <w:r>
              <w:rPr>
                <w:rFonts w:ascii="Arial" w:cs="Arial" w:eastAsia="Arial" w:hAnsi="Arial"/>
                <w:sz w:val="14"/>
                <w:szCs w:val="14"/>
                <w:color w:val="231F20"/>
              </w:rPr>
              <w:t>—</w:t>
            </w:r>
          </w:p>
        </w:tc>
        <w:tc>
          <w:tcPr>
            <w:tcW w:w="700" w:type="dxa"/>
            <w:vAlign w:val="bottom"/>
            <w:tcBorders>
              <w:bottom w:val="single" w:sz="8" w:color="231F20"/>
            </w:tcBorders>
          </w:tcPr>
          <w:p>
            <w:pPr>
              <w:jc w:val="right"/>
              <w:spacing w:after="0"/>
              <w:rPr>
                <w:sz w:val="20"/>
                <w:szCs w:val="20"/>
                <w:color w:val="auto"/>
              </w:rPr>
            </w:pPr>
            <w:r>
              <w:rPr>
                <w:rFonts w:ascii="Arial" w:cs="Arial" w:eastAsia="Arial" w:hAnsi="Arial"/>
                <w:sz w:val="14"/>
                <w:szCs w:val="14"/>
                <w:color w:val="231F20"/>
              </w:rPr>
              <w:t>15,901</w:t>
            </w:r>
          </w:p>
        </w:tc>
      </w:tr>
      <w:tr>
        <w:trPr>
          <w:trHeight w:val="197"/>
        </w:trPr>
        <w:tc>
          <w:tcPr>
            <w:tcW w:w="1940" w:type="dxa"/>
            <w:vAlign w:val="bottom"/>
          </w:tcPr>
          <w:p>
            <w:pPr>
              <w:spacing w:after="0"/>
              <w:rPr>
                <w:sz w:val="17"/>
                <w:szCs w:val="17"/>
                <w:color w:val="auto"/>
              </w:rPr>
            </w:pPr>
          </w:p>
        </w:tc>
        <w:tc>
          <w:tcPr>
            <w:tcW w:w="1420" w:type="dxa"/>
            <w:vAlign w:val="bottom"/>
            <w:tcBorders>
              <w:bottom w:val="single" w:sz="8" w:color="231F20"/>
            </w:tcBorders>
          </w:tcPr>
          <w:p>
            <w:pPr>
              <w:jc w:val="right"/>
              <w:ind w:right="192"/>
              <w:spacing w:after="0"/>
              <w:rPr>
                <w:sz w:val="20"/>
                <w:szCs w:val="20"/>
                <w:color w:val="auto"/>
              </w:rPr>
            </w:pPr>
            <w:r>
              <w:rPr>
                <w:rFonts w:ascii="Arial" w:cs="Arial" w:eastAsia="Arial" w:hAnsi="Arial"/>
                <w:sz w:val="14"/>
                <w:szCs w:val="14"/>
                <w:color w:val="231F20"/>
              </w:rPr>
              <w:t>2019</w:t>
            </w:r>
          </w:p>
        </w:tc>
        <w:tc>
          <w:tcPr>
            <w:tcW w:w="1100" w:type="dxa"/>
            <w:vAlign w:val="bottom"/>
            <w:tcBorders>
              <w:bottom w:val="single" w:sz="8" w:color="231F20"/>
            </w:tcBorders>
          </w:tcPr>
          <w:p>
            <w:pPr>
              <w:jc w:val="right"/>
              <w:ind w:right="52"/>
              <w:spacing w:after="0"/>
              <w:rPr>
                <w:sz w:val="20"/>
                <w:szCs w:val="20"/>
                <w:color w:val="auto"/>
              </w:rPr>
            </w:pPr>
            <w:r>
              <w:rPr>
                <w:rFonts w:ascii="Arial" w:cs="Arial" w:eastAsia="Arial" w:hAnsi="Arial"/>
                <w:sz w:val="14"/>
                <w:szCs w:val="14"/>
                <w:color w:val="231F20"/>
              </w:rPr>
              <w:t>—</w:t>
            </w:r>
          </w:p>
        </w:tc>
        <w:tc>
          <w:tcPr>
            <w:tcW w:w="960" w:type="dxa"/>
            <w:vAlign w:val="bottom"/>
            <w:tcBorders>
              <w:bottom w:val="single" w:sz="8" w:color="231F20"/>
            </w:tcBorders>
          </w:tcPr>
          <w:p>
            <w:pPr>
              <w:jc w:val="right"/>
              <w:ind w:right="93"/>
              <w:spacing w:after="0"/>
              <w:rPr>
                <w:sz w:val="20"/>
                <w:szCs w:val="20"/>
                <w:color w:val="auto"/>
              </w:rPr>
            </w:pPr>
            <w:r>
              <w:rPr>
                <w:rFonts w:ascii="Arial" w:cs="Arial" w:eastAsia="Arial" w:hAnsi="Arial"/>
                <w:sz w:val="14"/>
                <w:szCs w:val="14"/>
                <w:color w:val="231F20"/>
              </w:rPr>
              <w:t>3,880</w:t>
            </w:r>
          </w:p>
        </w:tc>
        <w:tc>
          <w:tcPr>
            <w:tcW w:w="1680" w:type="dxa"/>
            <w:vAlign w:val="bottom"/>
            <w:tcBorders>
              <w:bottom w:val="single" w:sz="8" w:color="231F20"/>
            </w:tcBorders>
          </w:tcPr>
          <w:p>
            <w:pPr>
              <w:jc w:val="right"/>
              <w:ind w:right="172"/>
              <w:spacing w:after="0"/>
              <w:rPr>
                <w:sz w:val="20"/>
                <w:szCs w:val="20"/>
                <w:color w:val="auto"/>
              </w:rPr>
            </w:pPr>
            <w:r>
              <w:rPr>
                <w:rFonts w:ascii="Arial" w:cs="Arial" w:eastAsia="Arial" w:hAnsi="Arial"/>
                <w:sz w:val="14"/>
                <w:szCs w:val="14"/>
                <w:color w:val="231F20"/>
              </w:rPr>
              <w:t>8,400</w:t>
            </w:r>
          </w:p>
        </w:tc>
        <w:tc>
          <w:tcPr>
            <w:tcW w:w="1140" w:type="dxa"/>
            <w:vAlign w:val="bottom"/>
            <w:tcBorders>
              <w:bottom w:val="single" w:sz="8" w:color="231F20"/>
            </w:tcBorders>
          </w:tcPr>
          <w:p>
            <w:pPr>
              <w:jc w:val="right"/>
              <w:ind w:right="153"/>
              <w:spacing w:after="0"/>
              <w:rPr>
                <w:sz w:val="20"/>
                <w:szCs w:val="20"/>
                <w:color w:val="auto"/>
              </w:rPr>
            </w:pPr>
            <w:r>
              <w:rPr>
                <w:rFonts w:ascii="Arial" w:cs="Arial" w:eastAsia="Arial" w:hAnsi="Arial"/>
                <w:sz w:val="14"/>
                <w:szCs w:val="14"/>
                <w:color w:val="231F20"/>
              </w:rPr>
              <w:t>—</w:t>
            </w:r>
          </w:p>
        </w:tc>
        <w:tc>
          <w:tcPr>
            <w:tcW w:w="1420" w:type="dxa"/>
            <w:vAlign w:val="bottom"/>
            <w:tcBorders>
              <w:bottom w:val="single" w:sz="8" w:color="231F20"/>
            </w:tcBorders>
          </w:tcPr>
          <w:p>
            <w:pPr>
              <w:jc w:val="right"/>
              <w:ind w:right="193"/>
              <w:spacing w:after="0"/>
              <w:rPr>
                <w:sz w:val="20"/>
                <w:szCs w:val="20"/>
                <w:color w:val="auto"/>
              </w:rPr>
            </w:pPr>
            <w:r>
              <w:rPr>
                <w:rFonts w:ascii="Arial" w:cs="Arial" w:eastAsia="Arial" w:hAnsi="Arial"/>
                <w:sz w:val="14"/>
                <w:szCs w:val="14"/>
                <w:color w:val="231F20"/>
              </w:rPr>
              <w:t>10,467</w:t>
            </w:r>
          </w:p>
        </w:tc>
        <w:tc>
          <w:tcPr>
            <w:tcW w:w="880" w:type="dxa"/>
            <w:vAlign w:val="bottom"/>
            <w:tcBorders>
              <w:bottom w:val="single" w:sz="8" w:color="231F20"/>
            </w:tcBorders>
          </w:tcPr>
          <w:p>
            <w:pPr>
              <w:jc w:val="right"/>
              <w:ind w:right="152"/>
              <w:spacing w:after="0"/>
              <w:rPr>
                <w:sz w:val="20"/>
                <w:szCs w:val="20"/>
                <w:color w:val="auto"/>
              </w:rPr>
            </w:pPr>
            <w:r>
              <w:rPr>
                <w:rFonts w:ascii="Arial" w:cs="Arial" w:eastAsia="Arial" w:hAnsi="Arial"/>
                <w:sz w:val="14"/>
                <w:szCs w:val="14"/>
                <w:color w:val="231F20"/>
              </w:rPr>
              <w:t>—</w:t>
            </w:r>
          </w:p>
        </w:tc>
        <w:tc>
          <w:tcPr>
            <w:tcW w:w="700" w:type="dxa"/>
            <w:vAlign w:val="bottom"/>
            <w:tcBorders>
              <w:bottom w:val="single" w:sz="8" w:color="231F20"/>
            </w:tcBorders>
          </w:tcPr>
          <w:p>
            <w:pPr>
              <w:jc w:val="right"/>
              <w:spacing w:after="0"/>
              <w:rPr>
                <w:sz w:val="20"/>
                <w:szCs w:val="20"/>
                <w:color w:val="auto"/>
              </w:rPr>
            </w:pPr>
            <w:r>
              <w:rPr>
                <w:rFonts w:ascii="Arial" w:cs="Arial" w:eastAsia="Arial" w:hAnsi="Arial"/>
                <w:sz w:val="14"/>
                <w:szCs w:val="14"/>
                <w:color w:val="231F20"/>
              </w:rPr>
              <w:t>22,747</w:t>
            </w:r>
          </w:p>
        </w:tc>
      </w:tr>
      <w:tr>
        <w:trPr>
          <w:trHeight w:val="197"/>
        </w:trPr>
        <w:tc>
          <w:tcPr>
            <w:tcW w:w="1940" w:type="dxa"/>
            <w:vAlign w:val="bottom"/>
            <w:tcBorders>
              <w:bottom w:val="single" w:sz="8" w:color="231F20"/>
            </w:tcBorders>
          </w:tcPr>
          <w:p>
            <w:pPr>
              <w:spacing w:after="0"/>
              <w:rPr>
                <w:sz w:val="17"/>
                <w:szCs w:val="17"/>
                <w:color w:val="auto"/>
              </w:rPr>
            </w:pPr>
          </w:p>
        </w:tc>
        <w:tc>
          <w:tcPr>
            <w:tcW w:w="1420" w:type="dxa"/>
            <w:vAlign w:val="bottom"/>
            <w:tcBorders>
              <w:bottom w:val="single" w:sz="8" w:color="231F20"/>
            </w:tcBorders>
          </w:tcPr>
          <w:p>
            <w:pPr>
              <w:jc w:val="right"/>
              <w:ind w:right="192"/>
              <w:spacing w:after="0"/>
              <w:rPr>
                <w:sz w:val="20"/>
                <w:szCs w:val="20"/>
                <w:color w:val="auto"/>
              </w:rPr>
            </w:pPr>
            <w:r>
              <w:rPr>
                <w:rFonts w:ascii="Arial" w:cs="Arial" w:eastAsia="Arial" w:hAnsi="Arial"/>
                <w:sz w:val="14"/>
                <w:szCs w:val="14"/>
                <w:color w:val="231F20"/>
              </w:rPr>
              <w:t>2018</w:t>
            </w:r>
          </w:p>
        </w:tc>
        <w:tc>
          <w:tcPr>
            <w:tcW w:w="1100" w:type="dxa"/>
            <w:vAlign w:val="bottom"/>
            <w:tcBorders>
              <w:bottom w:val="single" w:sz="8" w:color="231F20"/>
            </w:tcBorders>
          </w:tcPr>
          <w:p>
            <w:pPr>
              <w:jc w:val="right"/>
              <w:ind w:right="52"/>
              <w:spacing w:after="0"/>
              <w:rPr>
                <w:sz w:val="20"/>
                <w:szCs w:val="20"/>
                <w:color w:val="auto"/>
              </w:rPr>
            </w:pPr>
            <w:r>
              <w:rPr>
                <w:rFonts w:ascii="Arial" w:cs="Arial" w:eastAsia="Arial" w:hAnsi="Arial"/>
                <w:sz w:val="14"/>
                <w:szCs w:val="14"/>
                <w:color w:val="231F20"/>
              </w:rPr>
              <w:t>—</w:t>
            </w:r>
          </w:p>
        </w:tc>
        <w:tc>
          <w:tcPr>
            <w:tcW w:w="960" w:type="dxa"/>
            <w:vAlign w:val="bottom"/>
            <w:tcBorders>
              <w:bottom w:val="single" w:sz="8" w:color="231F20"/>
            </w:tcBorders>
          </w:tcPr>
          <w:p>
            <w:pPr>
              <w:jc w:val="right"/>
              <w:ind w:right="93"/>
              <w:spacing w:after="0"/>
              <w:rPr>
                <w:sz w:val="20"/>
                <w:szCs w:val="20"/>
                <w:color w:val="auto"/>
              </w:rPr>
            </w:pPr>
            <w:r>
              <w:rPr>
                <w:rFonts w:ascii="Arial" w:cs="Arial" w:eastAsia="Arial" w:hAnsi="Arial"/>
                <w:sz w:val="14"/>
                <w:szCs w:val="14"/>
                <w:color w:val="231F20"/>
              </w:rPr>
              <w:t>3,648</w:t>
            </w:r>
          </w:p>
        </w:tc>
        <w:tc>
          <w:tcPr>
            <w:tcW w:w="1680" w:type="dxa"/>
            <w:vAlign w:val="bottom"/>
            <w:tcBorders>
              <w:bottom w:val="single" w:sz="8" w:color="231F20"/>
            </w:tcBorders>
          </w:tcPr>
          <w:p>
            <w:pPr>
              <w:jc w:val="right"/>
              <w:ind w:right="172"/>
              <w:spacing w:after="0"/>
              <w:rPr>
                <w:sz w:val="20"/>
                <w:szCs w:val="20"/>
                <w:color w:val="auto"/>
              </w:rPr>
            </w:pPr>
            <w:r>
              <w:rPr>
                <w:rFonts w:ascii="Arial" w:cs="Arial" w:eastAsia="Arial" w:hAnsi="Arial"/>
                <w:sz w:val="14"/>
                <w:szCs w:val="14"/>
                <w:color w:val="231F20"/>
              </w:rPr>
              <w:t>8,250</w:t>
            </w:r>
          </w:p>
        </w:tc>
        <w:tc>
          <w:tcPr>
            <w:tcW w:w="1140" w:type="dxa"/>
            <w:vAlign w:val="bottom"/>
            <w:tcBorders>
              <w:bottom w:val="single" w:sz="8" w:color="231F20"/>
            </w:tcBorders>
          </w:tcPr>
          <w:p>
            <w:pPr>
              <w:jc w:val="right"/>
              <w:ind w:right="153"/>
              <w:spacing w:after="0"/>
              <w:rPr>
                <w:sz w:val="20"/>
                <w:szCs w:val="20"/>
                <w:color w:val="auto"/>
              </w:rPr>
            </w:pPr>
            <w:r>
              <w:rPr>
                <w:rFonts w:ascii="Arial" w:cs="Arial" w:eastAsia="Arial" w:hAnsi="Arial"/>
                <w:sz w:val="14"/>
                <w:szCs w:val="14"/>
                <w:color w:val="231F20"/>
              </w:rPr>
              <w:t>—</w:t>
            </w:r>
          </w:p>
        </w:tc>
        <w:tc>
          <w:tcPr>
            <w:tcW w:w="1420" w:type="dxa"/>
            <w:vAlign w:val="bottom"/>
            <w:tcBorders>
              <w:bottom w:val="single" w:sz="8" w:color="231F20"/>
            </w:tcBorders>
          </w:tcPr>
          <w:p>
            <w:pPr>
              <w:jc w:val="right"/>
              <w:ind w:right="193"/>
              <w:spacing w:after="0"/>
              <w:rPr>
                <w:sz w:val="20"/>
                <w:szCs w:val="20"/>
                <w:color w:val="auto"/>
              </w:rPr>
            </w:pPr>
            <w:r>
              <w:rPr>
                <w:rFonts w:ascii="Arial" w:cs="Arial" w:eastAsia="Arial" w:hAnsi="Arial"/>
                <w:sz w:val="14"/>
                <w:szCs w:val="14"/>
                <w:color w:val="231F20"/>
              </w:rPr>
              <w:t>10,896</w:t>
            </w:r>
          </w:p>
        </w:tc>
        <w:tc>
          <w:tcPr>
            <w:tcW w:w="880" w:type="dxa"/>
            <w:vAlign w:val="bottom"/>
            <w:tcBorders>
              <w:bottom w:val="single" w:sz="8" w:color="231F20"/>
            </w:tcBorders>
          </w:tcPr>
          <w:p>
            <w:pPr>
              <w:jc w:val="right"/>
              <w:ind w:right="152"/>
              <w:spacing w:after="0"/>
              <w:rPr>
                <w:sz w:val="20"/>
                <w:szCs w:val="20"/>
                <w:color w:val="auto"/>
              </w:rPr>
            </w:pPr>
            <w:r>
              <w:rPr>
                <w:rFonts w:ascii="Arial" w:cs="Arial" w:eastAsia="Arial" w:hAnsi="Arial"/>
                <w:sz w:val="14"/>
                <w:szCs w:val="14"/>
                <w:color w:val="231F20"/>
              </w:rPr>
              <w:t>—</w:t>
            </w:r>
          </w:p>
        </w:tc>
        <w:tc>
          <w:tcPr>
            <w:tcW w:w="700" w:type="dxa"/>
            <w:vAlign w:val="bottom"/>
            <w:tcBorders>
              <w:bottom w:val="single" w:sz="8" w:color="231F20"/>
            </w:tcBorders>
          </w:tcPr>
          <w:p>
            <w:pPr>
              <w:jc w:val="right"/>
              <w:spacing w:after="0"/>
              <w:rPr>
                <w:sz w:val="20"/>
                <w:szCs w:val="20"/>
                <w:color w:val="auto"/>
              </w:rPr>
            </w:pPr>
            <w:r>
              <w:rPr>
                <w:rFonts w:ascii="Arial" w:cs="Arial" w:eastAsia="Arial" w:hAnsi="Arial"/>
                <w:sz w:val="14"/>
                <w:szCs w:val="14"/>
                <w:color w:val="231F20"/>
              </w:rPr>
              <w:t>22,794</w:t>
            </w:r>
          </w:p>
        </w:tc>
      </w:tr>
      <w:tr>
        <w:trPr>
          <w:trHeight w:val="197"/>
        </w:trPr>
        <w:tc>
          <w:tcPr>
            <w:tcW w:w="1940" w:type="dxa"/>
            <w:vAlign w:val="bottom"/>
          </w:tcPr>
          <w:p>
            <w:pPr>
              <w:spacing w:after="0"/>
              <w:rPr>
                <w:sz w:val="20"/>
                <w:szCs w:val="20"/>
                <w:color w:val="auto"/>
              </w:rPr>
            </w:pPr>
            <w:r>
              <w:rPr>
                <w:rFonts w:ascii="Arial" w:cs="Arial" w:eastAsia="Arial" w:hAnsi="Arial"/>
                <w:sz w:val="14"/>
                <w:szCs w:val="14"/>
                <w:color w:val="231F20"/>
              </w:rPr>
              <w:t>Rhodes</w:t>
            </w:r>
          </w:p>
        </w:tc>
        <w:tc>
          <w:tcPr>
            <w:tcW w:w="1420" w:type="dxa"/>
            <w:vAlign w:val="bottom"/>
            <w:tcBorders>
              <w:bottom w:val="single" w:sz="8" w:color="231F20"/>
            </w:tcBorders>
          </w:tcPr>
          <w:p>
            <w:pPr>
              <w:jc w:val="right"/>
              <w:ind w:right="192"/>
              <w:spacing w:after="0"/>
              <w:rPr>
                <w:sz w:val="20"/>
                <w:szCs w:val="20"/>
                <w:color w:val="auto"/>
              </w:rPr>
            </w:pPr>
            <w:r>
              <w:rPr>
                <w:rFonts w:ascii="Arial" w:cs="Arial" w:eastAsia="Arial" w:hAnsi="Arial"/>
                <w:sz w:val="14"/>
                <w:szCs w:val="14"/>
                <w:color w:val="231F20"/>
              </w:rPr>
              <w:t>2020</w:t>
            </w:r>
          </w:p>
        </w:tc>
        <w:tc>
          <w:tcPr>
            <w:tcW w:w="1100" w:type="dxa"/>
            <w:vAlign w:val="bottom"/>
            <w:tcBorders>
              <w:bottom w:val="single" w:sz="8" w:color="231F20"/>
            </w:tcBorders>
          </w:tcPr>
          <w:p>
            <w:pPr>
              <w:jc w:val="right"/>
              <w:ind w:right="52"/>
              <w:spacing w:after="0"/>
              <w:rPr>
                <w:sz w:val="20"/>
                <w:szCs w:val="20"/>
                <w:color w:val="auto"/>
              </w:rPr>
            </w:pPr>
            <w:r>
              <w:rPr>
                <w:rFonts w:ascii="Arial" w:cs="Arial" w:eastAsia="Arial" w:hAnsi="Arial"/>
                <w:sz w:val="14"/>
                <w:szCs w:val="14"/>
                <w:color w:val="231F20"/>
              </w:rPr>
              <w:t>—</w:t>
            </w:r>
          </w:p>
        </w:tc>
        <w:tc>
          <w:tcPr>
            <w:tcW w:w="960" w:type="dxa"/>
            <w:vAlign w:val="bottom"/>
            <w:tcBorders>
              <w:bottom w:val="single" w:sz="8" w:color="231F20"/>
            </w:tcBorders>
          </w:tcPr>
          <w:p>
            <w:pPr>
              <w:jc w:val="right"/>
              <w:ind w:right="93"/>
              <w:spacing w:after="0"/>
              <w:rPr>
                <w:sz w:val="20"/>
                <w:szCs w:val="20"/>
                <w:color w:val="auto"/>
              </w:rPr>
            </w:pPr>
            <w:r>
              <w:rPr>
                <w:rFonts w:ascii="Arial" w:cs="Arial" w:eastAsia="Arial" w:hAnsi="Arial"/>
                <w:sz w:val="14"/>
                <w:szCs w:val="14"/>
                <w:color w:val="231F20"/>
              </w:rPr>
              <w:t>180</w:t>
            </w:r>
          </w:p>
        </w:tc>
        <w:tc>
          <w:tcPr>
            <w:tcW w:w="1680" w:type="dxa"/>
            <w:vAlign w:val="bottom"/>
            <w:tcBorders>
              <w:bottom w:val="single" w:sz="8" w:color="231F20"/>
            </w:tcBorders>
          </w:tcPr>
          <w:p>
            <w:pPr>
              <w:jc w:val="right"/>
              <w:ind w:right="172"/>
              <w:spacing w:after="0"/>
              <w:rPr>
                <w:sz w:val="20"/>
                <w:szCs w:val="20"/>
                <w:color w:val="auto"/>
              </w:rPr>
            </w:pPr>
            <w:r>
              <w:rPr>
                <w:rFonts w:ascii="Arial" w:cs="Arial" w:eastAsia="Arial" w:hAnsi="Arial"/>
                <w:sz w:val="14"/>
                <w:szCs w:val="14"/>
                <w:color w:val="231F20"/>
              </w:rPr>
              <w:t>19,600</w:t>
            </w:r>
          </w:p>
        </w:tc>
        <w:tc>
          <w:tcPr>
            <w:tcW w:w="1140" w:type="dxa"/>
            <w:vAlign w:val="bottom"/>
            <w:tcBorders>
              <w:bottom w:val="single" w:sz="8" w:color="231F20"/>
            </w:tcBorders>
          </w:tcPr>
          <w:p>
            <w:pPr>
              <w:jc w:val="right"/>
              <w:ind w:right="153"/>
              <w:spacing w:after="0"/>
              <w:rPr>
                <w:sz w:val="20"/>
                <w:szCs w:val="20"/>
                <w:color w:val="auto"/>
              </w:rPr>
            </w:pPr>
            <w:r>
              <w:rPr>
                <w:rFonts w:ascii="Arial" w:cs="Arial" w:eastAsia="Arial" w:hAnsi="Arial"/>
                <w:sz w:val="14"/>
                <w:szCs w:val="14"/>
                <w:color w:val="231F20"/>
              </w:rPr>
              <w:t>—</w:t>
            </w:r>
          </w:p>
        </w:tc>
        <w:tc>
          <w:tcPr>
            <w:tcW w:w="1420" w:type="dxa"/>
            <w:vAlign w:val="bottom"/>
            <w:tcBorders>
              <w:bottom w:val="single" w:sz="8" w:color="231F20"/>
            </w:tcBorders>
          </w:tcPr>
          <w:p>
            <w:pPr>
              <w:jc w:val="right"/>
              <w:ind w:right="193"/>
              <w:spacing w:after="0"/>
              <w:rPr>
                <w:sz w:val="20"/>
                <w:szCs w:val="20"/>
                <w:color w:val="auto"/>
              </w:rPr>
            </w:pPr>
            <w:r>
              <w:rPr>
                <w:rFonts w:ascii="Arial" w:cs="Arial" w:eastAsia="Arial" w:hAnsi="Arial"/>
                <w:sz w:val="14"/>
                <w:szCs w:val="14"/>
                <w:color w:val="231F20"/>
              </w:rPr>
              <w:t>—</w:t>
            </w:r>
          </w:p>
        </w:tc>
        <w:tc>
          <w:tcPr>
            <w:tcW w:w="880" w:type="dxa"/>
            <w:vAlign w:val="bottom"/>
            <w:tcBorders>
              <w:bottom w:val="single" w:sz="8" w:color="231F20"/>
            </w:tcBorders>
          </w:tcPr>
          <w:p>
            <w:pPr>
              <w:jc w:val="right"/>
              <w:ind w:right="152"/>
              <w:spacing w:after="0"/>
              <w:rPr>
                <w:sz w:val="20"/>
                <w:szCs w:val="20"/>
                <w:color w:val="auto"/>
              </w:rPr>
            </w:pPr>
            <w:r>
              <w:rPr>
                <w:rFonts w:ascii="Arial" w:cs="Arial" w:eastAsia="Arial" w:hAnsi="Arial"/>
                <w:sz w:val="14"/>
                <w:szCs w:val="14"/>
                <w:color w:val="231F20"/>
              </w:rPr>
              <w:t>—</w:t>
            </w:r>
          </w:p>
        </w:tc>
        <w:tc>
          <w:tcPr>
            <w:tcW w:w="700" w:type="dxa"/>
            <w:vAlign w:val="bottom"/>
            <w:tcBorders>
              <w:bottom w:val="single" w:sz="8" w:color="231F20"/>
            </w:tcBorders>
          </w:tcPr>
          <w:p>
            <w:pPr>
              <w:jc w:val="right"/>
              <w:spacing w:after="0"/>
              <w:rPr>
                <w:sz w:val="20"/>
                <w:szCs w:val="20"/>
                <w:color w:val="auto"/>
              </w:rPr>
            </w:pPr>
            <w:r>
              <w:rPr>
                <w:rFonts w:ascii="Arial" w:cs="Arial" w:eastAsia="Arial" w:hAnsi="Arial"/>
                <w:sz w:val="14"/>
                <w:szCs w:val="14"/>
                <w:color w:val="231F20"/>
              </w:rPr>
              <w:t>19,780</w:t>
            </w:r>
          </w:p>
        </w:tc>
      </w:tr>
      <w:tr>
        <w:trPr>
          <w:trHeight w:val="197"/>
        </w:trPr>
        <w:tc>
          <w:tcPr>
            <w:tcW w:w="1940" w:type="dxa"/>
            <w:vAlign w:val="bottom"/>
          </w:tcPr>
          <w:p>
            <w:pPr>
              <w:spacing w:after="0"/>
              <w:rPr>
                <w:sz w:val="17"/>
                <w:szCs w:val="17"/>
                <w:color w:val="auto"/>
              </w:rPr>
            </w:pPr>
          </w:p>
        </w:tc>
        <w:tc>
          <w:tcPr>
            <w:tcW w:w="1420" w:type="dxa"/>
            <w:vAlign w:val="bottom"/>
            <w:tcBorders>
              <w:bottom w:val="single" w:sz="8" w:color="231F20"/>
            </w:tcBorders>
          </w:tcPr>
          <w:p>
            <w:pPr>
              <w:jc w:val="right"/>
              <w:ind w:right="192"/>
              <w:spacing w:after="0"/>
              <w:rPr>
                <w:sz w:val="20"/>
                <w:szCs w:val="20"/>
                <w:color w:val="auto"/>
              </w:rPr>
            </w:pPr>
            <w:r>
              <w:rPr>
                <w:rFonts w:ascii="Arial" w:cs="Arial" w:eastAsia="Arial" w:hAnsi="Arial"/>
                <w:sz w:val="14"/>
                <w:szCs w:val="14"/>
                <w:color w:val="231F20"/>
              </w:rPr>
              <w:t>2019</w:t>
            </w:r>
          </w:p>
        </w:tc>
        <w:tc>
          <w:tcPr>
            <w:tcW w:w="1100" w:type="dxa"/>
            <w:vAlign w:val="bottom"/>
            <w:tcBorders>
              <w:bottom w:val="single" w:sz="8" w:color="231F20"/>
            </w:tcBorders>
          </w:tcPr>
          <w:p>
            <w:pPr>
              <w:jc w:val="right"/>
              <w:ind w:right="52"/>
              <w:spacing w:after="0"/>
              <w:rPr>
                <w:sz w:val="20"/>
                <w:szCs w:val="20"/>
                <w:color w:val="auto"/>
              </w:rPr>
            </w:pPr>
            <w:r>
              <w:rPr>
                <w:rFonts w:ascii="Arial" w:cs="Arial" w:eastAsia="Arial" w:hAnsi="Arial"/>
                <w:sz w:val="14"/>
                <w:szCs w:val="14"/>
                <w:color w:val="231F20"/>
              </w:rPr>
              <w:t>—</w:t>
            </w:r>
          </w:p>
        </w:tc>
        <w:tc>
          <w:tcPr>
            <w:tcW w:w="960" w:type="dxa"/>
            <w:vAlign w:val="bottom"/>
            <w:tcBorders>
              <w:bottom w:val="single" w:sz="8" w:color="231F20"/>
            </w:tcBorders>
          </w:tcPr>
          <w:p>
            <w:pPr>
              <w:jc w:val="right"/>
              <w:ind w:right="93"/>
              <w:spacing w:after="0"/>
              <w:rPr>
                <w:sz w:val="20"/>
                <w:szCs w:val="20"/>
                <w:color w:val="auto"/>
              </w:rPr>
            </w:pPr>
            <w:r>
              <w:rPr>
                <w:rFonts w:ascii="Arial" w:cs="Arial" w:eastAsia="Arial" w:hAnsi="Arial"/>
                <w:sz w:val="14"/>
                <w:szCs w:val="14"/>
                <w:color w:val="231F20"/>
              </w:rPr>
              <w:t>180</w:t>
            </w:r>
          </w:p>
        </w:tc>
        <w:tc>
          <w:tcPr>
            <w:tcW w:w="1680" w:type="dxa"/>
            <w:vAlign w:val="bottom"/>
            <w:tcBorders>
              <w:bottom w:val="single" w:sz="8" w:color="231F20"/>
            </w:tcBorders>
          </w:tcPr>
          <w:p>
            <w:pPr>
              <w:jc w:val="right"/>
              <w:ind w:right="172"/>
              <w:spacing w:after="0"/>
              <w:rPr>
                <w:sz w:val="20"/>
                <w:szCs w:val="20"/>
                <w:color w:val="auto"/>
              </w:rPr>
            </w:pPr>
            <w:r>
              <w:rPr>
                <w:rFonts w:ascii="Arial" w:cs="Arial" w:eastAsia="Arial" w:hAnsi="Arial"/>
                <w:sz w:val="14"/>
                <w:szCs w:val="14"/>
                <w:color w:val="231F20"/>
              </w:rPr>
              <w:t>17,291</w:t>
            </w:r>
          </w:p>
        </w:tc>
        <w:tc>
          <w:tcPr>
            <w:tcW w:w="1140" w:type="dxa"/>
            <w:vAlign w:val="bottom"/>
            <w:tcBorders>
              <w:bottom w:val="single" w:sz="8" w:color="231F20"/>
            </w:tcBorders>
          </w:tcPr>
          <w:p>
            <w:pPr>
              <w:jc w:val="right"/>
              <w:ind w:right="153"/>
              <w:spacing w:after="0"/>
              <w:rPr>
                <w:sz w:val="20"/>
                <w:szCs w:val="20"/>
                <w:color w:val="auto"/>
              </w:rPr>
            </w:pPr>
            <w:r>
              <w:rPr>
                <w:rFonts w:ascii="Arial" w:cs="Arial" w:eastAsia="Arial" w:hAnsi="Arial"/>
                <w:sz w:val="14"/>
                <w:szCs w:val="14"/>
                <w:color w:val="231F20"/>
              </w:rPr>
              <w:t>—</w:t>
            </w:r>
          </w:p>
        </w:tc>
        <w:tc>
          <w:tcPr>
            <w:tcW w:w="1420" w:type="dxa"/>
            <w:vAlign w:val="bottom"/>
            <w:tcBorders>
              <w:bottom w:val="single" w:sz="8" w:color="231F20"/>
            </w:tcBorders>
          </w:tcPr>
          <w:p>
            <w:pPr>
              <w:jc w:val="right"/>
              <w:ind w:right="193"/>
              <w:spacing w:after="0"/>
              <w:rPr>
                <w:sz w:val="20"/>
                <w:szCs w:val="20"/>
                <w:color w:val="auto"/>
              </w:rPr>
            </w:pPr>
            <w:r>
              <w:rPr>
                <w:rFonts w:ascii="Arial" w:cs="Arial" w:eastAsia="Arial" w:hAnsi="Arial"/>
                <w:sz w:val="14"/>
                <w:szCs w:val="14"/>
                <w:color w:val="231F20"/>
              </w:rPr>
              <w:t>—</w:t>
            </w:r>
          </w:p>
        </w:tc>
        <w:tc>
          <w:tcPr>
            <w:tcW w:w="880" w:type="dxa"/>
            <w:vAlign w:val="bottom"/>
            <w:tcBorders>
              <w:bottom w:val="single" w:sz="8" w:color="231F20"/>
            </w:tcBorders>
          </w:tcPr>
          <w:p>
            <w:pPr>
              <w:jc w:val="right"/>
              <w:ind w:right="152"/>
              <w:spacing w:after="0"/>
              <w:rPr>
                <w:sz w:val="20"/>
                <w:szCs w:val="20"/>
                <w:color w:val="auto"/>
              </w:rPr>
            </w:pPr>
            <w:r>
              <w:rPr>
                <w:rFonts w:ascii="Arial" w:cs="Arial" w:eastAsia="Arial" w:hAnsi="Arial"/>
                <w:sz w:val="14"/>
                <w:szCs w:val="14"/>
                <w:color w:val="231F20"/>
              </w:rPr>
              <w:t>—</w:t>
            </w:r>
          </w:p>
        </w:tc>
        <w:tc>
          <w:tcPr>
            <w:tcW w:w="700" w:type="dxa"/>
            <w:vAlign w:val="bottom"/>
            <w:tcBorders>
              <w:bottom w:val="single" w:sz="8" w:color="231F20"/>
            </w:tcBorders>
          </w:tcPr>
          <w:p>
            <w:pPr>
              <w:jc w:val="right"/>
              <w:spacing w:after="0"/>
              <w:rPr>
                <w:sz w:val="20"/>
                <w:szCs w:val="20"/>
                <w:color w:val="auto"/>
              </w:rPr>
            </w:pPr>
            <w:r>
              <w:rPr>
                <w:rFonts w:ascii="Arial" w:cs="Arial" w:eastAsia="Arial" w:hAnsi="Arial"/>
                <w:sz w:val="14"/>
                <w:szCs w:val="14"/>
                <w:color w:val="231F20"/>
              </w:rPr>
              <w:t>17,471</w:t>
            </w:r>
          </w:p>
        </w:tc>
      </w:tr>
      <w:tr>
        <w:trPr>
          <w:trHeight w:val="197"/>
        </w:trPr>
        <w:tc>
          <w:tcPr>
            <w:tcW w:w="1940" w:type="dxa"/>
            <w:vAlign w:val="bottom"/>
            <w:tcBorders>
              <w:bottom w:val="single" w:sz="8" w:color="231F20"/>
            </w:tcBorders>
          </w:tcPr>
          <w:p>
            <w:pPr>
              <w:spacing w:after="0"/>
              <w:rPr>
                <w:sz w:val="17"/>
                <w:szCs w:val="17"/>
                <w:color w:val="auto"/>
              </w:rPr>
            </w:pPr>
          </w:p>
        </w:tc>
        <w:tc>
          <w:tcPr>
            <w:tcW w:w="1420" w:type="dxa"/>
            <w:vAlign w:val="bottom"/>
            <w:tcBorders>
              <w:bottom w:val="single" w:sz="8" w:color="231F20"/>
            </w:tcBorders>
          </w:tcPr>
          <w:p>
            <w:pPr>
              <w:jc w:val="right"/>
              <w:ind w:right="192"/>
              <w:spacing w:after="0"/>
              <w:rPr>
                <w:sz w:val="20"/>
                <w:szCs w:val="20"/>
                <w:color w:val="auto"/>
              </w:rPr>
            </w:pPr>
            <w:r>
              <w:rPr>
                <w:rFonts w:ascii="Arial" w:cs="Arial" w:eastAsia="Arial" w:hAnsi="Arial"/>
                <w:sz w:val="14"/>
                <w:szCs w:val="14"/>
                <w:color w:val="231F20"/>
              </w:rPr>
              <w:t>2018</w:t>
            </w:r>
          </w:p>
        </w:tc>
        <w:tc>
          <w:tcPr>
            <w:tcW w:w="1100" w:type="dxa"/>
            <w:vAlign w:val="bottom"/>
            <w:tcBorders>
              <w:bottom w:val="single" w:sz="8" w:color="231F20"/>
            </w:tcBorders>
          </w:tcPr>
          <w:p>
            <w:pPr>
              <w:jc w:val="right"/>
              <w:ind w:right="52"/>
              <w:spacing w:after="0"/>
              <w:rPr>
                <w:sz w:val="20"/>
                <w:szCs w:val="20"/>
                <w:color w:val="auto"/>
              </w:rPr>
            </w:pPr>
            <w:r>
              <w:rPr>
                <w:rFonts w:ascii="Arial" w:cs="Arial" w:eastAsia="Arial" w:hAnsi="Arial"/>
                <w:sz w:val="14"/>
                <w:szCs w:val="14"/>
                <w:color w:val="231F20"/>
              </w:rPr>
              <w:t>—</w:t>
            </w:r>
          </w:p>
        </w:tc>
        <w:tc>
          <w:tcPr>
            <w:tcW w:w="960" w:type="dxa"/>
            <w:vAlign w:val="bottom"/>
            <w:tcBorders>
              <w:bottom w:val="single" w:sz="8" w:color="231F20"/>
            </w:tcBorders>
          </w:tcPr>
          <w:p>
            <w:pPr>
              <w:jc w:val="right"/>
              <w:ind w:right="93"/>
              <w:spacing w:after="0"/>
              <w:rPr>
                <w:sz w:val="20"/>
                <w:szCs w:val="20"/>
                <w:color w:val="auto"/>
              </w:rPr>
            </w:pPr>
            <w:r>
              <w:rPr>
                <w:rFonts w:ascii="Arial" w:cs="Arial" w:eastAsia="Arial" w:hAnsi="Arial"/>
                <w:sz w:val="14"/>
                <w:szCs w:val="14"/>
                <w:color w:val="231F20"/>
              </w:rPr>
              <w:t>—</w:t>
            </w:r>
          </w:p>
        </w:tc>
        <w:tc>
          <w:tcPr>
            <w:tcW w:w="1680" w:type="dxa"/>
            <w:vAlign w:val="bottom"/>
            <w:tcBorders>
              <w:bottom w:val="single" w:sz="8" w:color="231F20"/>
            </w:tcBorders>
          </w:tcPr>
          <w:p>
            <w:pPr>
              <w:jc w:val="right"/>
              <w:ind w:right="172"/>
              <w:spacing w:after="0"/>
              <w:rPr>
                <w:sz w:val="20"/>
                <w:szCs w:val="20"/>
                <w:color w:val="auto"/>
              </w:rPr>
            </w:pPr>
            <w:r>
              <w:rPr>
                <w:rFonts w:ascii="Arial" w:cs="Arial" w:eastAsia="Arial" w:hAnsi="Arial"/>
                <w:sz w:val="14"/>
                <w:szCs w:val="14"/>
                <w:color w:val="231F20"/>
              </w:rPr>
              <w:t>—</w:t>
            </w:r>
          </w:p>
        </w:tc>
        <w:tc>
          <w:tcPr>
            <w:tcW w:w="1140" w:type="dxa"/>
            <w:vAlign w:val="bottom"/>
            <w:tcBorders>
              <w:bottom w:val="single" w:sz="8" w:color="231F20"/>
            </w:tcBorders>
          </w:tcPr>
          <w:p>
            <w:pPr>
              <w:jc w:val="right"/>
              <w:ind w:right="153"/>
              <w:spacing w:after="0"/>
              <w:rPr>
                <w:sz w:val="20"/>
                <w:szCs w:val="20"/>
                <w:color w:val="auto"/>
              </w:rPr>
            </w:pPr>
            <w:r>
              <w:rPr>
                <w:rFonts w:ascii="Arial" w:cs="Arial" w:eastAsia="Arial" w:hAnsi="Arial"/>
                <w:sz w:val="14"/>
                <w:szCs w:val="14"/>
                <w:color w:val="231F20"/>
              </w:rPr>
              <w:t>76,605</w:t>
            </w:r>
          </w:p>
        </w:tc>
        <w:tc>
          <w:tcPr>
            <w:tcW w:w="1420" w:type="dxa"/>
            <w:vAlign w:val="bottom"/>
            <w:tcBorders>
              <w:bottom w:val="single" w:sz="8" w:color="231F20"/>
            </w:tcBorders>
          </w:tcPr>
          <w:p>
            <w:pPr>
              <w:jc w:val="right"/>
              <w:ind w:right="193"/>
              <w:spacing w:after="0"/>
              <w:rPr>
                <w:sz w:val="20"/>
                <w:szCs w:val="20"/>
                <w:color w:val="auto"/>
              </w:rPr>
            </w:pPr>
            <w:r>
              <w:rPr>
                <w:rFonts w:ascii="Arial" w:cs="Arial" w:eastAsia="Arial" w:hAnsi="Arial"/>
                <w:sz w:val="14"/>
                <w:szCs w:val="14"/>
                <w:color w:val="231F20"/>
              </w:rPr>
              <w:t>—</w:t>
            </w:r>
          </w:p>
        </w:tc>
        <w:tc>
          <w:tcPr>
            <w:tcW w:w="880" w:type="dxa"/>
            <w:vAlign w:val="bottom"/>
            <w:tcBorders>
              <w:bottom w:val="single" w:sz="8" w:color="231F20"/>
            </w:tcBorders>
          </w:tcPr>
          <w:p>
            <w:pPr>
              <w:jc w:val="right"/>
              <w:ind w:right="152"/>
              <w:spacing w:after="0"/>
              <w:rPr>
                <w:sz w:val="20"/>
                <w:szCs w:val="20"/>
                <w:color w:val="auto"/>
              </w:rPr>
            </w:pPr>
            <w:r>
              <w:rPr>
                <w:rFonts w:ascii="Arial" w:cs="Arial" w:eastAsia="Arial" w:hAnsi="Arial"/>
                <w:sz w:val="14"/>
                <w:szCs w:val="14"/>
                <w:color w:val="231F20"/>
              </w:rPr>
              <w:t>—</w:t>
            </w:r>
          </w:p>
        </w:tc>
        <w:tc>
          <w:tcPr>
            <w:tcW w:w="700" w:type="dxa"/>
            <w:vAlign w:val="bottom"/>
            <w:tcBorders>
              <w:bottom w:val="single" w:sz="8" w:color="231F20"/>
            </w:tcBorders>
          </w:tcPr>
          <w:p>
            <w:pPr>
              <w:jc w:val="right"/>
              <w:spacing w:after="0"/>
              <w:rPr>
                <w:sz w:val="20"/>
                <w:szCs w:val="20"/>
                <w:color w:val="auto"/>
              </w:rPr>
            </w:pPr>
            <w:r>
              <w:rPr>
                <w:rFonts w:ascii="Arial" w:cs="Arial" w:eastAsia="Arial" w:hAnsi="Arial"/>
                <w:sz w:val="14"/>
                <w:szCs w:val="14"/>
                <w:color w:val="231F20"/>
              </w:rPr>
              <w:t>76,605</w:t>
            </w:r>
          </w:p>
        </w:tc>
      </w:tr>
      <w:tr>
        <w:trPr>
          <w:trHeight w:val="197"/>
        </w:trPr>
        <w:tc>
          <w:tcPr>
            <w:tcW w:w="1940" w:type="dxa"/>
            <w:vAlign w:val="bottom"/>
          </w:tcPr>
          <w:p>
            <w:pPr>
              <w:spacing w:after="0"/>
              <w:rPr>
                <w:sz w:val="20"/>
                <w:szCs w:val="20"/>
                <w:color w:val="auto"/>
              </w:rPr>
            </w:pPr>
            <w:r>
              <w:rPr>
                <w:rFonts w:ascii="Arial" w:cs="Arial" w:eastAsia="Arial" w:hAnsi="Arial"/>
                <w:sz w:val="14"/>
                <w:szCs w:val="14"/>
                <w:color w:val="231F20"/>
              </w:rPr>
              <w:t>Luning</w:t>
            </w:r>
          </w:p>
        </w:tc>
        <w:tc>
          <w:tcPr>
            <w:tcW w:w="1420" w:type="dxa"/>
            <w:vAlign w:val="bottom"/>
            <w:tcBorders>
              <w:bottom w:val="single" w:sz="8" w:color="231F20"/>
            </w:tcBorders>
          </w:tcPr>
          <w:p>
            <w:pPr>
              <w:jc w:val="right"/>
              <w:ind w:right="192"/>
              <w:spacing w:after="0"/>
              <w:rPr>
                <w:sz w:val="20"/>
                <w:szCs w:val="20"/>
                <w:color w:val="auto"/>
              </w:rPr>
            </w:pPr>
            <w:r>
              <w:rPr>
                <w:rFonts w:ascii="Arial" w:cs="Arial" w:eastAsia="Arial" w:hAnsi="Arial"/>
                <w:sz w:val="14"/>
                <w:szCs w:val="14"/>
                <w:color w:val="231F20"/>
              </w:rPr>
              <w:t>2020</w:t>
            </w:r>
          </w:p>
        </w:tc>
        <w:tc>
          <w:tcPr>
            <w:tcW w:w="1100" w:type="dxa"/>
            <w:vAlign w:val="bottom"/>
            <w:tcBorders>
              <w:bottom w:val="single" w:sz="8" w:color="231F20"/>
            </w:tcBorders>
          </w:tcPr>
          <w:p>
            <w:pPr>
              <w:jc w:val="right"/>
              <w:ind w:right="52"/>
              <w:spacing w:after="0"/>
              <w:rPr>
                <w:sz w:val="20"/>
                <w:szCs w:val="20"/>
                <w:color w:val="auto"/>
              </w:rPr>
            </w:pPr>
            <w:r>
              <w:rPr>
                <w:rFonts w:ascii="Arial" w:cs="Arial" w:eastAsia="Arial" w:hAnsi="Arial"/>
                <w:sz w:val="14"/>
                <w:szCs w:val="14"/>
                <w:color w:val="231F20"/>
              </w:rPr>
              <w:t>—</w:t>
            </w:r>
          </w:p>
        </w:tc>
        <w:tc>
          <w:tcPr>
            <w:tcW w:w="960" w:type="dxa"/>
            <w:vAlign w:val="bottom"/>
            <w:tcBorders>
              <w:bottom w:val="single" w:sz="8" w:color="231F20"/>
            </w:tcBorders>
          </w:tcPr>
          <w:p>
            <w:pPr>
              <w:jc w:val="right"/>
              <w:ind w:right="93"/>
              <w:spacing w:after="0"/>
              <w:rPr>
                <w:sz w:val="20"/>
                <w:szCs w:val="20"/>
                <w:color w:val="auto"/>
              </w:rPr>
            </w:pPr>
            <w:r>
              <w:rPr>
                <w:rFonts w:ascii="Arial" w:cs="Arial" w:eastAsia="Arial" w:hAnsi="Arial"/>
                <w:sz w:val="14"/>
                <w:szCs w:val="14"/>
                <w:color w:val="231F20"/>
              </w:rPr>
              <w:t>1,993</w:t>
            </w:r>
          </w:p>
        </w:tc>
        <w:tc>
          <w:tcPr>
            <w:tcW w:w="1680" w:type="dxa"/>
            <w:vAlign w:val="bottom"/>
            <w:tcBorders>
              <w:bottom w:val="single" w:sz="8" w:color="231F20"/>
            </w:tcBorders>
          </w:tcPr>
          <w:p>
            <w:pPr>
              <w:jc w:val="right"/>
              <w:ind w:right="172"/>
              <w:spacing w:after="0"/>
              <w:rPr>
                <w:sz w:val="20"/>
                <w:szCs w:val="20"/>
                <w:color w:val="auto"/>
              </w:rPr>
            </w:pPr>
            <w:r>
              <w:rPr>
                <w:rFonts w:ascii="Arial" w:cs="Arial" w:eastAsia="Arial" w:hAnsi="Arial"/>
                <w:sz w:val="14"/>
                <w:szCs w:val="14"/>
                <w:color w:val="231F20"/>
              </w:rPr>
              <w:t>6,816</w:t>
            </w:r>
          </w:p>
        </w:tc>
        <w:tc>
          <w:tcPr>
            <w:tcW w:w="1140" w:type="dxa"/>
            <w:vAlign w:val="bottom"/>
            <w:tcBorders>
              <w:bottom w:val="single" w:sz="8" w:color="231F20"/>
            </w:tcBorders>
          </w:tcPr>
          <w:p>
            <w:pPr>
              <w:jc w:val="right"/>
              <w:ind w:right="153"/>
              <w:spacing w:after="0"/>
              <w:rPr>
                <w:sz w:val="20"/>
                <w:szCs w:val="20"/>
                <w:color w:val="auto"/>
              </w:rPr>
            </w:pPr>
            <w:r>
              <w:rPr>
                <w:rFonts w:ascii="Arial" w:cs="Arial" w:eastAsia="Arial" w:hAnsi="Arial"/>
                <w:sz w:val="14"/>
                <w:szCs w:val="14"/>
                <w:color w:val="231F20"/>
              </w:rPr>
              <w:t>—</w:t>
            </w:r>
          </w:p>
        </w:tc>
        <w:tc>
          <w:tcPr>
            <w:tcW w:w="1420" w:type="dxa"/>
            <w:vAlign w:val="bottom"/>
            <w:tcBorders>
              <w:bottom w:val="single" w:sz="8" w:color="231F20"/>
            </w:tcBorders>
          </w:tcPr>
          <w:p>
            <w:pPr>
              <w:jc w:val="right"/>
              <w:ind w:right="193"/>
              <w:spacing w:after="0"/>
              <w:rPr>
                <w:sz w:val="20"/>
                <w:szCs w:val="20"/>
                <w:color w:val="auto"/>
              </w:rPr>
            </w:pPr>
            <w:r>
              <w:rPr>
                <w:rFonts w:ascii="Arial" w:cs="Arial" w:eastAsia="Arial" w:hAnsi="Arial"/>
                <w:sz w:val="14"/>
                <w:szCs w:val="14"/>
                <w:color w:val="231F20"/>
              </w:rPr>
              <w:t>8,252</w:t>
            </w:r>
          </w:p>
        </w:tc>
        <w:tc>
          <w:tcPr>
            <w:tcW w:w="880" w:type="dxa"/>
            <w:vAlign w:val="bottom"/>
            <w:tcBorders>
              <w:bottom w:val="single" w:sz="8" w:color="231F20"/>
            </w:tcBorders>
          </w:tcPr>
          <w:p>
            <w:pPr>
              <w:jc w:val="right"/>
              <w:ind w:right="152"/>
              <w:spacing w:after="0"/>
              <w:rPr>
                <w:sz w:val="20"/>
                <w:szCs w:val="20"/>
                <w:color w:val="auto"/>
              </w:rPr>
            </w:pPr>
            <w:r>
              <w:rPr>
                <w:rFonts w:ascii="Arial" w:cs="Arial" w:eastAsia="Arial" w:hAnsi="Arial"/>
                <w:sz w:val="14"/>
                <w:szCs w:val="14"/>
                <w:color w:val="231F20"/>
              </w:rPr>
              <w:t>—</w:t>
            </w:r>
          </w:p>
        </w:tc>
        <w:tc>
          <w:tcPr>
            <w:tcW w:w="700" w:type="dxa"/>
            <w:vAlign w:val="bottom"/>
            <w:tcBorders>
              <w:bottom w:val="single" w:sz="8" w:color="231F20"/>
            </w:tcBorders>
          </w:tcPr>
          <w:p>
            <w:pPr>
              <w:jc w:val="right"/>
              <w:spacing w:after="0"/>
              <w:rPr>
                <w:sz w:val="20"/>
                <w:szCs w:val="20"/>
                <w:color w:val="auto"/>
              </w:rPr>
            </w:pPr>
            <w:r>
              <w:rPr>
                <w:rFonts w:ascii="Arial" w:cs="Arial" w:eastAsia="Arial" w:hAnsi="Arial"/>
                <w:sz w:val="14"/>
                <w:szCs w:val="14"/>
                <w:color w:val="231F20"/>
              </w:rPr>
              <w:t>17,061</w:t>
            </w:r>
          </w:p>
        </w:tc>
      </w:tr>
      <w:tr>
        <w:trPr>
          <w:trHeight w:val="197"/>
        </w:trPr>
        <w:tc>
          <w:tcPr>
            <w:tcW w:w="1940" w:type="dxa"/>
            <w:vAlign w:val="bottom"/>
          </w:tcPr>
          <w:p>
            <w:pPr>
              <w:spacing w:after="0"/>
              <w:rPr>
                <w:sz w:val="17"/>
                <w:szCs w:val="17"/>
                <w:color w:val="auto"/>
              </w:rPr>
            </w:pPr>
          </w:p>
        </w:tc>
        <w:tc>
          <w:tcPr>
            <w:tcW w:w="1420" w:type="dxa"/>
            <w:vAlign w:val="bottom"/>
            <w:tcBorders>
              <w:bottom w:val="single" w:sz="8" w:color="231F20"/>
            </w:tcBorders>
          </w:tcPr>
          <w:p>
            <w:pPr>
              <w:jc w:val="right"/>
              <w:ind w:right="192"/>
              <w:spacing w:after="0"/>
              <w:rPr>
                <w:sz w:val="20"/>
                <w:szCs w:val="20"/>
                <w:color w:val="auto"/>
              </w:rPr>
            </w:pPr>
            <w:r>
              <w:rPr>
                <w:rFonts w:ascii="Arial" w:cs="Arial" w:eastAsia="Arial" w:hAnsi="Arial"/>
                <w:sz w:val="14"/>
                <w:szCs w:val="14"/>
                <w:color w:val="231F20"/>
              </w:rPr>
              <w:t>2019</w:t>
            </w:r>
          </w:p>
        </w:tc>
        <w:tc>
          <w:tcPr>
            <w:tcW w:w="1100" w:type="dxa"/>
            <w:vAlign w:val="bottom"/>
            <w:tcBorders>
              <w:bottom w:val="single" w:sz="8" w:color="231F20"/>
            </w:tcBorders>
          </w:tcPr>
          <w:p>
            <w:pPr>
              <w:jc w:val="right"/>
              <w:ind w:right="52"/>
              <w:spacing w:after="0"/>
              <w:rPr>
                <w:sz w:val="20"/>
                <w:szCs w:val="20"/>
                <w:color w:val="auto"/>
              </w:rPr>
            </w:pPr>
            <w:r>
              <w:rPr>
                <w:rFonts w:ascii="Arial" w:cs="Arial" w:eastAsia="Arial" w:hAnsi="Arial"/>
                <w:sz w:val="14"/>
                <w:szCs w:val="14"/>
                <w:color w:val="231F20"/>
              </w:rPr>
              <w:t>—</w:t>
            </w:r>
          </w:p>
        </w:tc>
        <w:tc>
          <w:tcPr>
            <w:tcW w:w="960" w:type="dxa"/>
            <w:vAlign w:val="bottom"/>
            <w:tcBorders>
              <w:bottom w:val="single" w:sz="8" w:color="231F20"/>
            </w:tcBorders>
          </w:tcPr>
          <w:p>
            <w:pPr>
              <w:jc w:val="right"/>
              <w:ind w:right="93"/>
              <w:spacing w:after="0"/>
              <w:rPr>
                <w:sz w:val="20"/>
                <w:szCs w:val="20"/>
                <w:color w:val="auto"/>
              </w:rPr>
            </w:pPr>
            <w:r>
              <w:rPr>
                <w:rFonts w:ascii="Arial" w:cs="Arial" w:eastAsia="Arial" w:hAnsi="Arial"/>
                <w:sz w:val="14"/>
                <w:szCs w:val="14"/>
                <w:color w:val="231F20"/>
              </w:rPr>
              <w:t>1,852</w:t>
            </w:r>
          </w:p>
        </w:tc>
        <w:tc>
          <w:tcPr>
            <w:tcW w:w="1680" w:type="dxa"/>
            <w:vAlign w:val="bottom"/>
            <w:tcBorders>
              <w:bottom w:val="single" w:sz="8" w:color="231F20"/>
            </w:tcBorders>
          </w:tcPr>
          <w:p>
            <w:pPr>
              <w:jc w:val="right"/>
              <w:ind w:right="172"/>
              <w:spacing w:after="0"/>
              <w:rPr>
                <w:sz w:val="20"/>
                <w:szCs w:val="20"/>
                <w:color w:val="auto"/>
              </w:rPr>
            </w:pPr>
            <w:r>
              <w:rPr>
                <w:rFonts w:ascii="Arial" w:cs="Arial" w:eastAsia="Arial" w:hAnsi="Arial"/>
                <w:sz w:val="14"/>
                <w:szCs w:val="14"/>
                <w:color w:val="231F20"/>
              </w:rPr>
              <w:t>8,400</w:t>
            </w:r>
          </w:p>
        </w:tc>
        <w:tc>
          <w:tcPr>
            <w:tcW w:w="1140" w:type="dxa"/>
            <w:vAlign w:val="bottom"/>
            <w:tcBorders>
              <w:bottom w:val="single" w:sz="8" w:color="231F20"/>
            </w:tcBorders>
          </w:tcPr>
          <w:p>
            <w:pPr>
              <w:jc w:val="right"/>
              <w:ind w:right="153"/>
              <w:spacing w:after="0"/>
              <w:rPr>
                <w:sz w:val="20"/>
                <w:szCs w:val="20"/>
                <w:color w:val="auto"/>
              </w:rPr>
            </w:pPr>
            <w:r>
              <w:rPr>
                <w:rFonts w:ascii="Arial" w:cs="Arial" w:eastAsia="Arial" w:hAnsi="Arial"/>
                <w:sz w:val="14"/>
                <w:szCs w:val="14"/>
                <w:color w:val="231F20"/>
              </w:rPr>
              <w:t>—</w:t>
            </w:r>
          </w:p>
        </w:tc>
        <w:tc>
          <w:tcPr>
            <w:tcW w:w="1420" w:type="dxa"/>
            <w:vAlign w:val="bottom"/>
            <w:tcBorders>
              <w:bottom w:val="single" w:sz="8" w:color="231F20"/>
            </w:tcBorders>
          </w:tcPr>
          <w:p>
            <w:pPr>
              <w:jc w:val="right"/>
              <w:ind w:right="193"/>
              <w:spacing w:after="0"/>
              <w:rPr>
                <w:sz w:val="20"/>
                <w:szCs w:val="20"/>
                <w:color w:val="auto"/>
              </w:rPr>
            </w:pPr>
            <w:r>
              <w:rPr>
                <w:rFonts w:ascii="Arial" w:cs="Arial" w:eastAsia="Arial" w:hAnsi="Arial"/>
                <w:sz w:val="14"/>
                <w:szCs w:val="14"/>
                <w:color w:val="231F20"/>
              </w:rPr>
              <w:t>7,472</w:t>
            </w:r>
          </w:p>
        </w:tc>
        <w:tc>
          <w:tcPr>
            <w:tcW w:w="880" w:type="dxa"/>
            <w:vAlign w:val="bottom"/>
            <w:tcBorders>
              <w:bottom w:val="single" w:sz="8" w:color="231F20"/>
            </w:tcBorders>
          </w:tcPr>
          <w:p>
            <w:pPr>
              <w:jc w:val="right"/>
              <w:ind w:right="152"/>
              <w:spacing w:after="0"/>
              <w:rPr>
                <w:sz w:val="20"/>
                <w:szCs w:val="20"/>
                <w:color w:val="auto"/>
              </w:rPr>
            </w:pPr>
            <w:r>
              <w:rPr>
                <w:rFonts w:ascii="Arial" w:cs="Arial" w:eastAsia="Arial" w:hAnsi="Arial"/>
                <w:sz w:val="14"/>
                <w:szCs w:val="14"/>
                <w:color w:val="231F20"/>
              </w:rPr>
              <w:t>—</w:t>
            </w:r>
          </w:p>
        </w:tc>
        <w:tc>
          <w:tcPr>
            <w:tcW w:w="700" w:type="dxa"/>
            <w:vAlign w:val="bottom"/>
            <w:tcBorders>
              <w:bottom w:val="single" w:sz="8" w:color="231F20"/>
            </w:tcBorders>
          </w:tcPr>
          <w:p>
            <w:pPr>
              <w:jc w:val="right"/>
              <w:spacing w:after="0"/>
              <w:rPr>
                <w:sz w:val="20"/>
                <w:szCs w:val="20"/>
                <w:color w:val="auto"/>
              </w:rPr>
            </w:pPr>
            <w:r>
              <w:rPr>
                <w:rFonts w:ascii="Arial" w:cs="Arial" w:eastAsia="Arial" w:hAnsi="Arial"/>
                <w:sz w:val="14"/>
                <w:szCs w:val="14"/>
                <w:color w:val="231F20"/>
              </w:rPr>
              <w:t>17,724</w:t>
            </w:r>
          </w:p>
        </w:tc>
      </w:tr>
      <w:tr>
        <w:trPr>
          <w:trHeight w:val="193"/>
        </w:trPr>
        <w:tc>
          <w:tcPr>
            <w:tcW w:w="1940" w:type="dxa"/>
            <w:vAlign w:val="bottom"/>
          </w:tcPr>
          <w:p>
            <w:pPr>
              <w:spacing w:after="0"/>
              <w:rPr>
                <w:sz w:val="16"/>
                <w:szCs w:val="16"/>
                <w:color w:val="auto"/>
              </w:rPr>
            </w:pPr>
          </w:p>
        </w:tc>
        <w:tc>
          <w:tcPr>
            <w:tcW w:w="1420" w:type="dxa"/>
            <w:vAlign w:val="bottom"/>
          </w:tcPr>
          <w:p>
            <w:pPr>
              <w:jc w:val="right"/>
              <w:ind w:right="192"/>
              <w:spacing w:after="0"/>
              <w:rPr>
                <w:sz w:val="20"/>
                <w:szCs w:val="20"/>
                <w:color w:val="auto"/>
              </w:rPr>
            </w:pPr>
            <w:r>
              <w:rPr>
                <w:rFonts w:ascii="Arial" w:cs="Arial" w:eastAsia="Arial" w:hAnsi="Arial"/>
                <w:sz w:val="14"/>
                <w:szCs w:val="14"/>
                <w:color w:val="231F20"/>
              </w:rPr>
              <w:t>2018</w:t>
            </w:r>
          </w:p>
        </w:tc>
        <w:tc>
          <w:tcPr>
            <w:tcW w:w="1100" w:type="dxa"/>
            <w:vAlign w:val="bottom"/>
          </w:tcPr>
          <w:p>
            <w:pPr>
              <w:jc w:val="right"/>
              <w:ind w:right="52"/>
              <w:spacing w:after="0"/>
              <w:rPr>
                <w:sz w:val="20"/>
                <w:szCs w:val="20"/>
                <w:color w:val="auto"/>
              </w:rPr>
            </w:pPr>
            <w:r>
              <w:rPr>
                <w:rFonts w:ascii="Arial" w:cs="Arial" w:eastAsia="Arial" w:hAnsi="Arial"/>
                <w:sz w:val="14"/>
                <w:szCs w:val="14"/>
                <w:color w:val="231F20"/>
              </w:rPr>
              <w:t>—</w:t>
            </w:r>
          </w:p>
        </w:tc>
        <w:tc>
          <w:tcPr>
            <w:tcW w:w="960" w:type="dxa"/>
            <w:vAlign w:val="bottom"/>
          </w:tcPr>
          <w:p>
            <w:pPr>
              <w:jc w:val="right"/>
              <w:ind w:right="93"/>
              <w:spacing w:after="0"/>
              <w:rPr>
                <w:sz w:val="20"/>
                <w:szCs w:val="20"/>
                <w:color w:val="auto"/>
              </w:rPr>
            </w:pPr>
            <w:r>
              <w:rPr>
                <w:rFonts w:ascii="Arial" w:cs="Arial" w:eastAsia="Arial" w:hAnsi="Arial"/>
                <w:sz w:val="14"/>
                <w:szCs w:val="14"/>
                <w:color w:val="231F20"/>
              </w:rPr>
              <w:t>1,758</w:t>
            </w:r>
          </w:p>
        </w:tc>
        <w:tc>
          <w:tcPr>
            <w:tcW w:w="1680" w:type="dxa"/>
            <w:vAlign w:val="bottom"/>
          </w:tcPr>
          <w:p>
            <w:pPr>
              <w:jc w:val="right"/>
              <w:ind w:right="172"/>
              <w:spacing w:after="0"/>
              <w:rPr>
                <w:sz w:val="20"/>
                <w:szCs w:val="20"/>
                <w:color w:val="auto"/>
              </w:rPr>
            </w:pPr>
            <w:r>
              <w:rPr>
                <w:rFonts w:ascii="Arial" w:cs="Arial" w:eastAsia="Arial" w:hAnsi="Arial"/>
                <w:sz w:val="14"/>
                <w:szCs w:val="14"/>
                <w:color w:val="231F20"/>
              </w:rPr>
              <w:t>8,250</w:t>
            </w:r>
          </w:p>
        </w:tc>
        <w:tc>
          <w:tcPr>
            <w:tcW w:w="1140" w:type="dxa"/>
            <w:vAlign w:val="bottom"/>
          </w:tcPr>
          <w:p>
            <w:pPr>
              <w:jc w:val="right"/>
              <w:ind w:right="153"/>
              <w:spacing w:after="0"/>
              <w:rPr>
                <w:sz w:val="20"/>
                <w:szCs w:val="20"/>
                <w:color w:val="auto"/>
              </w:rPr>
            </w:pPr>
            <w:r>
              <w:rPr>
                <w:rFonts w:ascii="Arial" w:cs="Arial" w:eastAsia="Arial" w:hAnsi="Arial"/>
                <w:sz w:val="14"/>
                <w:szCs w:val="14"/>
                <w:color w:val="231F20"/>
              </w:rPr>
              <w:t>—</w:t>
            </w:r>
          </w:p>
        </w:tc>
        <w:tc>
          <w:tcPr>
            <w:tcW w:w="1420" w:type="dxa"/>
            <w:vAlign w:val="bottom"/>
          </w:tcPr>
          <w:p>
            <w:pPr>
              <w:jc w:val="right"/>
              <w:ind w:right="193"/>
              <w:spacing w:after="0"/>
              <w:rPr>
                <w:sz w:val="20"/>
                <w:szCs w:val="20"/>
                <w:color w:val="auto"/>
              </w:rPr>
            </w:pPr>
            <w:r>
              <w:rPr>
                <w:rFonts w:ascii="Arial" w:cs="Arial" w:eastAsia="Arial" w:hAnsi="Arial"/>
                <w:sz w:val="14"/>
                <w:szCs w:val="14"/>
                <w:color w:val="231F20"/>
              </w:rPr>
              <w:t>4,554</w:t>
            </w:r>
          </w:p>
        </w:tc>
        <w:tc>
          <w:tcPr>
            <w:tcW w:w="880" w:type="dxa"/>
            <w:vAlign w:val="bottom"/>
          </w:tcPr>
          <w:p>
            <w:pPr>
              <w:jc w:val="right"/>
              <w:ind w:right="152"/>
              <w:spacing w:after="0"/>
              <w:rPr>
                <w:sz w:val="20"/>
                <w:szCs w:val="20"/>
                <w:color w:val="auto"/>
              </w:rPr>
            </w:pPr>
            <w:r>
              <w:rPr>
                <w:rFonts w:ascii="Arial" w:cs="Arial" w:eastAsia="Arial" w:hAnsi="Arial"/>
                <w:sz w:val="14"/>
                <w:szCs w:val="14"/>
                <w:color w:val="231F20"/>
              </w:rPr>
              <w:t>—</w:t>
            </w:r>
          </w:p>
        </w:tc>
        <w:tc>
          <w:tcPr>
            <w:tcW w:w="700" w:type="dxa"/>
            <w:vAlign w:val="bottom"/>
          </w:tcPr>
          <w:p>
            <w:pPr>
              <w:jc w:val="right"/>
              <w:spacing w:after="0"/>
              <w:rPr>
                <w:sz w:val="20"/>
                <w:szCs w:val="20"/>
                <w:color w:val="auto"/>
              </w:rPr>
            </w:pPr>
            <w:r>
              <w:rPr>
                <w:rFonts w:ascii="Arial" w:cs="Arial" w:eastAsia="Arial" w:hAnsi="Arial"/>
                <w:sz w:val="14"/>
                <w:szCs w:val="14"/>
                <w:color w:val="231F20"/>
              </w:rPr>
              <w:t>14,562</w:t>
            </w:r>
          </w:p>
        </w:tc>
      </w:tr>
    </w:tbl>
    <w:p>
      <w:pPr>
        <w:spacing w:after="0" w:line="3" w:lineRule="exact"/>
        <w:rPr>
          <w:sz w:val="20"/>
          <w:szCs w:val="20"/>
          <w:color w:val="auto"/>
        </w:rPr>
      </w:pPr>
    </w:p>
    <w:p>
      <w:pPr>
        <w:ind w:left="200" w:hanging="198"/>
        <w:spacing w:after="0"/>
        <w:tabs>
          <w:tab w:leader="none" w:pos="200" w:val="left"/>
        </w:tabs>
        <w:numPr>
          <w:ilvl w:val="0"/>
          <w:numId w:val="130"/>
        </w:numPr>
        <w:rPr>
          <w:rFonts w:ascii="Arial" w:cs="Arial" w:eastAsia="Arial" w:hAnsi="Arial"/>
          <w:sz w:val="13"/>
          <w:szCs w:val="13"/>
          <w:color w:val="231F20"/>
        </w:rPr>
      </w:pPr>
      <w:r>
        <w:rPr>
          <w:rFonts w:ascii="Arial" w:cs="Arial" w:eastAsia="Arial" w:hAnsi="Arial"/>
          <w:sz w:val="13"/>
          <w:szCs w:val="13"/>
          <w:color w:val="231F20"/>
        </w:rPr>
        <w:t>Represents the taxable value of group life insurance benefit for the named executive officer.</w:t>
      </w:r>
    </w:p>
    <w:p>
      <w:pPr>
        <w:spacing w:after="0" w:line="80" w:lineRule="exact"/>
        <w:rPr>
          <w:rFonts w:ascii="Arial" w:cs="Arial" w:eastAsia="Arial" w:hAnsi="Arial"/>
          <w:sz w:val="13"/>
          <w:szCs w:val="13"/>
          <w:color w:val="231F20"/>
        </w:rPr>
      </w:pPr>
    </w:p>
    <w:p>
      <w:pPr>
        <w:ind w:left="200" w:hanging="198"/>
        <w:spacing w:after="0"/>
        <w:tabs>
          <w:tab w:leader="none" w:pos="200" w:val="left"/>
        </w:tabs>
        <w:numPr>
          <w:ilvl w:val="0"/>
          <w:numId w:val="130"/>
        </w:numPr>
        <w:rPr>
          <w:rFonts w:ascii="Arial" w:cs="Arial" w:eastAsia="Arial" w:hAnsi="Arial"/>
          <w:sz w:val="13"/>
          <w:szCs w:val="13"/>
          <w:color w:val="231F20"/>
        </w:rPr>
      </w:pPr>
      <w:r>
        <w:rPr>
          <w:rFonts w:ascii="Arial" w:cs="Arial" w:eastAsia="Arial" w:hAnsi="Arial"/>
          <w:sz w:val="13"/>
          <w:szCs w:val="13"/>
          <w:color w:val="231F20"/>
        </w:rPr>
        <w:t>Includes Company match and year end contribution to the 401(k) and the non-qualified retirement plan.</w:t>
      </w:r>
    </w:p>
    <w:p>
      <w:pPr>
        <w:spacing w:after="0" w:line="80" w:lineRule="exact"/>
        <w:rPr>
          <w:rFonts w:ascii="Arial" w:cs="Arial" w:eastAsia="Arial" w:hAnsi="Arial"/>
          <w:sz w:val="13"/>
          <w:szCs w:val="13"/>
          <w:color w:val="231F20"/>
        </w:rPr>
      </w:pPr>
    </w:p>
    <w:p>
      <w:pPr>
        <w:ind w:left="200" w:hanging="198"/>
        <w:spacing w:after="0"/>
        <w:tabs>
          <w:tab w:leader="none" w:pos="200" w:val="left"/>
        </w:tabs>
        <w:numPr>
          <w:ilvl w:val="0"/>
          <w:numId w:val="130"/>
        </w:numPr>
        <w:rPr>
          <w:rFonts w:ascii="Arial" w:cs="Arial" w:eastAsia="Arial" w:hAnsi="Arial"/>
          <w:sz w:val="13"/>
          <w:szCs w:val="13"/>
          <w:color w:val="231F20"/>
        </w:rPr>
      </w:pPr>
      <w:r>
        <w:rPr>
          <w:rFonts w:ascii="Arial" w:cs="Arial" w:eastAsia="Arial" w:hAnsi="Arial"/>
          <w:sz w:val="13"/>
          <w:szCs w:val="13"/>
          <w:color w:val="231F20"/>
        </w:rPr>
        <w:t>Represents reimbursement provided under the Company’s relocation policy.</w:t>
      </w:r>
    </w:p>
    <w:p>
      <w:pPr>
        <w:spacing w:after="0" w:line="67" w:lineRule="exact"/>
        <w:rPr>
          <w:rFonts w:ascii="Arial" w:cs="Arial" w:eastAsia="Arial" w:hAnsi="Arial"/>
          <w:sz w:val="13"/>
          <w:szCs w:val="13"/>
          <w:color w:val="231F20"/>
        </w:rPr>
      </w:pPr>
    </w:p>
    <w:p>
      <w:pPr>
        <w:ind w:left="200" w:hanging="198"/>
        <w:spacing w:after="0"/>
        <w:tabs>
          <w:tab w:leader="none" w:pos="200" w:val="left"/>
        </w:tabs>
        <w:numPr>
          <w:ilvl w:val="0"/>
          <w:numId w:val="130"/>
        </w:numPr>
        <w:rPr>
          <w:rFonts w:ascii="Arial" w:cs="Arial" w:eastAsia="Arial" w:hAnsi="Arial"/>
          <w:sz w:val="13"/>
          <w:szCs w:val="13"/>
          <w:color w:val="231F20"/>
        </w:rPr>
      </w:pPr>
      <w:r>
        <w:rPr>
          <w:rFonts w:ascii="Arial" w:cs="Arial" w:eastAsia="Arial" w:hAnsi="Arial"/>
          <w:sz w:val="13"/>
          <w:szCs w:val="13"/>
          <w:color w:val="231F20"/>
        </w:rPr>
        <w:t>The Company provides the use of Company owned or leased vehicles for several of its named executive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-521335</wp:posOffset>
            </wp:positionV>
            <wp:extent cx="7139940" cy="825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7139940" cy="8255"/>
                    </a:xfrm>
                    <a:prstGeom prst="rect">
                      <a:avLst/>
                    </a:prstGeom>
                    <a:noFill/>
                  </pic:spPr>
                </pic:pic>
              </a:graphicData>
            </a:graphic>
          </wp:anchor>
        </w:drawing>
      </w:r>
    </w:p>
    <w:p>
      <w:pPr>
        <w:spacing w:after="0" w:line="58" w:lineRule="exact"/>
        <w:rPr>
          <w:sz w:val="20"/>
          <w:szCs w:val="20"/>
          <w:color w:val="auto"/>
        </w:rPr>
      </w:pPr>
    </w:p>
    <w:p>
      <w:pPr>
        <w:ind w:left="200" w:right="20" w:hanging="198"/>
        <w:spacing w:after="0" w:line="244" w:lineRule="auto"/>
        <w:tabs>
          <w:tab w:leader="none" w:pos="200" w:val="left"/>
        </w:tabs>
        <w:numPr>
          <w:ilvl w:val="0"/>
          <w:numId w:val="131"/>
        </w:numPr>
        <w:rPr>
          <w:rFonts w:ascii="Arial" w:cs="Arial" w:eastAsia="Arial" w:hAnsi="Arial"/>
          <w:sz w:val="13"/>
          <w:szCs w:val="13"/>
          <w:color w:val="231F20"/>
        </w:rPr>
      </w:pPr>
      <w:r>
        <w:rPr>
          <w:rFonts w:ascii="Arial" w:cs="Arial" w:eastAsia="Arial" w:hAnsi="Arial"/>
          <w:sz w:val="13"/>
          <w:szCs w:val="13"/>
          <w:b w:val="1"/>
          <w:bCs w:val="1"/>
          <w:color w:val="231F20"/>
        </w:rPr>
        <w:t xml:space="preserve">Total compensation </w:t>
      </w:r>
      <w:r>
        <w:rPr>
          <w:rFonts w:ascii="Arial" w:cs="Arial" w:eastAsia="Arial" w:hAnsi="Arial"/>
          <w:sz w:val="13"/>
          <w:szCs w:val="13"/>
          <w:color w:val="231F20"/>
        </w:rPr>
        <w:t>is calculated in accordance with the SEC requirements under Item 402(c) of Regulation S-K, but does not reflect the compensation paid for the year. Specifically, the Total</w:t>
      </w:r>
      <w:r>
        <w:rPr>
          <w:rFonts w:ascii="Arial" w:cs="Arial" w:eastAsia="Arial" w:hAnsi="Arial"/>
          <w:sz w:val="13"/>
          <w:szCs w:val="13"/>
          <w:b w:val="1"/>
          <w:bCs w:val="1"/>
          <w:color w:val="231F20"/>
        </w:rPr>
        <w:t xml:space="preserve"> </w:t>
      </w:r>
      <w:r>
        <w:rPr>
          <w:rFonts w:ascii="Arial" w:cs="Arial" w:eastAsia="Arial" w:hAnsi="Arial"/>
          <w:sz w:val="13"/>
          <w:szCs w:val="13"/>
          <w:color w:val="231F20"/>
        </w:rPr>
        <w:t>compensation includes the change in pension value in the qualified and non-qualified defined benefit pension plans in which the named executive officers participate. Such pension benefits will not be paid to the named executive officers until they retire from service to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111125</wp:posOffset>
            </wp:positionV>
            <wp:extent cx="7139940" cy="825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7139940" cy="8255"/>
                    </a:xfrm>
                    <a:prstGeom prst="rect">
                      <a:avLst/>
                    </a:prstGeom>
                    <a:noFill/>
                  </pic:spPr>
                </pic:pic>
              </a:graphicData>
            </a:graphic>
          </wp:anchor>
        </w:drawing>
      </w:r>
    </w:p>
    <w:p>
      <w:pPr>
        <w:spacing w:after="0" w:line="201" w:lineRule="exact"/>
        <w:rPr>
          <w:sz w:val="20"/>
          <w:szCs w:val="20"/>
          <w:color w:val="auto"/>
        </w:rPr>
      </w:pPr>
    </w:p>
    <w:p>
      <w:pPr>
        <w:jc w:val="right"/>
        <w:spacing w:after="0"/>
        <w:tabs>
          <w:tab w:leader="none" w:pos="140" w:val="left"/>
        </w:tabs>
        <w:rPr>
          <w:sz w:val="20"/>
          <w:szCs w:val="20"/>
          <w:color w:val="auto"/>
        </w:rPr>
      </w:pPr>
      <w:r>
        <w:rPr>
          <w:rFonts w:ascii="Arial" w:cs="Arial" w:eastAsia="Arial" w:hAnsi="Arial"/>
          <w:sz w:val="12"/>
          <w:szCs w:val="12"/>
          <w:color w:val="4395D4"/>
        </w:rPr>
        <w:t xml:space="preserve">ESSENTIAL UTILITIES, INC. </w:t>
      </w:r>
      <w:r>
        <w:rPr>
          <w:rFonts w:ascii="Arial" w:cs="Arial" w:eastAsia="Arial" w:hAnsi="Arial"/>
          <w:sz w:val="12"/>
          <w:szCs w:val="12"/>
          <w:color w:val="455986"/>
        </w:rPr>
        <w:t>2021 PROXY STATEMENT</w:t>
      </w:r>
      <w:r>
        <w:rPr>
          <w:sz w:val="20"/>
          <w:szCs w:val="20"/>
          <w:color w:val="auto"/>
        </w:rPr>
        <w:tab/>
      </w:r>
      <w:r>
        <w:rPr>
          <w:rFonts w:ascii="Arial" w:cs="Arial" w:eastAsia="Arial" w:hAnsi="Arial"/>
          <w:sz w:val="14"/>
          <w:szCs w:val="14"/>
          <w:color w:val="455986"/>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346710</wp:posOffset>
            </wp:positionV>
            <wp:extent cx="7139940" cy="2413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7139940" cy="24130"/>
                    </a:xfrm>
                    <a:prstGeom prst="rect">
                      <a:avLst/>
                    </a:prstGeom>
                    <a:noFill/>
                  </pic:spPr>
                </pic:pic>
              </a:graphicData>
            </a:graphic>
          </wp:anchor>
        </w:drawing>
      </w:r>
    </w:p>
    <w:p>
      <w:pPr>
        <w:sectPr>
          <w:pgSz w:w="11900" w:h="16838" w:orient="portrait"/>
          <w:cols w:equalWidth="0" w:num="1">
            <w:col w:w="11240"/>
          </w:cols>
          <w:pgMar w:left="320" w:top="637" w:right="339" w:bottom="1440" w:gutter="0" w:footer="0" w:header="0"/>
        </w:sectPr>
      </w:pPr>
    </w:p>
    <w:bookmarkStart w:id="74" w:name="page75"/>
    <w:bookmarkEnd w:id="74"/>
    <w:p>
      <w:pPr>
        <w:spacing w:after="0"/>
        <w:rPr>
          <w:sz w:val="20"/>
          <w:szCs w:val="20"/>
          <w:color w:val="auto"/>
        </w:rPr>
      </w:pPr>
      <w:r>
        <w:rPr>
          <w:rFonts w:ascii="Arial" w:cs="Arial" w:eastAsia="Arial" w:hAnsi="Arial"/>
          <w:sz w:val="14"/>
          <w:szCs w:val="14"/>
          <w:b w:val="1"/>
          <w:bCs w:val="1"/>
          <w:color w:val="455986"/>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27940</wp:posOffset>
            </wp:positionV>
            <wp:extent cx="7139940" cy="825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7139940" cy="8255"/>
                    </a:xfrm>
                    <a:prstGeom prst="rect">
                      <a:avLst/>
                    </a:prstGeom>
                    <a:noFill/>
                  </pic:spPr>
                </pic:pic>
              </a:graphicData>
            </a:graphic>
          </wp:anchor>
        </w:drawing>
      </w:r>
    </w:p>
    <w:p>
      <w:pPr>
        <w:spacing w:after="0" w:line="245" w:lineRule="exact"/>
        <w:rPr>
          <w:sz w:val="20"/>
          <w:szCs w:val="20"/>
          <w:color w:val="auto"/>
        </w:rPr>
      </w:pPr>
    </w:p>
    <w:p>
      <w:pPr>
        <w:spacing w:after="0"/>
        <w:rPr>
          <w:sz w:val="20"/>
          <w:szCs w:val="20"/>
          <w:color w:val="auto"/>
        </w:rPr>
      </w:pPr>
      <w:r>
        <w:rPr>
          <w:rFonts w:ascii="Arial" w:cs="Arial" w:eastAsia="Arial" w:hAnsi="Arial"/>
          <w:sz w:val="20"/>
          <w:szCs w:val="20"/>
          <w:b w:val="1"/>
          <w:bCs w:val="1"/>
          <w:color w:val="231F20"/>
        </w:rPr>
        <w:t>Grants of Plan-Based Awards</w:t>
      </w:r>
    </w:p>
    <w:p>
      <w:pPr>
        <w:spacing w:after="0" w:line="166" w:lineRule="exact"/>
        <w:rPr>
          <w:sz w:val="20"/>
          <w:szCs w:val="20"/>
          <w:color w:val="auto"/>
        </w:rPr>
      </w:pPr>
    </w:p>
    <w:p>
      <w:pPr>
        <w:spacing w:after="0"/>
        <w:rPr>
          <w:sz w:val="20"/>
          <w:szCs w:val="20"/>
          <w:color w:val="auto"/>
        </w:rPr>
      </w:pPr>
      <w:r>
        <w:rPr>
          <w:rFonts w:ascii="Arial" w:cs="Arial" w:eastAsia="Arial" w:hAnsi="Arial"/>
          <w:sz w:val="14"/>
          <w:szCs w:val="14"/>
          <w:color w:val="231F20"/>
        </w:rPr>
        <w:t>The following table contains information regarding equity and non-equity awards granted to the named executive officers in 2020:</w:t>
      </w:r>
    </w:p>
    <w:p>
      <w:pPr>
        <w:spacing w:after="0" w:line="148" w:lineRule="exact"/>
        <w:rPr>
          <w:sz w:val="20"/>
          <w:szCs w:val="20"/>
          <w:color w:val="auto"/>
        </w:rPr>
      </w:pPr>
    </w:p>
    <w:p>
      <w:pPr>
        <w:spacing w:after="0"/>
        <w:rPr>
          <w:sz w:val="20"/>
          <w:szCs w:val="20"/>
          <w:color w:val="auto"/>
        </w:rPr>
      </w:pPr>
      <w:r>
        <w:rPr>
          <w:rFonts w:ascii="Arial" w:cs="Arial" w:eastAsia="Arial" w:hAnsi="Arial"/>
          <w:sz w:val="15"/>
          <w:szCs w:val="15"/>
          <w:b w:val="1"/>
          <w:bCs w:val="1"/>
          <w:color w:val="231F20"/>
        </w:rPr>
        <w:t>Grants of Plan-Based Awards</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7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60" w:type="dxa"/>
            <w:vAlign w:val="bottom"/>
          </w:tcPr>
          <w:p>
            <w:pPr>
              <w:jc w:val="right"/>
              <w:ind w:right="115"/>
              <w:spacing w:after="0"/>
              <w:rPr>
                <w:sz w:val="20"/>
                <w:szCs w:val="20"/>
                <w:color w:val="auto"/>
              </w:rPr>
            </w:pPr>
            <w:r>
              <w:rPr>
                <w:rFonts w:ascii="Arial" w:cs="Arial" w:eastAsia="Arial" w:hAnsi="Arial"/>
                <w:sz w:val="12"/>
                <w:szCs w:val="12"/>
                <w:color w:val="455986"/>
              </w:rPr>
              <w:t>All Other</w:t>
            </w:r>
          </w:p>
        </w:tc>
        <w:tc>
          <w:tcPr>
            <w:tcW w:w="1100" w:type="dxa"/>
            <w:vAlign w:val="bottom"/>
          </w:tcPr>
          <w:p>
            <w:pPr>
              <w:jc w:val="right"/>
              <w:ind w:right="95"/>
              <w:spacing w:after="0"/>
              <w:rPr>
                <w:sz w:val="20"/>
                <w:szCs w:val="20"/>
                <w:color w:val="auto"/>
              </w:rPr>
            </w:pPr>
            <w:r>
              <w:rPr>
                <w:rFonts w:ascii="Arial" w:cs="Arial" w:eastAsia="Arial" w:hAnsi="Arial"/>
                <w:sz w:val="12"/>
                <w:szCs w:val="12"/>
                <w:color w:val="455986"/>
              </w:rPr>
              <w:t>All Other</w:t>
            </w:r>
          </w:p>
        </w:tc>
        <w:tc>
          <w:tcPr>
            <w:tcW w:w="860" w:type="dxa"/>
            <w:vAlign w:val="bottom"/>
            <w:vMerge w:val="restart"/>
          </w:tcPr>
          <w:p>
            <w:pPr>
              <w:jc w:val="right"/>
              <w:ind w:right="74"/>
              <w:spacing w:after="0"/>
              <w:rPr>
                <w:sz w:val="20"/>
                <w:szCs w:val="20"/>
                <w:color w:val="auto"/>
              </w:rPr>
            </w:pPr>
            <w:r>
              <w:rPr>
                <w:rFonts w:ascii="Arial" w:cs="Arial" w:eastAsia="Arial" w:hAnsi="Arial"/>
                <w:sz w:val="12"/>
                <w:szCs w:val="12"/>
                <w:color w:val="455986"/>
              </w:rPr>
              <w:t>Exercise or</w:t>
            </w:r>
          </w:p>
        </w:tc>
        <w:tc>
          <w:tcPr>
            <w:tcW w:w="780" w:type="dxa"/>
            <w:vAlign w:val="bottom"/>
          </w:tcPr>
          <w:p>
            <w:pPr>
              <w:jc w:val="right"/>
              <w:spacing w:after="0"/>
              <w:rPr>
                <w:sz w:val="20"/>
                <w:szCs w:val="20"/>
                <w:color w:val="auto"/>
              </w:rPr>
            </w:pPr>
            <w:r>
              <w:rPr>
                <w:rFonts w:ascii="Arial" w:cs="Arial" w:eastAsia="Arial" w:hAnsi="Arial"/>
                <w:sz w:val="12"/>
                <w:szCs w:val="12"/>
                <w:color w:val="455986"/>
              </w:rPr>
              <w:t>Grant Date</w:t>
            </w:r>
          </w:p>
        </w:tc>
        <w:tc>
          <w:tcPr>
            <w:tcW w:w="0" w:type="dxa"/>
            <w:vAlign w:val="bottom"/>
          </w:tcPr>
          <w:p>
            <w:pPr>
              <w:spacing w:after="0"/>
              <w:rPr>
                <w:sz w:val="1"/>
                <w:szCs w:val="1"/>
                <w:color w:val="auto"/>
              </w:rPr>
            </w:pPr>
          </w:p>
        </w:tc>
      </w:tr>
      <w:tr>
        <w:trPr>
          <w:trHeight w:val="160"/>
        </w:trPr>
        <w:tc>
          <w:tcPr>
            <w:tcW w:w="7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860" w:type="dxa"/>
            <w:vAlign w:val="bottom"/>
            <w:gridSpan w:val="4"/>
            <w:vMerge w:val="restart"/>
          </w:tcPr>
          <w:p>
            <w:pPr>
              <w:jc w:val="center"/>
              <w:ind w:right="360"/>
              <w:spacing w:after="0"/>
              <w:rPr>
                <w:sz w:val="20"/>
                <w:szCs w:val="20"/>
                <w:color w:val="auto"/>
              </w:rPr>
            </w:pPr>
            <w:r>
              <w:rPr>
                <w:rFonts w:ascii="Arial" w:cs="Arial" w:eastAsia="Arial" w:hAnsi="Arial"/>
                <w:sz w:val="12"/>
                <w:szCs w:val="12"/>
                <w:color w:val="455986"/>
                <w:w w:val="99"/>
              </w:rPr>
              <w:t>Estimated Future Payouts Under Non-</w:t>
            </w:r>
          </w:p>
        </w:tc>
        <w:tc>
          <w:tcPr>
            <w:tcW w:w="2640" w:type="dxa"/>
            <w:vAlign w:val="bottom"/>
            <w:gridSpan w:val="4"/>
            <w:vMerge w:val="restart"/>
          </w:tcPr>
          <w:p>
            <w:pPr>
              <w:ind w:left="360"/>
              <w:spacing w:after="0"/>
              <w:rPr>
                <w:sz w:val="20"/>
                <w:szCs w:val="20"/>
                <w:color w:val="auto"/>
              </w:rPr>
            </w:pPr>
            <w:r>
              <w:rPr>
                <w:rFonts w:ascii="Arial" w:cs="Arial" w:eastAsia="Arial" w:hAnsi="Arial"/>
                <w:sz w:val="12"/>
                <w:szCs w:val="12"/>
                <w:color w:val="455986"/>
              </w:rPr>
              <w:t>Estimated Future Payouts Under</w:t>
            </w:r>
          </w:p>
        </w:tc>
        <w:tc>
          <w:tcPr>
            <w:tcW w:w="1360" w:type="dxa"/>
            <w:vAlign w:val="bottom"/>
          </w:tcPr>
          <w:p>
            <w:pPr>
              <w:jc w:val="right"/>
              <w:ind w:right="115"/>
              <w:spacing w:after="0"/>
              <w:rPr>
                <w:sz w:val="20"/>
                <w:szCs w:val="20"/>
                <w:color w:val="auto"/>
              </w:rPr>
            </w:pPr>
            <w:r>
              <w:rPr>
                <w:rFonts w:ascii="Arial" w:cs="Arial" w:eastAsia="Arial" w:hAnsi="Arial"/>
                <w:sz w:val="12"/>
                <w:szCs w:val="12"/>
                <w:color w:val="455986"/>
              </w:rPr>
              <w:t>Stock Awards:</w:t>
            </w:r>
          </w:p>
        </w:tc>
        <w:tc>
          <w:tcPr>
            <w:tcW w:w="1100" w:type="dxa"/>
            <w:vAlign w:val="bottom"/>
          </w:tcPr>
          <w:p>
            <w:pPr>
              <w:jc w:val="right"/>
              <w:ind w:right="55"/>
              <w:spacing w:after="0"/>
              <w:rPr>
                <w:sz w:val="20"/>
                <w:szCs w:val="20"/>
                <w:color w:val="auto"/>
              </w:rPr>
            </w:pPr>
            <w:r>
              <w:rPr>
                <w:rFonts w:ascii="Arial" w:cs="Arial" w:eastAsia="Arial" w:hAnsi="Arial"/>
                <w:sz w:val="12"/>
                <w:szCs w:val="12"/>
                <w:color w:val="455986"/>
              </w:rPr>
              <w:t>Option Awards:</w:t>
            </w:r>
          </w:p>
        </w:tc>
        <w:tc>
          <w:tcPr>
            <w:tcW w:w="860" w:type="dxa"/>
            <w:vAlign w:val="bottom"/>
            <w:vMerge w:val="continue"/>
          </w:tcPr>
          <w:p>
            <w:pPr>
              <w:spacing w:after="0"/>
              <w:rPr>
                <w:sz w:val="13"/>
                <w:szCs w:val="13"/>
                <w:color w:val="auto"/>
              </w:rPr>
            </w:pPr>
          </w:p>
        </w:tc>
        <w:tc>
          <w:tcPr>
            <w:tcW w:w="780" w:type="dxa"/>
            <w:vAlign w:val="bottom"/>
          </w:tcPr>
          <w:p>
            <w:pPr>
              <w:jc w:val="right"/>
              <w:spacing w:after="0"/>
              <w:rPr>
                <w:sz w:val="20"/>
                <w:szCs w:val="20"/>
                <w:color w:val="auto"/>
              </w:rPr>
            </w:pPr>
            <w:r>
              <w:rPr>
                <w:rFonts w:ascii="Arial" w:cs="Arial" w:eastAsia="Arial" w:hAnsi="Arial"/>
                <w:sz w:val="12"/>
                <w:szCs w:val="12"/>
                <w:color w:val="455986"/>
              </w:rPr>
              <w:t>Fair Value</w:t>
            </w:r>
          </w:p>
        </w:tc>
        <w:tc>
          <w:tcPr>
            <w:tcW w:w="0" w:type="dxa"/>
            <w:vAlign w:val="bottom"/>
          </w:tcPr>
          <w:p>
            <w:pPr>
              <w:spacing w:after="0"/>
              <w:rPr>
                <w:sz w:val="1"/>
                <w:szCs w:val="1"/>
                <w:color w:val="auto"/>
              </w:rPr>
            </w:pPr>
          </w:p>
        </w:tc>
      </w:tr>
      <w:tr>
        <w:trPr>
          <w:trHeight w:val="128"/>
        </w:trPr>
        <w:tc>
          <w:tcPr>
            <w:tcW w:w="7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860" w:type="dxa"/>
            <w:vAlign w:val="bottom"/>
            <w:gridSpan w:val="4"/>
            <w:vMerge w:val="continue"/>
          </w:tcPr>
          <w:p>
            <w:pPr>
              <w:spacing w:after="0"/>
              <w:rPr>
                <w:sz w:val="11"/>
                <w:szCs w:val="11"/>
                <w:color w:val="auto"/>
              </w:rPr>
            </w:pPr>
          </w:p>
        </w:tc>
        <w:tc>
          <w:tcPr>
            <w:tcW w:w="2640" w:type="dxa"/>
            <w:vAlign w:val="bottom"/>
            <w:gridSpan w:val="4"/>
            <w:vMerge w:val="continue"/>
          </w:tcPr>
          <w:p>
            <w:pPr>
              <w:spacing w:after="0"/>
              <w:rPr>
                <w:sz w:val="11"/>
                <w:szCs w:val="11"/>
                <w:color w:val="auto"/>
              </w:rPr>
            </w:pPr>
          </w:p>
        </w:tc>
        <w:tc>
          <w:tcPr>
            <w:tcW w:w="1360" w:type="dxa"/>
            <w:vAlign w:val="bottom"/>
          </w:tcPr>
          <w:p>
            <w:pPr>
              <w:jc w:val="right"/>
              <w:ind w:right="115"/>
              <w:spacing w:after="0" w:line="128" w:lineRule="exact"/>
              <w:rPr>
                <w:sz w:val="20"/>
                <w:szCs w:val="20"/>
                <w:color w:val="auto"/>
              </w:rPr>
            </w:pPr>
            <w:r>
              <w:rPr>
                <w:rFonts w:ascii="Arial" w:cs="Arial" w:eastAsia="Arial" w:hAnsi="Arial"/>
                <w:sz w:val="12"/>
                <w:szCs w:val="12"/>
                <w:color w:val="455986"/>
              </w:rPr>
              <w:t>Number of</w:t>
            </w:r>
          </w:p>
        </w:tc>
        <w:tc>
          <w:tcPr>
            <w:tcW w:w="1100" w:type="dxa"/>
            <w:vAlign w:val="bottom"/>
          </w:tcPr>
          <w:p>
            <w:pPr>
              <w:jc w:val="right"/>
              <w:ind w:right="55"/>
              <w:spacing w:after="0" w:line="128" w:lineRule="exact"/>
              <w:rPr>
                <w:sz w:val="20"/>
                <w:szCs w:val="20"/>
                <w:color w:val="auto"/>
              </w:rPr>
            </w:pPr>
            <w:r>
              <w:rPr>
                <w:rFonts w:ascii="Arial" w:cs="Arial" w:eastAsia="Arial" w:hAnsi="Arial"/>
                <w:sz w:val="12"/>
                <w:szCs w:val="12"/>
                <w:color w:val="455986"/>
              </w:rPr>
              <w:t>Number of</w:t>
            </w:r>
          </w:p>
        </w:tc>
        <w:tc>
          <w:tcPr>
            <w:tcW w:w="860" w:type="dxa"/>
            <w:vAlign w:val="bottom"/>
          </w:tcPr>
          <w:p>
            <w:pPr>
              <w:jc w:val="right"/>
              <w:ind w:right="74"/>
              <w:spacing w:after="0" w:line="128" w:lineRule="exact"/>
              <w:rPr>
                <w:sz w:val="20"/>
                <w:szCs w:val="20"/>
                <w:color w:val="auto"/>
              </w:rPr>
            </w:pPr>
            <w:r>
              <w:rPr>
                <w:rFonts w:ascii="Arial" w:cs="Arial" w:eastAsia="Arial" w:hAnsi="Arial"/>
                <w:sz w:val="12"/>
                <w:szCs w:val="12"/>
                <w:color w:val="455986"/>
              </w:rPr>
              <w:t>Base Price</w:t>
            </w:r>
          </w:p>
        </w:tc>
        <w:tc>
          <w:tcPr>
            <w:tcW w:w="780" w:type="dxa"/>
            <w:vAlign w:val="bottom"/>
          </w:tcPr>
          <w:p>
            <w:pPr>
              <w:jc w:val="right"/>
              <w:spacing w:after="0" w:line="128" w:lineRule="exact"/>
              <w:rPr>
                <w:sz w:val="20"/>
                <w:szCs w:val="20"/>
                <w:color w:val="auto"/>
              </w:rPr>
            </w:pPr>
            <w:r>
              <w:rPr>
                <w:rFonts w:ascii="Arial" w:cs="Arial" w:eastAsia="Arial" w:hAnsi="Arial"/>
                <w:sz w:val="12"/>
                <w:szCs w:val="12"/>
                <w:color w:val="455986"/>
              </w:rPr>
              <w:t>of Stock</w:t>
            </w:r>
          </w:p>
        </w:tc>
        <w:tc>
          <w:tcPr>
            <w:tcW w:w="0" w:type="dxa"/>
            <w:vAlign w:val="bottom"/>
          </w:tcPr>
          <w:p>
            <w:pPr>
              <w:spacing w:after="0"/>
              <w:rPr>
                <w:sz w:val="1"/>
                <w:szCs w:val="1"/>
                <w:color w:val="auto"/>
              </w:rPr>
            </w:pPr>
          </w:p>
        </w:tc>
      </w:tr>
      <w:tr>
        <w:trPr>
          <w:trHeight w:val="153"/>
        </w:trPr>
        <w:tc>
          <w:tcPr>
            <w:tcW w:w="7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80" w:type="dxa"/>
            <w:vAlign w:val="bottom"/>
            <w:tcBorders>
              <w:bottom w:val="single" w:sz="8" w:color="4395D4"/>
            </w:tcBorders>
          </w:tcPr>
          <w:p>
            <w:pPr>
              <w:spacing w:after="0"/>
              <w:rPr>
                <w:sz w:val="13"/>
                <w:szCs w:val="13"/>
                <w:color w:val="auto"/>
              </w:rPr>
            </w:pPr>
          </w:p>
        </w:tc>
        <w:tc>
          <w:tcPr>
            <w:tcW w:w="2660" w:type="dxa"/>
            <w:vAlign w:val="bottom"/>
            <w:tcBorders>
              <w:bottom w:val="single" w:sz="8" w:color="4395D4"/>
            </w:tcBorders>
            <w:gridSpan w:val="3"/>
          </w:tcPr>
          <w:p>
            <w:pPr>
              <w:jc w:val="center"/>
              <w:ind w:right="92"/>
              <w:spacing w:after="0" w:line="154" w:lineRule="exact"/>
              <w:rPr>
                <w:sz w:val="20"/>
                <w:szCs w:val="20"/>
                <w:color w:val="auto"/>
              </w:rPr>
            </w:pPr>
            <w:r>
              <w:rPr>
                <w:rFonts w:ascii="Arial" w:cs="Arial" w:eastAsia="Arial" w:hAnsi="Arial"/>
                <w:sz w:val="11"/>
                <w:szCs w:val="11"/>
                <w:color w:val="455986"/>
              </w:rPr>
              <w:t>Equity Incentive Plan Awards</w:t>
            </w:r>
            <w:r>
              <w:rPr>
                <w:rFonts w:ascii="Arial" w:cs="Arial" w:eastAsia="Arial" w:hAnsi="Arial"/>
                <w:sz w:val="17"/>
                <w:szCs w:val="17"/>
                <w:color w:val="455986"/>
                <w:vertAlign w:val="superscript"/>
              </w:rPr>
              <w:t>(1)</w:t>
            </w:r>
          </w:p>
        </w:tc>
        <w:tc>
          <w:tcPr>
            <w:tcW w:w="200" w:type="dxa"/>
            <w:vAlign w:val="bottom"/>
          </w:tcPr>
          <w:p>
            <w:pPr>
              <w:spacing w:after="0"/>
              <w:rPr>
                <w:sz w:val="13"/>
                <w:szCs w:val="13"/>
                <w:color w:val="auto"/>
              </w:rPr>
            </w:pPr>
          </w:p>
        </w:tc>
        <w:tc>
          <w:tcPr>
            <w:tcW w:w="2440" w:type="dxa"/>
            <w:vAlign w:val="bottom"/>
            <w:tcBorders>
              <w:bottom w:val="single" w:sz="8" w:color="4395D4"/>
            </w:tcBorders>
            <w:gridSpan w:val="3"/>
          </w:tcPr>
          <w:p>
            <w:pPr>
              <w:jc w:val="right"/>
              <w:ind w:right="311"/>
              <w:spacing w:after="0" w:line="154" w:lineRule="exact"/>
              <w:rPr>
                <w:sz w:val="20"/>
                <w:szCs w:val="20"/>
                <w:color w:val="auto"/>
              </w:rPr>
            </w:pPr>
            <w:r>
              <w:rPr>
                <w:rFonts w:ascii="Arial" w:cs="Arial" w:eastAsia="Arial" w:hAnsi="Arial"/>
                <w:sz w:val="11"/>
                <w:szCs w:val="11"/>
                <w:color w:val="455986"/>
              </w:rPr>
              <w:t>Equity Incentive Plan Awards</w:t>
            </w:r>
            <w:r>
              <w:rPr>
                <w:rFonts w:ascii="Arial" w:cs="Arial" w:eastAsia="Arial" w:hAnsi="Arial"/>
                <w:sz w:val="17"/>
                <w:szCs w:val="17"/>
                <w:color w:val="455986"/>
                <w:vertAlign w:val="superscript"/>
              </w:rPr>
              <w:t>(5)</w:t>
            </w:r>
          </w:p>
        </w:tc>
        <w:tc>
          <w:tcPr>
            <w:tcW w:w="200" w:type="dxa"/>
            <w:vAlign w:val="bottom"/>
          </w:tcPr>
          <w:p>
            <w:pPr>
              <w:spacing w:after="0"/>
              <w:rPr>
                <w:sz w:val="13"/>
                <w:szCs w:val="13"/>
                <w:color w:val="auto"/>
              </w:rPr>
            </w:pPr>
          </w:p>
        </w:tc>
        <w:tc>
          <w:tcPr>
            <w:tcW w:w="1360" w:type="dxa"/>
            <w:vAlign w:val="bottom"/>
          </w:tcPr>
          <w:p>
            <w:pPr>
              <w:jc w:val="right"/>
              <w:ind w:right="115"/>
              <w:spacing w:after="0"/>
              <w:rPr>
                <w:sz w:val="20"/>
                <w:szCs w:val="20"/>
                <w:color w:val="auto"/>
              </w:rPr>
            </w:pPr>
            <w:r>
              <w:rPr>
                <w:rFonts w:ascii="Arial" w:cs="Arial" w:eastAsia="Arial" w:hAnsi="Arial"/>
                <w:sz w:val="12"/>
                <w:szCs w:val="12"/>
                <w:color w:val="455986"/>
              </w:rPr>
              <w:t>Shares of</w:t>
            </w:r>
          </w:p>
        </w:tc>
        <w:tc>
          <w:tcPr>
            <w:tcW w:w="1100" w:type="dxa"/>
            <w:vAlign w:val="bottom"/>
          </w:tcPr>
          <w:p>
            <w:pPr>
              <w:jc w:val="right"/>
              <w:ind w:right="55"/>
              <w:spacing w:after="0"/>
              <w:rPr>
                <w:sz w:val="20"/>
                <w:szCs w:val="20"/>
                <w:color w:val="auto"/>
              </w:rPr>
            </w:pPr>
            <w:r>
              <w:rPr>
                <w:rFonts w:ascii="Arial" w:cs="Arial" w:eastAsia="Arial" w:hAnsi="Arial"/>
                <w:sz w:val="12"/>
                <w:szCs w:val="12"/>
                <w:color w:val="455986"/>
              </w:rPr>
              <w:t>Securities</w:t>
            </w:r>
          </w:p>
        </w:tc>
        <w:tc>
          <w:tcPr>
            <w:tcW w:w="860" w:type="dxa"/>
            <w:vAlign w:val="bottom"/>
          </w:tcPr>
          <w:p>
            <w:pPr>
              <w:jc w:val="right"/>
              <w:ind w:right="74"/>
              <w:spacing w:after="0"/>
              <w:rPr>
                <w:sz w:val="20"/>
                <w:szCs w:val="20"/>
                <w:color w:val="auto"/>
              </w:rPr>
            </w:pPr>
            <w:r>
              <w:rPr>
                <w:rFonts w:ascii="Arial" w:cs="Arial" w:eastAsia="Arial" w:hAnsi="Arial"/>
                <w:sz w:val="12"/>
                <w:szCs w:val="12"/>
                <w:color w:val="455986"/>
              </w:rPr>
              <w:t>of Option</w:t>
            </w:r>
          </w:p>
        </w:tc>
        <w:tc>
          <w:tcPr>
            <w:tcW w:w="780" w:type="dxa"/>
            <w:vAlign w:val="bottom"/>
          </w:tcPr>
          <w:p>
            <w:pPr>
              <w:jc w:val="right"/>
              <w:spacing w:after="0"/>
              <w:rPr>
                <w:sz w:val="20"/>
                <w:szCs w:val="20"/>
                <w:color w:val="auto"/>
              </w:rPr>
            </w:pPr>
            <w:r>
              <w:rPr>
                <w:rFonts w:ascii="Arial" w:cs="Arial" w:eastAsia="Arial" w:hAnsi="Arial"/>
                <w:sz w:val="12"/>
                <w:szCs w:val="12"/>
                <w:color w:val="455986"/>
              </w:rPr>
              <w:t>and Option</w:t>
            </w:r>
          </w:p>
        </w:tc>
        <w:tc>
          <w:tcPr>
            <w:tcW w:w="0" w:type="dxa"/>
            <w:vAlign w:val="bottom"/>
          </w:tcPr>
          <w:p>
            <w:pPr>
              <w:spacing w:after="0"/>
              <w:rPr>
                <w:sz w:val="1"/>
                <w:szCs w:val="1"/>
                <w:color w:val="auto"/>
              </w:rPr>
            </w:pPr>
          </w:p>
        </w:tc>
      </w:tr>
      <w:tr>
        <w:trPr>
          <w:trHeight w:val="139"/>
        </w:trPr>
        <w:tc>
          <w:tcPr>
            <w:tcW w:w="780" w:type="dxa"/>
            <w:vAlign w:val="bottom"/>
            <w:vMerge w:val="restart"/>
          </w:tcPr>
          <w:p>
            <w:pPr>
              <w:spacing w:after="0"/>
              <w:rPr>
                <w:sz w:val="20"/>
                <w:szCs w:val="20"/>
                <w:color w:val="auto"/>
              </w:rPr>
            </w:pPr>
            <w:r>
              <w:rPr>
                <w:rFonts w:ascii="Arial" w:cs="Arial" w:eastAsia="Arial" w:hAnsi="Arial"/>
                <w:sz w:val="12"/>
                <w:szCs w:val="12"/>
                <w:color w:val="455986"/>
              </w:rPr>
              <w:t>Name</w:t>
            </w:r>
          </w:p>
        </w:tc>
        <w:tc>
          <w:tcPr>
            <w:tcW w:w="860" w:type="dxa"/>
            <w:vAlign w:val="bottom"/>
            <w:gridSpan w:val="2"/>
            <w:vMerge w:val="restart"/>
          </w:tcPr>
          <w:p>
            <w:pPr>
              <w:jc w:val="right"/>
              <w:ind w:right="180"/>
              <w:spacing w:after="0"/>
              <w:rPr>
                <w:sz w:val="20"/>
                <w:szCs w:val="20"/>
                <w:color w:val="auto"/>
              </w:rPr>
            </w:pPr>
            <w:r>
              <w:rPr>
                <w:rFonts w:ascii="Arial" w:cs="Arial" w:eastAsia="Arial" w:hAnsi="Arial"/>
                <w:sz w:val="12"/>
                <w:szCs w:val="12"/>
                <w:color w:val="455986"/>
              </w:rPr>
              <w:t>Grant</w:t>
            </w:r>
          </w:p>
        </w:tc>
        <w:tc>
          <w:tcPr>
            <w:tcW w:w="960" w:type="dxa"/>
            <w:vAlign w:val="bottom"/>
          </w:tcPr>
          <w:p>
            <w:pPr>
              <w:jc w:val="right"/>
              <w:ind w:right="75"/>
              <w:spacing w:after="0" w:line="139" w:lineRule="exact"/>
              <w:rPr>
                <w:sz w:val="20"/>
                <w:szCs w:val="20"/>
                <w:color w:val="auto"/>
              </w:rPr>
            </w:pPr>
            <w:r>
              <w:rPr>
                <w:rFonts w:ascii="Arial" w:cs="Arial" w:eastAsia="Arial" w:hAnsi="Arial"/>
                <w:sz w:val="10"/>
                <w:szCs w:val="10"/>
                <w:color w:val="455986"/>
              </w:rPr>
              <w:t>Threshold</w:t>
            </w:r>
            <w:r>
              <w:rPr>
                <w:rFonts w:ascii="Arial" w:cs="Arial" w:eastAsia="Arial" w:hAnsi="Arial"/>
                <w:sz w:val="16"/>
                <w:szCs w:val="16"/>
                <w:color w:val="455986"/>
                <w:vertAlign w:val="superscript"/>
              </w:rPr>
              <w:t>(2)</w:t>
            </w:r>
          </w:p>
        </w:tc>
        <w:tc>
          <w:tcPr>
            <w:tcW w:w="860" w:type="dxa"/>
            <w:vAlign w:val="bottom"/>
          </w:tcPr>
          <w:p>
            <w:pPr>
              <w:jc w:val="right"/>
              <w:ind w:right="132"/>
              <w:spacing w:after="0" w:line="139" w:lineRule="exact"/>
              <w:rPr>
                <w:sz w:val="20"/>
                <w:szCs w:val="20"/>
                <w:color w:val="auto"/>
              </w:rPr>
            </w:pPr>
            <w:r>
              <w:rPr>
                <w:rFonts w:ascii="Arial" w:cs="Arial" w:eastAsia="Arial" w:hAnsi="Arial"/>
                <w:sz w:val="10"/>
                <w:szCs w:val="10"/>
                <w:color w:val="455986"/>
              </w:rPr>
              <w:t>Target</w:t>
            </w:r>
            <w:r>
              <w:rPr>
                <w:rFonts w:ascii="Arial" w:cs="Arial" w:eastAsia="Arial" w:hAnsi="Arial"/>
                <w:sz w:val="16"/>
                <w:szCs w:val="16"/>
                <w:color w:val="455986"/>
                <w:vertAlign w:val="superscript"/>
              </w:rPr>
              <w:t>(3)</w:t>
            </w:r>
          </w:p>
        </w:tc>
        <w:tc>
          <w:tcPr>
            <w:tcW w:w="840" w:type="dxa"/>
            <w:vAlign w:val="bottom"/>
          </w:tcPr>
          <w:p>
            <w:pPr>
              <w:ind w:left="200"/>
              <w:spacing w:after="0" w:line="139" w:lineRule="exact"/>
              <w:rPr>
                <w:sz w:val="20"/>
                <w:szCs w:val="20"/>
                <w:color w:val="auto"/>
              </w:rPr>
            </w:pPr>
            <w:r>
              <w:rPr>
                <w:rFonts w:ascii="Arial" w:cs="Arial" w:eastAsia="Arial" w:hAnsi="Arial"/>
                <w:sz w:val="10"/>
                <w:szCs w:val="10"/>
                <w:color w:val="455986"/>
              </w:rPr>
              <w:t>Maximum</w:t>
            </w:r>
            <w:r>
              <w:rPr>
                <w:rFonts w:ascii="Arial" w:cs="Arial" w:eastAsia="Arial" w:hAnsi="Arial"/>
                <w:sz w:val="16"/>
                <w:szCs w:val="16"/>
                <w:color w:val="455986"/>
                <w:vertAlign w:val="superscript"/>
              </w:rPr>
              <w:t>(4)</w:t>
            </w:r>
          </w:p>
        </w:tc>
        <w:tc>
          <w:tcPr>
            <w:tcW w:w="200" w:type="dxa"/>
            <w:vAlign w:val="bottom"/>
          </w:tcPr>
          <w:p>
            <w:pPr>
              <w:spacing w:after="0"/>
              <w:rPr>
                <w:sz w:val="12"/>
                <w:szCs w:val="12"/>
                <w:color w:val="auto"/>
              </w:rPr>
            </w:pPr>
          </w:p>
        </w:tc>
        <w:tc>
          <w:tcPr>
            <w:tcW w:w="1000" w:type="dxa"/>
            <w:vAlign w:val="bottom"/>
          </w:tcPr>
          <w:p>
            <w:pPr>
              <w:jc w:val="right"/>
              <w:ind w:right="74"/>
              <w:spacing w:after="0"/>
              <w:rPr>
                <w:sz w:val="20"/>
                <w:szCs w:val="20"/>
                <w:color w:val="auto"/>
              </w:rPr>
            </w:pPr>
            <w:r>
              <w:rPr>
                <w:rFonts w:ascii="Arial" w:cs="Arial" w:eastAsia="Arial" w:hAnsi="Arial"/>
                <w:sz w:val="12"/>
                <w:szCs w:val="12"/>
                <w:color w:val="455986"/>
              </w:rPr>
              <w:t>Threshold</w:t>
            </w:r>
          </w:p>
        </w:tc>
        <w:tc>
          <w:tcPr>
            <w:tcW w:w="740" w:type="dxa"/>
            <w:vAlign w:val="bottom"/>
          </w:tcPr>
          <w:p>
            <w:pPr>
              <w:jc w:val="right"/>
              <w:ind w:right="91"/>
              <w:spacing w:after="0"/>
              <w:rPr>
                <w:sz w:val="20"/>
                <w:szCs w:val="20"/>
                <w:color w:val="auto"/>
              </w:rPr>
            </w:pPr>
            <w:r>
              <w:rPr>
                <w:rFonts w:ascii="Arial" w:cs="Arial" w:eastAsia="Arial" w:hAnsi="Arial"/>
                <w:sz w:val="12"/>
                <w:szCs w:val="12"/>
                <w:color w:val="455986"/>
              </w:rPr>
              <w:t>Target</w:t>
            </w:r>
          </w:p>
        </w:tc>
        <w:tc>
          <w:tcPr>
            <w:tcW w:w="900" w:type="dxa"/>
            <w:vAlign w:val="bottom"/>
            <w:gridSpan w:val="2"/>
          </w:tcPr>
          <w:p>
            <w:pPr>
              <w:ind w:left="180"/>
              <w:spacing w:after="0"/>
              <w:rPr>
                <w:sz w:val="20"/>
                <w:szCs w:val="20"/>
                <w:color w:val="auto"/>
              </w:rPr>
            </w:pPr>
            <w:r>
              <w:rPr>
                <w:rFonts w:ascii="Arial" w:cs="Arial" w:eastAsia="Arial" w:hAnsi="Arial"/>
                <w:sz w:val="12"/>
                <w:szCs w:val="12"/>
                <w:color w:val="455986"/>
              </w:rPr>
              <w:t>Maximum</w:t>
            </w:r>
          </w:p>
        </w:tc>
        <w:tc>
          <w:tcPr>
            <w:tcW w:w="1360" w:type="dxa"/>
            <w:vAlign w:val="bottom"/>
          </w:tcPr>
          <w:p>
            <w:pPr>
              <w:jc w:val="right"/>
              <w:ind w:right="115"/>
              <w:spacing w:after="0" w:line="139" w:lineRule="exact"/>
              <w:rPr>
                <w:sz w:val="20"/>
                <w:szCs w:val="20"/>
                <w:color w:val="auto"/>
              </w:rPr>
            </w:pPr>
            <w:r>
              <w:rPr>
                <w:rFonts w:ascii="Arial" w:cs="Arial" w:eastAsia="Arial" w:hAnsi="Arial"/>
                <w:sz w:val="10"/>
                <w:szCs w:val="10"/>
                <w:color w:val="455986"/>
              </w:rPr>
              <w:t>Stock or Units</w:t>
            </w:r>
            <w:r>
              <w:rPr>
                <w:rFonts w:ascii="Arial" w:cs="Arial" w:eastAsia="Arial" w:hAnsi="Arial"/>
                <w:sz w:val="16"/>
                <w:szCs w:val="16"/>
                <w:color w:val="455986"/>
                <w:vertAlign w:val="superscript"/>
              </w:rPr>
              <w:t>(6)(7)</w:t>
            </w:r>
          </w:p>
        </w:tc>
        <w:tc>
          <w:tcPr>
            <w:tcW w:w="1100" w:type="dxa"/>
            <w:vAlign w:val="bottom"/>
          </w:tcPr>
          <w:p>
            <w:pPr>
              <w:jc w:val="right"/>
              <w:ind w:right="55"/>
              <w:spacing w:after="0"/>
              <w:rPr>
                <w:sz w:val="20"/>
                <w:szCs w:val="20"/>
                <w:color w:val="auto"/>
              </w:rPr>
            </w:pPr>
            <w:r>
              <w:rPr>
                <w:rFonts w:ascii="Arial" w:cs="Arial" w:eastAsia="Arial" w:hAnsi="Arial"/>
                <w:sz w:val="12"/>
                <w:szCs w:val="12"/>
                <w:color w:val="455986"/>
              </w:rPr>
              <w:t>Underlying</w:t>
            </w:r>
          </w:p>
        </w:tc>
        <w:tc>
          <w:tcPr>
            <w:tcW w:w="860" w:type="dxa"/>
            <w:vAlign w:val="bottom"/>
          </w:tcPr>
          <w:p>
            <w:pPr>
              <w:jc w:val="right"/>
              <w:ind w:right="74"/>
              <w:spacing w:after="0"/>
              <w:rPr>
                <w:sz w:val="20"/>
                <w:szCs w:val="20"/>
                <w:color w:val="auto"/>
              </w:rPr>
            </w:pPr>
            <w:r>
              <w:rPr>
                <w:rFonts w:ascii="Arial" w:cs="Arial" w:eastAsia="Arial" w:hAnsi="Arial"/>
                <w:sz w:val="12"/>
                <w:szCs w:val="12"/>
                <w:color w:val="455986"/>
              </w:rPr>
              <w:t>Awards</w:t>
            </w:r>
          </w:p>
        </w:tc>
        <w:tc>
          <w:tcPr>
            <w:tcW w:w="780" w:type="dxa"/>
            <w:vAlign w:val="bottom"/>
          </w:tcPr>
          <w:p>
            <w:pPr>
              <w:jc w:val="right"/>
              <w:spacing w:after="0"/>
              <w:rPr>
                <w:sz w:val="20"/>
                <w:szCs w:val="20"/>
                <w:color w:val="auto"/>
              </w:rPr>
            </w:pPr>
            <w:r>
              <w:rPr>
                <w:rFonts w:ascii="Arial" w:cs="Arial" w:eastAsia="Arial" w:hAnsi="Arial"/>
                <w:sz w:val="12"/>
                <w:szCs w:val="12"/>
                <w:color w:val="455986"/>
              </w:rPr>
              <w:t>Awards</w:t>
            </w:r>
          </w:p>
        </w:tc>
        <w:tc>
          <w:tcPr>
            <w:tcW w:w="0" w:type="dxa"/>
            <w:vAlign w:val="bottom"/>
          </w:tcPr>
          <w:p>
            <w:pPr>
              <w:spacing w:after="0"/>
              <w:rPr>
                <w:sz w:val="1"/>
                <w:szCs w:val="1"/>
                <w:color w:val="auto"/>
              </w:rPr>
            </w:pPr>
          </w:p>
        </w:tc>
      </w:tr>
      <w:tr>
        <w:trPr>
          <w:trHeight w:val="147"/>
        </w:trPr>
        <w:tc>
          <w:tcPr>
            <w:tcW w:w="780" w:type="dxa"/>
            <w:vAlign w:val="bottom"/>
            <w:tcBorders>
              <w:bottom w:val="single" w:sz="8" w:color="4395D4"/>
            </w:tcBorders>
            <w:vMerge w:val="continue"/>
          </w:tcPr>
          <w:p>
            <w:pPr>
              <w:spacing w:after="0"/>
              <w:rPr>
                <w:sz w:val="12"/>
                <w:szCs w:val="12"/>
                <w:color w:val="auto"/>
              </w:rPr>
            </w:pPr>
          </w:p>
        </w:tc>
        <w:tc>
          <w:tcPr>
            <w:tcW w:w="860" w:type="dxa"/>
            <w:vAlign w:val="bottom"/>
            <w:tcBorders>
              <w:bottom w:val="single" w:sz="8" w:color="4395D4"/>
            </w:tcBorders>
            <w:gridSpan w:val="2"/>
            <w:vMerge w:val="continue"/>
          </w:tcPr>
          <w:p>
            <w:pPr>
              <w:spacing w:after="0"/>
              <w:rPr>
                <w:sz w:val="12"/>
                <w:szCs w:val="12"/>
                <w:color w:val="auto"/>
              </w:rPr>
            </w:pPr>
          </w:p>
        </w:tc>
        <w:tc>
          <w:tcPr>
            <w:tcW w:w="960" w:type="dxa"/>
            <w:vAlign w:val="bottom"/>
            <w:tcBorders>
              <w:bottom w:val="single" w:sz="8" w:color="4395D4"/>
            </w:tcBorders>
          </w:tcPr>
          <w:p>
            <w:pPr>
              <w:jc w:val="right"/>
              <w:ind w:right="75"/>
              <w:spacing w:after="0"/>
              <w:rPr>
                <w:sz w:val="20"/>
                <w:szCs w:val="20"/>
                <w:color w:val="auto"/>
              </w:rPr>
            </w:pPr>
            <w:r>
              <w:rPr>
                <w:rFonts w:ascii="Arial" w:cs="Arial" w:eastAsia="Arial" w:hAnsi="Arial"/>
                <w:sz w:val="12"/>
                <w:szCs w:val="12"/>
                <w:color w:val="455986"/>
              </w:rPr>
              <w:t>($)</w:t>
            </w:r>
          </w:p>
        </w:tc>
        <w:tc>
          <w:tcPr>
            <w:tcW w:w="860" w:type="dxa"/>
            <w:vAlign w:val="bottom"/>
            <w:tcBorders>
              <w:bottom w:val="single" w:sz="8" w:color="4395D4"/>
            </w:tcBorders>
          </w:tcPr>
          <w:p>
            <w:pPr>
              <w:jc w:val="right"/>
              <w:ind w:right="132"/>
              <w:spacing w:after="0"/>
              <w:rPr>
                <w:sz w:val="20"/>
                <w:szCs w:val="20"/>
                <w:color w:val="auto"/>
              </w:rPr>
            </w:pPr>
            <w:r>
              <w:rPr>
                <w:rFonts w:ascii="Arial" w:cs="Arial" w:eastAsia="Arial" w:hAnsi="Arial"/>
                <w:sz w:val="12"/>
                <w:szCs w:val="12"/>
                <w:color w:val="455986"/>
              </w:rPr>
              <w:t>($)</w:t>
            </w:r>
          </w:p>
        </w:tc>
        <w:tc>
          <w:tcPr>
            <w:tcW w:w="1040" w:type="dxa"/>
            <w:vAlign w:val="bottom"/>
            <w:tcBorders>
              <w:bottom w:val="single" w:sz="8" w:color="4395D4"/>
            </w:tcBorders>
            <w:gridSpan w:val="2"/>
          </w:tcPr>
          <w:p>
            <w:pPr>
              <w:jc w:val="right"/>
              <w:ind w:right="200"/>
              <w:spacing w:after="0"/>
              <w:rPr>
                <w:sz w:val="20"/>
                <w:szCs w:val="20"/>
                <w:color w:val="auto"/>
              </w:rPr>
            </w:pPr>
            <w:r>
              <w:rPr>
                <w:rFonts w:ascii="Arial" w:cs="Arial" w:eastAsia="Arial" w:hAnsi="Arial"/>
                <w:sz w:val="12"/>
                <w:szCs w:val="12"/>
                <w:color w:val="455986"/>
              </w:rPr>
              <w:t>($)</w:t>
            </w:r>
          </w:p>
        </w:tc>
        <w:tc>
          <w:tcPr>
            <w:tcW w:w="1000" w:type="dxa"/>
            <w:vAlign w:val="bottom"/>
            <w:tcBorders>
              <w:bottom w:val="single" w:sz="8" w:color="4395D4"/>
            </w:tcBorders>
          </w:tcPr>
          <w:p>
            <w:pPr>
              <w:jc w:val="right"/>
              <w:ind w:right="74"/>
              <w:spacing w:after="0"/>
              <w:rPr>
                <w:sz w:val="20"/>
                <w:szCs w:val="20"/>
                <w:color w:val="auto"/>
              </w:rPr>
            </w:pPr>
            <w:r>
              <w:rPr>
                <w:rFonts w:ascii="Arial" w:cs="Arial" w:eastAsia="Arial" w:hAnsi="Arial"/>
                <w:sz w:val="12"/>
                <w:szCs w:val="12"/>
                <w:color w:val="455986"/>
              </w:rPr>
              <w:t>(#)</w:t>
            </w:r>
          </w:p>
        </w:tc>
        <w:tc>
          <w:tcPr>
            <w:tcW w:w="740" w:type="dxa"/>
            <w:vAlign w:val="bottom"/>
            <w:tcBorders>
              <w:bottom w:val="single" w:sz="8" w:color="4395D4"/>
            </w:tcBorders>
          </w:tcPr>
          <w:p>
            <w:pPr>
              <w:jc w:val="right"/>
              <w:ind w:right="91"/>
              <w:spacing w:after="0"/>
              <w:rPr>
                <w:sz w:val="20"/>
                <w:szCs w:val="20"/>
                <w:color w:val="auto"/>
              </w:rPr>
            </w:pPr>
            <w:r>
              <w:rPr>
                <w:rFonts w:ascii="Arial" w:cs="Arial" w:eastAsia="Arial" w:hAnsi="Arial"/>
                <w:sz w:val="12"/>
                <w:szCs w:val="12"/>
                <w:color w:val="455986"/>
              </w:rPr>
              <w:t>(#)</w:t>
            </w:r>
          </w:p>
        </w:tc>
        <w:tc>
          <w:tcPr>
            <w:tcW w:w="900" w:type="dxa"/>
            <w:vAlign w:val="bottom"/>
            <w:tcBorders>
              <w:bottom w:val="single" w:sz="8" w:color="4395D4"/>
            </w:tcBorders>
            <w:gridSpan w:val="2"/>
          </w:tcPr>
          <w:p>
            <w:pPr>
              <w:jc w:val="right"/>
              <w:ind w:right="200"/>
              <w:spacing w:after="0"/>
              <w:rPr>
                <w:sz w:val="20"/>
                <w:szCs w:val="20"/>
                <w:color w:val="auto"/>
              </w:rPr>
            </w:pPr>
            <w:r>
              <w:rPr>
                <w:rFonts w:ascii="Arial" w:cs="Arial" w:eastAsia="Arial" w:hAnsi="Arial"/>
                <w:sz w:val="12"/>
                <w:szCs w:val="12"/>
                <w:color w:val="455986"/>
              </w:rPr>
              <w:t>(#)</w:t>
            </w:r>
          </w:p>
        </w:tc>
        <w:tc>
          <w:tcPr>
            <w:tcW w:w="1360" w:type="dxa"/>
            <w:vAlign w:val="bottom"/>
            <w:tcBorders>
              <w:bottom w:val="single" w:sz="8" w:color="4395D4"/>
            </w:tcBorders>
          </w:tcPr>
          <w:p>
            <w:pPr>
              <w:jc w:val="right"/>
              <w:ind w:right="115"/>
              <w:spacing w:after="0"/>
              <w:rPr>
                <w:sz w:val="20"/>
                <w:szCs w:val="20"/>
                <w:color w:val="auto"/>
              </w:rPr>
            </w:pPr>
            <w:r>
              <w:rPr>
                <w:rFonts w:ascii="Arial" w:cs="Arial" w:eastAsia="Arial" w:hAnsi="Arial"/>
                <w:sz w:val="12"/>
                <w:szCs w:val="12"/>
                <w:color w:val="455986"/>
              </w:rPr>
              <w:t>(#)</w:t>
            </w:r>
          </w:p>
        </w:tc>
        <w:tc>
          <w:tcPr>
            <w:tcW w:w="1100" w:type="dxa"/>
            <w:vAlign w:val="bottom"/>
            <w:tcBorders>
              <w:bottom w:val="single" w:sz="8" w:color="4395D4"/>
            </w:tcBorders>
          </w:tcPr>
          <w:p>
            <w:pPr>
              <w:jc w:val="right"/>
              <w:ind w:right="55"/>
              <w:spacing w:after="0"/>
              <w:rPr>
                <w:sz w:val="20"/>
                <w:szCs w:val="20"/>
                <w:color w:val="auto"/>
              </w:rPr>
            </w:pPr>
            <w:r>
              <w:rPr>
                <w:rFonts w:ascii="Arial" w:cs="Arial" w:eastAsia="Arial" w:hAnsi="Arial"/>
                <w:sz w:val="12"/>
                <w:szCs w:val="12"/>
                <w:color w:val="455986"/>
              </w:rPr>
              <w:t>Options(#)</w:t>
            </w:r>
          </w:p>
        </w:tc>
        <w:tc>
          <w:tcPr>
            <w:tcW w:w="860" w:type="dxa"/>
            <w:vAlign w:val="bottom"/>
            <w:tcBorders>
              <w:bottom w:val="single" w:sz="8" w:color="4395D4"/>
            </w:tcBorders>
          </w:tcPr>
          <w:p>
            <w:pPr>
              <w:jc w:val="right"/>
              <w:ind w:right="74"/>
              <w:spacing w:after="0"/>
              <w:rPr>
                <w:sz w:val="20"/>
                <w:szCs w:val="20"/>
                <w:color w:val="auto"/>
              </w:rPr>
            </w:pPr>
            <w:r>
              <w:rPr>
                <w:rFonts w:ascii="Arial" w:cs="Arial" w:eastAsia="Arial" w:hAnsi="Arial"/>
                <w:sz w:val="12"/>
                <w:szCs w:val="12"/>
                <w:color w:val="455986"/>
              </w:rPr>
              <w:t>($/Sh)</w:t>
            </w:r>
          </w:p>
        </w:tc>
        <w:tc>
          <w:tcPr>
            <w:tcW w:w="780" w:type="dxa"/>
            <w:vAlign w:val="bottom"/>
            <w:tcBorders>
              <w:bottom w:val="single" w:sz="8" w:color="4395D4"/>
            </w:tcBorders>
          </w:tcPr>
          <w:p>
            <w:pPr>
              <w:jc w:val="right"/>
              <w:spacing w:after="0"/>
              <w:rPr>
                <w:sz w:val="20"/>
                <w:szCs w:val="20"/>
                <w:color w:val="auto"/>
              </w:rPr>
            </w:pPr>
            <w:r>
              <w:rPr>
                <w:rFonts w:ascii="Arial" w:cs="Arial" w:eastAsia="Arial" w:hAnsi="Arial"/>
                <w:sz w:val="12"/>
                <w:szCs w:val="12"/>
                <w:color w:val="455986"/>
              </w:rPr>
              <w:t>($)</w:t>
            </w:r>
          </w:p>
        </w:tc>
        <w:tc>
          <w:tcPr>
            <w:tcW w:w="0" w:type="dxa"/>
            <w:vAlign w:val="bottom"/>
          </w:tcPr>
          <w:p>
            <w:pPr>
              <w:spacing w:after="0"/>
              <w:rPr>
                <w:sz w:val="1"/>
                <w:szCs w:val="1"/>
                <w:color w:val="auto"/>
              </w:rPr>
            </w:pPr>
          </w:p>
        </w:tc>
      </w:tr>
      <w:tr>
        <w:trPr>
          <w:trHeight w:val="225"/>
        </w:trPr>
        <w:tc>
          <w:tcPr>
            <w:tcW w:w="780" w:type="dxa"/>
            <w:vAlign w:val="bottom"/>
          </w:tcPr>
          <w:p>
            <w:pPr>
              <w:spacing w:after="0"/>
              <w:rPr>
                <w:sz w:val="20"/>
                <w:szCs w:val="20"/>
                <w:color w:val="auto"/>
              </w:rPr>
            </w:pPr>
            <w:r>
              <w:rPr>
                <w:rFonts w:ascii="Arial" w:cs="Arial" w:eastAsia="Arial" w:hAnsi="Arial"/>
                <w:sz w:val="14"/>
                <w:szCs w:val="14"/>
                <w:b w:val="1"/>
                <w:bCs w:val="1"/>
                <w:color w:val="455986"/>
              </w:rPr>
              <w:t>Franklin</w:t>
            </w:r>
          </w:p>
        </w:tc>
        <w:tc>
          <w:tcPr>
            <w:tcW w:w="860" w:type="dxa"/>
            <w:vAlign w:val="bottom"/>
            <w:gridSpan w:val="2"/>
          </w:tcPr>
          <w:p>
            <w:pPr>
              <w:jc w:val="right"/>
              <w:ind w:right="160"/>
              <w:spacing w:after="0"/>
              <w:rPr>
                <w:sz w:val="20"/>
                <w:szCs w:val="20"/>
                <w:color w:val="auto"/>
              </w:rPr>
            </w:pPr>
            <w:r>
              <w:rPr>
                <w:rFonts w:ascii="Arial" w:cs="Arial" w:eastAsia="Arial" w:hAnsi="Arial"/>
                <w:sz w:val="14"/>
                <w:szCs w:val="14"/>
                <w:color w:val="231F20"/>
              </w:rPr>
              <w:t>2/26/20</w:t>
            </w:r>
          </w:p>
        </w:tc>
        <w:tc>
          <w:tcPr>
            <w:tcW w:w="960" w:type="dxa"/>
            <w:vAlign w:val="bottom"/>
          </w:tcPr>
          <w:p>
            <w:pPr>
              <w:jc w:val="right"/>
              <w:ind w:right="75"/>
              <w:spacing w:after="0"/>
              <w:rPr>
                <w:sz w:val="20"/>
                <w:szCs w:val="20"/>
                <w:color w:val="auto"/>
              </w:rPr>
            </w:pPr>
            <w:r>
              <w:rPr>
                <w:rFonts w:ascii="Arial" w:cs="Arial" w:eastAsia="Arial" w:hAnsi="Arial"/>
                <w:sz w:val="14"/>
                <w:szCs w:val="14"/>
                <w:color w:val="231F20"/>
              </w:rPr>
              <w:t>437,500</w:t>
            </w:r>
          </w:p>
        </w:tc>
        <w:tc>
          <w:tcPr>
            <w:tcW w:w="860" w:type="dxa"/>
            <w:vAlign w:val="bottom"/>
          </w:tcPr>
          <w:p>
            <w:pPr>
              <w:jc w:val="right"/>
              <w:ind w:right="132"/>
              <w:spacing w:after="0"/>
              <w:rPr>
                <w:sz w:val="20"/>
                <w:szCs w:val="20"/>
                <w:color w:val="auto"/>
              </w:rPr>
            </w:pPr>
            <w:r>
              <w:rPr>
                <w:rFonts w:ascii="Arial" w:cs="Arial" w:eastAsia="Arial" w:hAnsi="Arial"/>
                <w:sz w:val="14"/>
                <w:szCs w:val="14"/>
                <w:color w:val="231F20"/>
              </w:rPr>
              <w:t>875,000</w:t>
            </w:r>
          </w:p>
        </w:tc>
        <w:tc>
          <w:tcPr>
            <w:tcW w:w="1040" w:type="dxa"/>
            <w:vAlign w:val="bottom"/>
            <w:gridSpan w:val="2"/>
          </w:tcPr>
          <w:p>
            <w:pPr>
              <w:jc w:val="right"/>
              <w:ind w:right="200"/>
              <w:spacing w:after="0"/>
              <w:rPr>
                <w:sz w:val="20"/>
                <w:szCs w:val="20"/>
                <w:color w:val="auto"/>
              </w:rPr>
            </w:pPr>
            <w:r>
              <w:rPr>
                <w:rFonts w:ascii="Arial" w:cs="Arial" w:eastAsia="Arial" w:hAnsi="Arial"/>
                <w:sz w:val="14"/>
                <w:szCs w:val="14"/>
                <w:color w:val="231F20"/>
              </w:rPr>
              <w:t>1,312,500</w:t>
            </w:r>
          </w:p>
        </w:tc>
        <w:tc>
          <w:tcPr>
            <w:tcW w:w="1000" w:type="dxa"/>
            <w:vAlign w:val="bottom"/>
          </w:tcPr>
          <w:p>
            <w:pPr>
              <w:jc w:val="right"/>
              <w:ind w:right="74"/>
              <w:spacing w:after="0"/>
              <w:rPr>
                <w:sz w:val="20"/>
                <w:szCs w:val="20"/>
                <w:color w:val="auto"/>
              </w:rPr>
            </w:pPr>
            <w:r>
              <w:rPr>
                <w:rFonts w:ascii="Arial" w:cs="Arial" w:eastAsia="Arial" w:hAnsi="Arial"/>
                <w:sz w:val="14"/>
                <w:szCs w:val="14"/>
                <w:color w:val="231F20"/>
              </w:rPr>
              <w:t>26,106</w:t>
            </w:r>
          </w:p>
        </w:tc>
        <w:tc>
          <w:tcPr>
            <w:tcW w:w="740" w:type="dxa"/>
            <w:vAlign w:val="bottom"/>
          </w:tcPr>
          <w:p>
            <w:pPr>
              <w:jc w:val="right"/>
              <w:ind w:right="91"/>
              <w:spacing w:after="0"/>
              <w:rPr>
                <w:sz w:val="20"/>
                <w:szCs w:val="20"/>
                <w:color w:val="auto"/>
              </w:rPr>
            </w:pPr>
            <w:r>
              <w:rPr>
                <w:rFonts w:ascii="Arial" w:cs="Arial" w:eastAsia="Arial" w:hAnsi="Arial"/>
                <w:sz w:val="14"/>
                <w:szCs w:val="14"/>
                <w:color w:val="231F20"/>
              </w:rPr>
              <w:t>38,244</w:t>
            </w:r>
          </w:p>
        </w:tc>
        <w:tc>
          <w:tcPr>
            <w:tcW w:w="900" w:type="dxa"/>
            <w:vAlign w:val="bottom"/>
            <w:gridSpan w:val="2"/>
          </w:tcPr>
          <w:p>
            <w:pPr>
              <w:jc w:val="right"/>
              <w:ind w:right="200"/>
              <w:spacing w:after="0"/>
              <w:rPr>
                <w:sz w:val="20"/>
                <w:szCs w:val="20"/>
                <w:color w:val="auto"/>
              </w:rPr>
            </w:pPr>
            <w:r>
              <w:rPr>
                <w:rFonts w:ascii="Arial" w:cs="Arial" w:eastAsia="Arial" w:hAnsi="Arial"/>
                <w:sz w:val="14"/>
                <w:szCs w:val="14"/>
                <w:color w:val="231F20"/>
              </w:rPr>
              <w:t>62,521</w:t>
            </w:r>
          </w:p>
        </w:tc>
        <w:tc>
          <w:tcPr>
            <w:tcW w:w="1360" w:type="dxa"/>
            <w:vAlign w:val="bottom"/>
          </w:tcPr>
          <w:p>
            <w:pPr>
              <w:jc w:val="right"/>
              <w:ind w:right="115"/>
              <w:spacing w:after="0"/>
              <w:rPr>
                <w:sz w:val="20"/>
                <w:szCs w:val="20"/>
                <w:color w:val="auto"/>
              </w:rPr>
            </w:pPr>
            <w:r>
              <w:rPr>
                <w:rFonts w:ascii="Arial" w:cs="Arial" w:eastAsia="Arial" w:hAnsi="Arial"/>
                <w:sz w:val="14"/>
                <w:szCs w:val="14"/>
                <w:color w:val="231F20"/>
              </w:rPr>
              <w:t>—</w:t>
            </w:r>
          </w:p>
        </w:tc>
        <w:tc>
          <w:tcPr>
            <w:tcW w:w="1100" w:type="dxa"/>
            <w:vAlign w:val="bottom"/>
          </w:tcPr>
          <w:p>
            <w:pPr>
              <w:jc w:val="right"/>
              <w:ind w:right="55"/>
              <w:spacing w:after="0"/>
              <w:rPr>
                <w:sz w:val="20"/>
                <w:szCs w:val="20"/>
                <w:color w:val="auto"/>
              </w:rPr>
            </w:pPr>
            <w:r>
              <w:rPr>
                <w:rFonts w:ascii="Arial" w:cs="Arial" w:eastAsia="Arial" w:hAnsi="Arial"/>
                <w:sz w:val="14"/>
                <w:szCs w:val="14"/>
                <w:color w:val="231F20"/>
              </w:rPr>
              <w:t>—</w:t>
            </w:r>
          </w:p>
        </w:tc>
        <w:tc>
          <w:tcPr>
            <w:tcW w:w="860" w:type="dxa"/>
            <w:vAlign w:val="bottom"/>
          </w:tcPr>
          <w:p>
            <w:pPr>
              <w:jc w:val="right"/>
              <w:ind w:right="74"/>
              <w:spacing w:after="0"/>
              <w:rPr>
                <w:sz w:val="20"/>
                <w:szCs w:val="20"/>
                <w:color w:val="auto"/>
              </w:rPr>
            </w:pPr>
            <w:r>
              <w:rPr>
                <w:rFonts w:ascii="Arial" w:cs="Arial" w:eastAsia="Arial" w:hAnsi="Arial"/>
                <w:sz w:val="14"/>
                <w:szCs w:val="14"/>
                <w:color w:val="231F20"/>
              </w:rPr>
              <w:t>—</w:t>
            </w:r>
          </w:p>
        </w:tc>
        <w:tc>
          <w:tcPr>
            <w:tcW w:w="780" w:type="dxa"/>
            <w:vAlign w:val="bottom"/>
          </w:tcPr>
          <w:p>
            <w:pPr>
              <w:jc w:val="right"/>
              <w:spacing w:after="0"/>
              <w:rPr>
                <w:sz w:val="20"/>
                <w:szCs w:val="20"/>
                <w:color w:val="auto"/>
              </w:rPr>
            </w:pPr>
            <w:r>
              <w:rPr>
                <w:rFonts w:ascii="Arial" w:cs="Arial" w:eastAsia="Arial" w:hAnsi="Arial"/>
                <w:sz w:val="14"/>
                <w:szCs w:val="14"/>
                <w:color w:val="231F20"/>
              </w:rPr>
              <w:t>2,053,175</w:t>
            </w:r>
          </w:p>
        </w:tc>
        <w:tc>
          <w:tcPr>
            <w:tcW w:w="0" w:type="dxa"/>
            <w:vAlign w:val="bottom"/>
          </w:tcPr>
          <w:p>
            <w:pPr>
              <w:spacing w:after="0"/>
              <w:rPr>
                <w:sz w:val="1"/>
                <w:szCs w:val="1"/>
                <w:color w:val="auto"/>
              </w:rPr>
            </w:pPr>
          </w:p>
        </w:tc>
      </w:tr>
      <w:tr>
        <w:trPr>
          <w:trHeight w:val="23"/>
        </w:trPr>
        <w:tc>
          <w:tcPr>
            <w:tcW w:w="780" w:type="dxa"/>
            <w:vAlign w:val="bottom"/>
            <w:tcBorders>
              <w:bottom w:val="single" w:sz="8" w:color="231F20"/>
            </w:tcBorders>
          </w:tcPr>
          <w:p>
            <w:pPr>
              <w:spacing w:after="0" w:line="20" w:lineRule="exact"/>
              <w:rPr>
                <w:sz w:val="1"/>
                <w:szCs w:val="1"/>
                <w:color w:val="auto"/>
              </w:rPr>
            </w:pPr>
          </w:p>
        </w:tc>
        <w:tc>
          <w:tcPr>
            <w:tcW w:w="680" w:type="dxa"/>
            <w:vAlign w:val="bottom"/>
            <w:tcBorders>
              <w:bottom w:val="single" w:sz="8" w:color="231F20"/>
            </w:tcBorders>
          </w:tcPr>
          <w:p>
            <w:pPr>
              <w:spacing w:after="0" w:line="20" w:lineRule="exact"/>
              <w:rPr>
                <w:sz w:val="1"/>
                <w:szCs w:val="1"/>
                <w:color w:val="auto"/>
              </w:rPr>
            </w:pPr>
          </w:p>
        </w:tc>
        <w:tc>
          <w:tcPr>
            <w:tcW w:w="180" w:type="dxa"/>
            <w:vAlign w:val="bottom"/>
            <w:tcBorders>
              <w:bottom w:val="single" w:sz="8" w:color="231F20"/>
            </w:tcBorders>
          </w:tcPr>
          <w:p>
            <w:pPr>
              <w:spacing w:after="0" w:line="20" w:lineRule="exact"/>
              <w:rPr>
                <w:sz w:val="1"/>
                <w:szCs w:val="1"/>
                <w:color w:val="auto"/>
              </w:rPr>
            </w:pPr>
          </w:p>
        </w:tc>
        <w:tc>
          <w:tcPr>
            <w:tcW w:w="960" w:type="dxa"/>
            <w:vAlign w:val="bottom"/>
            <w:tcBorders>
              <w:bottom w:val="single" w:sz="8" w:color="231F20"/>
            </w:tcBorders>
          </w:tcPr>
          <w:p>
            <w:pPr>
              <w:spacing w:after="0" w:line="20" w:lineRule="exact"/>
              <w:rPr>
                <w:sz w:val="1"/>
                <w:szCs w:val="1"/>
                <w:color w:val="auto"/>
              </w:rPr>
            </w:pPr>
          </w:p>
        </w:tc>
        <w:tc>
          <w:tcPr>
            <w:tcW w:w="860" w:type="dxa"/>
            <w:vAlign w:val="bottom"/>
            <w:tcBorders>
              <w:bottom w:val="single" w:sz="8" w:color="231F20"/>
            </w:tcBorders>
          </w:tcPr>
          <w:p>
            <w:pPr>
              <w:spacing w:after="0" w:line="20" w:lineRule="exact"/>
              <w:rPr>
                <w:sz w:val="1"/>
                <w:szCs w:val="1"/>
                <w:color w:val="auto"/>
              </w:rPr>
            </w:pPr>
          </w:p>
        </w:tc>
        <w:tc>
          <w:tcPr>
            <w:tcW w:w="840" w:type="dxa"/>
            <w:vAlign w:val="bottom"/>
            <w:tcBorders>
              <w:bottom w:val="single" w:sz="8" w:color="231F20"/>
            </w:tcBorders>
          </w:tcPr>
          <w:p>
            <w:pPr>
              <w:spacing w:after="0" w:line="20" w:lineRule="exact"/>
              <w:rPr>
                <w:sz w:val="1"/>
                <w:szCs w:val="1"/>
                <w:color w:val="auto"/>
              </w:rPr>
            </w:pPr>
          </w:p>
        </w:tc>
        <w:tc>
          <w:tcPr>
            <w:tcW w:w="200" w:type="dxa"/>
            <w:vAlign w:val="bottom"/>
            <w:tcBorders>
              <w:bottom w:val="single" w:sz="8" w:color="231F20"/>
            </w:tcBorders>
          </w:tcPr>
          <w:p>
            <w:pPr>
              <w:spacing w:after="0" w:line="20" w:lineRule="exact"/>
              <w:rPr>
                <w:sz w:val="1"/>
                <w:szCs w:val="1"/>
                <w:color w:val="auto"/>
              </w:rPr>
            </w:pPr>
          </w:p>
        </w:tc>
        <w:tc>
          <w:tcPr>
            <w:tcW w:w="1000" w:type="dxa"/>
            <w:vAlign w:val="bottom"/>
            <w:tcBorders>
              <w:bottom w:val="single" w:sz="8" w:color="231F20"/>
            </w:tcBorders>
          </w:tcPr>
          <w:p>
            <w:pPr>
              <w:spacing w:after="0" w:line="20" w:lineRule="exact"/>
              <w:rPr>
                <w:sz w:val="1"/>
                <w:szCs w:val="1"/>
                <w:color w:val="auto"/>
              </w:rPr>
            </w:pPr>
          </w:p>
        </w:tc>
        <w:tc>
          <w:tcPr>
            <w:tcW w:w="740" w:type="dxa"/>
            <w:vAlign w:val="bottom"/>
            <w:tcBorders>
              <w:bottom w:val="single" w:sz="8" w:color="231F20"/>
            </w:tcBorders>
          </w:tcPr>
          <w:p>
            <w:pPr>
              <w:spacing w:after="0" w:line="20" w:lineRule="exact"/>
              <w:rPr>
                <w:sz w:val="1"/>
                <w:szCs w:val="1"/>
                <w:color w:val="auto"/>
              </w:rPr>
            </w:pPr>
          </w:p>
        </w:tc>
        <w:tc>
          <w:tcPr>
            <w:tcW w:w="700" w:type="dxa"/>
            <w:vAlign w:val="bottom"/>
            <w:tcBorders>
              <w:bottom w:val="single" w:sz="8" w:color="231F20"/>
            </w:tcBorders>
          </w:tcPr>
          <w:p>
            <w:pPr>
              <w:spacing w:after="0" w:line="20" w:lineRule="exact"/>
              <w:rPr>
                <w:sz w:val="1"/>
                <w:szCs w:val="1"/>
                <w:color w:val="auto"/>
              </w:rPr>
            </w:pPr>
          </w:p>
        </w:tc>
        <w:tc>
          <w:tcPr>
            <w:tcW w:w="200" w:type="dxa"/>
            <w:vAlign w:val="bottom"/>
            <w:tcBorders>
              <w:bottom w:val="single" w:sz="8" w:color="231F20"/>
            </w:tcBorders>
          </w:tcPr>
          <w:p>
            <w:pPr>
              <w:spacing w:after="0" w:line="20" w:lineRule="exact"/>
              <w:rPr>
                <w:sz w:val="1"/>
                <w:szCs w:val="1"/>
                <w:color w:val="auto"/>
              </w:rPr>
            </w:pPr>
          </w:p>
        </w:tc>
        <w:tc>
          <w:tcPr>
            <w:tcW w:w="1360" w:type="dxa"/>
            <w:vAlign w:val="bottom"/>
            <w:tcBorders>
              <w:bottom w:val="single" w:sz="8" w:color="231F20"/>
            </w:tcBorders>
          </w:tcPr>
          <w:p>
            <w:pPr>
              <w:spacing w:after="0" w:line="20" w:lineRule="exact"/>
              <w:rPr>
                <w:sz w:val="1"/>
                <w:szCs w:val="1"/>
                <w:color w:val="auto"/>
              </w:rPr>
            </w:pPr>
          </w:p>
        </w:tc>
        <w:tc>
          <w:tcPr>
            <w:tcW w:w="1100" w:type="dxa"/>
            <w:vAlign w:val="bottom"/>
            <w:tcBorders>
              <w:bottom w:val="single" w:sz="8" w:color="231F20"/>
            </w:tcBorders>
          </w:tcPr>
          <w:p>
            <w:pPr>
              <w:spacing w:after="0" w:line="20" w:lineRule="exact"/>
              <w:rPr>
                <w:sz w:val="1"/>
                <w:szCs w:val="1"/>
                <w:color w:val="auto"/>
              </w:rPr>
            </w:pPr>
          </w:p>
        </w:tc>
        <w:tc>
          <w:tcPr>
            <w:tcW w:w="860" w:type="dxa"/>
            <w:vAlign w:val="bottom"/>
            <w:tcBorders>
              <w:bottom w:val="single" w:sz="8" w:color="231F20"/>
            </w:tcBorders>
          </w:tcPr>
          <w:p>
            <w:pPr>
              <w:spacing w:after="0" w:line="20" w:lineRule="exact"/>
              <w:rPr>
                <w:sz w:val="1"/>
                <w:szCs w:val="1"/>
                <w:color w:val="auto"/>
              </w:rPr>
            </w:pPr>
          </w:p>
        </w:tc>
        <w:tc>
          <w:tcPr>
            <w:tcW w:w="780" w:type="dxa"/>
            <w:vAlign w:val="bottom"/>
            <w:tcBorders>
              <w:bottom w:val="single" w:sz="8" w:color="231F20"/>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5"/>
        </w:trPr>
        <w:tc>
          <w:tcPr>
            <w:tcW w:w="780" w:type="dxa"/>
            <w:vAlign w:val="bottom"/>
          </w:tcPr>
          <w:p>
            <w:pPr>
              <w:spacing w:after="0"/>
              <w:rPr>
                <w:sz w:val="20"/>
                <w:szCs w:val="20"/>
                <w:color w:val="auto"/>
              </w:rPr>
            </w:pPr>
            <w:r>
              <w:rPr>
                <w:rFonts w:ascii="Arial" w:cs="Arial" w:eastAsia="Arial" w:hAnsi="Arial"/>
                <w:sz w:val="14"/>
                <w:szCs w:val="14"/>
                <w:b w:val="1"/>
                <w:bCs w:val="1"/>
                <w:color w:val="455986"/>
              </w:rPr>
              <w:t>Schuller</w:t>
            </w:r>
          </w:p>
        </w:tc>
        <w:tc>
          <w:tcPr>
            <w:tcW w:w="860" w:type="dxa"/>
            <w:vAlign w:val="bottom"/>
            <w:gridSpan w:val="2"/>
          </w:tcPr>
          <w:p>
            <w:pPr>
              <w:jc w:val="right"/>
              <w:ind w:right="160"/>
              <w:spacing w:after="0"/>
              <w:rPr>
                <w:sz w:val="20"/>
                <w:szCs w:val="20"/>
                <w:color w:val="auto"/>
              </w:rPr>
            </w:pPr>
            <w:r>
              <w:rPr>
                <w:rFonts w:ascii="Arial" w:cs="Arial" w:eastAsia="Arial" w:hAnsi="Arial"/>
                <w:sz w:val="14"/>
                <w:szCs w:val="14"/>
                <w:color w:val="231F20"/>
              </w:rPr>
              <w:t>2/26/20</w:t>
            </w:r>
          </w:p>
        </w:tc>
        <w:tc>
          <w:tcPr>
            <w:tcW w:w="960" w:type="dxa"/>
            <w:vAlign w:val="bottom"/>
          </w:tcPr>
          <w:p>
            <w:pPr>
              <w:jc w:val="right"/>
              <w:ind w:right="75"/>
              <w:spacing w:after="0"/>
              <w:rPr>
                <w:sz w:val="20"/>
                <w:szCs w:val="20"/>
                <w:color w:val="auto"/>
              </w:rPr>
            </w:pPr>
            <w:r>
              <w:rPr>
                <w:rFonts w:ascii="Arial" w:cs="Arial" w:eastAsia="Arial" w:hAnsi="Arial"/>
                <w:sz w:val="14"/>
                <w:szCs w:val="14"/>
                <w:color w:val="231F20"/>
              </w:rPr>
              <w:t>144,791</w:t>
            </w:r>
          </w:p>
        </w:tc>
        <w:tc>
          <w:tcPr>
            <w:tcW w:w="860" w:type="dxa"/>
            <w:vAlign w:val="bottom"/>
          </w:tcPr>
          <w:p>
            <w:pPr>
              <w:jc w:val="right"/>
              <w:ind w:right="132"/>
              <w:spacing w:after="0"/>
              <w:rPr>
                <w:sz w:val="20"/>
                <w:szCs w:val="20"/>
                <w:color w:val="auto"/>
              </w:rPr>
            </w:pPr>
            <w:r>
              <w:rPr>
                <w:rFonts w:ascii="Arial" w:cs="Arial" w:eastAsia="Arial" w:hAnsi="Arial"/>
                <w:sz w:val="14"/>
                <w:szCs w:val="14"/>
                <w:color w:val="231F20"/>
              </w:rPr>
              <w:t>289,583</w:t>
            </w:r>
          </w:p>
        </w:tc>
        <w:tc>
          <w:tcPr>
            <w:tcW w:w="1040" w:type="dxa"/>
            <w:vAlign w:val="bottom"/>
            <w:gridSpan w:val="2"/>
          </w:tcPr>
          <w:p>
            <w:pPr>
              <w:jc w:val="right"/>
              <w:ind w:right="200"/>
              <w:spacing w:after="0"/>
              <w:rPr>
                <w:sz w:val="20"/>
                <w:szCs w:val="20"/>
                <w:color w:val="auto"/>
              </w:rPr>
            </w:pPr>
            <w:r>
              <w:rPr>
                <w:rFonts w:ascii="Arial" w:cs="Arial" w:eastAsia="Arial" w:hAnsi="Arial"/>
                <w:sz w:val="14"/>
                <w:szCs w:val="14"/>
                <w:color w:val="231F20"/>
              </w:rPr>
              <w:t>434,374</w:t>
            </w:r>
          </w:p>
        </w:tc>
        <w:tc>
          <w:tcPr>
            <w:tcW w:w="1000" w:type="dxa"/>
            <w:vAlign w:val="bottom"/>
          </w:tcPr>
          <w:p>
            <w:pPr>
              <w:jc w:val="right"/>
              <w:ind w:right="74"/>
              <w:spacing w:after="0"/>
              <w:rPr>
                <w:sz w:val="20"/>
                <w:szCs w:val="20"/>
                <w:color w:val="auto"/>
              </w:rPr>
            </w:pPr>
            <w:r>
              <w:rPr>
                <w:rFonts w:ascii="Arial" w:cs="Arial" w:eastAsia="Arial" w:hAnsi="Arial"/>
                <w:sz w:val="14"/>
                <w:szCs w:val="14"/>
                <w:color w:val="231F20"/>
              </w:rPr>
              <w:t>3,493</w:t>
            </w:r>
          </w:p>
        </w:tc>
        <w:tc>
          <w:tcPr>
            <w:tcW w:w="740" w:type="dxa"/>
            <w:vAlign w:val="bottom"/>
          </w:tcPr>
          <w:p>
            <w:pPr>
              <w:jc w:val="right"/>
              <w:ind w:right="91"/>
              <w:spacing w:after="0"/>
              <w:rPr>
                <w:sz w:val="20"/>
                <w:szCs w:val="20"/>
                <w:color w:val="auto"/>
              </w:rPr>
            </w:pPr>
            <w:r>
              <w:rPr>
                <w:rFonts w:ascii="Arial" w:cs="Arial" w:eastAsia="Arial" w:hAnsi="Arial"/>
                <w:sz w:val="14"/>
                <w:szCs w:val="14"/>
                <w:color w:val="231F20"/>
              </w:rPr>
              <w:t>6,986</w:t>
            </w:r>
          </w:p>
        </w:tc>
        <w:tc>
          <w:tcPr>
            <w:tcW w:w="900" w:type="dxa"/>
            <w:vAlign w:val="bottom"/>
            <w:gridSpan w:val="2"/>
          </w:tcPr>
          <w:p>
            <w:pPr>
              <w:jc w:val="right"/>
              <w:ind w:right="200"/>
              <w:spacing w:after="0"/>
              <w:rPr>
                <w:sz w:val="20"/>
                <w:szCs w:val="20"/>
                <w:color w:val="auto"/>
              </w:rPr>
            </w:pPr>
            <w:r>
              <w:rPr>
                <w:rFonts w:ascii="Arial" w:cs="Arial" w:eastAsia="Arial" w:hAnsi="Arial"/>
                <w:sz w:val="14"/>
                <w:szCs w:val="14"/>
                <w:color w:val="231F20"/>
              </w:rPr>
              <w:t>13,972</w:t>
            </w:r>
          </w:p>
        </w:tc>
        <w:tc>
          <w:tcPr>
            <w:tcW w:w="1360" w:type="dxa"/>
            <w:vAlign w:val="bottom"/>
          </w:tcPr>
          <w:p>
            <w:pPr>
              <w:jc w:val="right"/>
              <w:ind w:right="115"/>
              <w:spacing w:after="0"/>
              <w:rPr>
                <w:sz w:val="20"/>
                <w:szCs w:val="20"/>
                <w:color w:val="auto"/>
              </w:rPr>
            </w:pPr>
            <w:r>
              <w:rPr>
                <w:rFonts w:ascii="Arial" w:cs="Arial" w:eastAsia="Arial" w:hAnsi="Arial"/>
                <w:sz w:val="14"/>
                <w:szCs w:val="14"/>
                <w:color w:val="231F20"/>
              </w:rPr>
              <w:t>7,008</w:t>
            </w:r>
          </w:p>
        </w:tc>
        <w:tc>
          <w:tcPr>
            <w:tcW w:w="1100" w:type="dxa"/>
            <w:vAlign w:val="bottom"/>
          </w:tcPr>
          <w:p>
            <w:pPr>
              <w:jc w:val="right"/>
              <w:ind w:right="55"/>
              <w:spacing w:after="0"/>
              <w:rPr>
                <w:sz w:val="20"/>
                <w:szCs w:val="20"/>
                <w:color w:val="auto"/>
              </w:rPr>
            </w:pPr>
            <w:r>
              <w:rPr>
                <w:rFonts w:ascii="Arial" w:cs="Arial" w:eastAsia="Arial" w:hAnsi="Arial"/>
                <w:sz w:val="14"/>
                <w:szCs w:val="14"/>
                <w:color w:val="231F20"/>
              </w:rPr>
              <w:t>—</w:t>
            </w:r>
          </w:p>
        </w:tc>
        <w:tc>
          <w:tcPr>
            <w:tcW w:w="860" w:type="dxa"/>
            <w:vAlign w:val="bottom"/>
          </w:tcPr>
          <w:p>
            <w:pPr>
              <w:jc w:val="right"/>
              <w:ind w:right="74"/>
              <w:spacing w:after="0"/>
              <w:rPr>
                <w:sz w:val="20"/>
                <w:szCs w:val="20"/>
                <w:color w:val="auto"/>
              </w:rPr>
            </w:pPr>
            <w:r>
              <w:rPr>
                <w:rFonts w:ascii="Arial" w:cs="Arial" w:eastAsia="Arial" w:hAnsi="Arial"/>
                <w:sz w:val="14"/>
                <w:szCs w:val="14"/>
                <w:color w:val="231F20"/>
              </w:rPr>
              <w:t>—</w:t>
            </w:r>
          </w:p>
        </w:tc>
        <w:tc>
          <w:tcPr>
            <w:tcW w:w="780" w:type="dxa"/>
            <w:vAlign w:val="bottom"/>
          </w:tcPr>
          <w:p>
            <w:pPr>
              <w:jc w:val="right"/>
              <w:spacing w:after="0"/>
              <w:rPr>
                <w:sz w:val="20"/>
                <w:szCs w:val="20"/>
                <w:color w:val="auto"/>
              </w:rPr>
            </w:pPr>
            <w:r>
              <w:rPr>
                <w:rFonts w:ascii="Arial" w:cs="Arial" w:eastAsia="Arial" w:hAnsi="Arial"/>
                <w:sz w:val="14"/>
                <w:szCs w:val="14"/>
                <w:color w:val="231F20"/>
              </w:rPr>
              <w:t>690,876</w:t>
            </w:r>
          </w:p>
        </w:tc>
        <w:tc>
          <w:tcPr>
            <w:tcW w:w="0" w:type="dxa"/>
            <w:vAlign w:val="bottom"/>
          </w:tcPr>
          <w:p>
            <w:pPr>
              <w:spacing w:after="0"/>
              <w:rPr>
                <w:sz w:val="1"/>
                <w:szCs w:val="1"/>
                <w:color w:val="auto"/>
              </w:rPr>
            </w:pPr>
          </w:p>
        </w:tc>
      </w:tr>
      <w:tr>
        <w:trPr>
          <w:trHeight w:val="23"/>
        </w:trPr>
        <w:tc>
          <w:tcPr>
            <w:tcW w:w="780" w:type="dxa"/>
            <w:vAlign w:val="bottom"/>
            <w:tcBorders>
              <w:bottom w:val="single" w:sz="8" w:color="231F20"/>
            </w:tcBorders>
          </w:tcPr>
          <w:p>
            <w:pPr>
              <w:spacing w:after="0" w:line="20" w:lineRule="exact"/>
              <w:rPr>
                <w:sz w:val="1"/>
                <w:szCs w:val="1"/>
                <w:color w:val="auto"/>
              </w:rPr>
            </w:pPr>
          </w:p>
        </w:tc>
        <w:tc>
          <w:tcPr>
            <w:tcW w:w="680" w:type="dxa"/>
            <w:vAlign w:val="bottom"/>
            <w:tcBorders>
              <w:bottom w:val="single" w:sz="8" w:color="231F20"/>
            </w:tcBorders>
          </w:tcPr>
          <w:p>
            <w:pPr>
              <w:spacing w:after="0" w:line="20" w:lineRule="exact"/>
              <w:rPr>
                <w:sz w:val="1"/>
                <w:szCs w:val="1"/>
                <w:color w:val="auto"/>
              </w:rPr>
            </w:pPr>
          </w:p>
        </w:tc>
        <w:tc>
          <w:tcPr>
            <w:tcW w:w="180" w:type="dxa"/>
            <w:vAlign w:val="bottom"/>
            <w:tcBorders>
              <w:bottom w:val="single" w:sz="8" w:color="231F20"/>
            </w:tcBorders>
          </w:tcPr>
          <w:p>
            <w:pPr>
              <w:spacing w:after="0" w:line="20" w:lineRule="exact"/>
              <w:rPr>
                <w:sz w:val="1"/>
                <w:szCs w:val="1"/>
                <w:color w:val="auto"/>
              </w:rPr>
            </w:pPr>
          </w:p>
        </w:tc>
        <w:tc>
          <w:tcPr>
            <w:tcW w:w="960" w:type="dxa"/>
            <w:vAlign w:val="bottom"/>
            <w:tcBorders>
              <w:bottom w:val="single" w:sz="8" w:color="231F20"/>
            </w:tcBorders>
          </w:tcPr>
          <w:p>
            <w:pPr>
              <w:spacing w:after="0" w:line="20" w:lineRule="exact"/>
              <w:rPr>
                <w:sz w:val="1"/>
                <w:szCs w:val="1"/>
                <w:color w:val="auto"/>
              </w:rPr>
            </w:pPr>
          </w:p>
        </w:tc>
        <w:tc>
          <w:tcPr>
            <w:tcW w:w="860" w:type="dxa"/>
            <w:vAlign w:val="bottom"/>
            <w:tcBorders>
              <w:bottom w:val="single" w:sz="8" w:color="231F20"/>
            </w:tcBorders>
          </w:tcPr>
          <w:p>
            <w:pPr>
              <w:spacing w:after="0" w:line="20" w:lineRule="exact"/>
              <w:rPr>
                <w:sz w:val="1"/>
                <w:szCs w:val="1"/>
                <w:color w:val="auto"/>
              </w:rPr>
            </w:pPr>
          </w:p>
        </w:tc>
        <w:tc>
          <w:tcPr>
            <w:tcW w:w="840" w:type="dxa"/>
            <w:vAlign w:val="bottom"/>
            <w:tcBorders>
              <w:bottom w:val="single" w:sz="8" w:color="231F20"/>
            </w:tcBorders>
          </w:tcPr>
          <w:p>
            <w:pPr>
              <w:spacing w:after="0" w:line="20" w:lineRule="exact"/>
              <w:rPr>
                <w:sz w:val="1"/>
                <w:szCs w:val="1"/>
                <w:color w:val="auto"/>
              </w:rPr>
            </w:pPr>
          </w:p>
        </w:tc>
        <w:tc>
          <w:tcPr>
            <w:tcW w:w="200" w:type="dxa"/>
            <w:vAlign w:val="bottom"/>
            <w:tcBorders>
              <w:bottom w:val="single" w:sz="8" w:color="231F20"/>
            </w:tcBorders>
          </w:tcPr>
          <w:p>
            <w:pPr>
              <w:spacing w:after="0" w:line="20" w:lineRule="exact"/>
              <w:rPr>
                <w:sz w:val="1"/>
                <w:szCs w:val="1"/>
                <w:color w:val="auto"/>
              </w:rPr>
            </w:pPr>
          </w:p>
        </w:tc>
        <w:tc>
          <w:tcPr>
            <w:tcW w:w="1000" w:type="dxa"/>
            <w:vAlign w:val="bottom"/>
            <w:tcBorders>
              <w:bottom w:val="single" w:sz="8" w:color="231F20"/>
            </w:tcBorders>
          </w:tcPr>
          <w:p>
            <w:pPr>
              <w:spacing w:after="0" w:line="20" w:lineRule="exact"/>
              <w:rPr>
                <w:sz w:val="1"/>
                <w:szCs w:val="1"/>
                <w:color w:val="auto"/>
              </w:rPr>
            </w:pPr>
          </w:p>
        </w:tc>
        <w:tc>
          <w:tcPr>
            <w:tcW w:w="740" w:type="dxa"/>
            <w:vAlign w:val="bottom"/>
            <w:tcBorders>
              <w:bottom w:val="single" w:sz="8" w:color="231F20"/>
            </w:tcBorders>
          </w:tcPr>
          <w:p>
            <w:pPr>
              <w:spacing w:after="0" w:line="20" w:lineRule="exact"/>
              <w:rPr>
                <w:sz w:val="1"/>
                <w:szCs w:val="1"/>
                <w:color w:val="auto"/>
              </w:rPr>
            </w:pPr>
          </w:p>
        </w:tc>
        <w:tc>
          <w:tcPr>
            <w:tcW w:w="700" w:type="dxa"/>
            <w:vAlign w:val="bottom"/>
            <w:tcBorders>
              <w:bottom w:val="single" w:sz="8" w:color="231F20"/>
            </w:tcBorders>
          </w:tcPr>
          <w:p>
            <w:pPr>
              <w:spacing w:after="0" w:line="20" w:lineRule="exact"/>
              <w:rPr>
                <w:sz w:val="1"/>
                <w:szCs w:val="1"/>
                <w:color w:val="auto"/>
              </w:rPr>
            </w:pPr>
          </w:p>
        </w:tc>
        <w:tc>
          <w:tcPr>
            <w:tcW w:w="200" w:type="dxa"/>
            <w:vAlign w:val="bottom"/>
            <w:tcBorders>
              <w:bottom w:val="single" w:sz="8" w:color="231F20"/>
            </w:tcBorders>
          </w:tcPr>
          <w:p>
            <w:pPr>
              <w:spacing w:after="0" w:line="20" w:lineRule="exact"/>
              <w:rPr>
                <w:sz w:val="1"/>
                <w:szCs w:val="1"/>
                <w:color w:val="auto"/>
              </w:rPr>
            </w:pPr>
          </w:p>
        </w:tc>
        <w:tc>
          <w:tcPr>
            <w:tcW w:w="1360" w:type="dxa"/>
            <w:vAlign w:val="bottom"/>
            <w:tcBorders>
              <w:bottom w:val="single" w:sz="8" w:color="231F20"/>
            </w:tcBorders>
          </w:tcPr>
          <w:p>
            <w:pPr>
              <w:spacing w:after="0" w:line="20" w:lineRule="exact"/>
              <w:rPr>
                <w:sz w:val="1"/>
                <w:szCs w:val="1"/>
                <w:color w:val="auto"/>
              </w:rPr>
            </w:pPr>
          </w:p>
        </w:tc>
        <w:tc>
          <w:tcPr>
            <w:tcW w:w="1100" w:type="dxa"/>
            <w:vAlign w:val="bottom"/>
            <w:tcBorders>
              <w:bottom w:val="single" w:sz="8" w:color="231F20"/>
            </w:tcBorders>
          </w:tcPr>
          <w:p>
            <w:pPr>
              <w:spacing w:after="0" w:line="20" w:lineRule="exact"/>
              <w:rPr>
                <w:sz w:val="1"/>
                <w:szCs w:val="1"/>
                <w:color w:val="auto"/>
              </w:rPr>
            </w:pPr>
          </w:p>
        </w:tc>
        <w:tc>
          <w:tcPr>
            <w:tcW w:w="860" w:type="dxa"/>
            <w:vAlign w:val="bottom"/>
            <w:tcBorders>
              <w:bottom w:val="single" w:sz="8" w:color="231F20"/>
            </w:tcBorders>
          </w:tcPr>
          <w:p>
            <w:pPr>
              <w:spacing w:after="0" w:line="20" w:lineRule="exact"/>
              <w:rPr>
                <w:sz w:val="1"/>
                <w:szCs w:val="1"/>
                <w:color w:val="auto"/>
              </w:rPr>
            </w:pPr>
          </w:p>
        </w:tc>
        <w:tc>
          <w:tcPr>
            <w:tcW w:w="780" w:type="dxa"/>
            <w:vAlign w:val="bottom"/>
            <w:tcBorders>
              <w:bottom w:val="single" w:sz="8" w:color="231F20"/>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5"/>
        </w:trPr>
        <w:tc>
          <w:tcPr>
            <w:tcW w:w="780" w:type="dxa"/>
            <w:vAlign w:val="bottom"/>
          </w:tcPr>
          <w:p>
            <w:pPr>
              <w:spacing w:after="0"/>
              <w:rPr>
                <w:sz w:val="20"/>
                <w:szCs w:val="20"/>
                <w:color w:val="auto"/>
              </w:rPr>
            </w:pPr>
            <w:r>
              <w:rPr>
                <w:rFonts w:ascii="Arial" w:cs="Arial" w:eastAsia="Arial" w:hAnsi="Arial"/>
                <w:sz w:val="14"/>
                <w:szCs w:val="14"/>
                <w:b w:val="1"/>
                <w:bCs w:val="1"/>
                <w:color w:val="455986"/>
              </w:rPr>
              <w:t>Fox</w:t>
            </w:r>
          </w:p>
        </w:tc>
        <w:tc>
          <w:tcPr>
            <w:tcW w:w="860" w:type="dxa"/>
            <w:vAlign w:val="bottom"/>
            <w:gridSpan w:val="2"/>
          </w:tcPr>
          <w:p>
            <w:pPr>
              <w:jc w:val="right"/>
              <w:ind w:right="160"/>
              <w:spacing w:after="0"/>
              <w:rPr>
                <w:sz w:val="20"/>
                <w:szCs w:val="20"/>
                <w:color w:val="auto"/>
              </w:rPr>
            </w:pPr>
            <w:r>
              <w:rPr>
                <w:rFonts w:ascii="Arial" w:cs="Arial" w:eastAsia="Arial" w:hAnsi="Arial"/>
                <w:sz w:val="14"/>
                <w:szCs w:val="14"/>
                <w:color w:val="231F20"/>
              </w:rPr>
              <w:t>2/26/20</w:t>
            </w:r>
          </w:p>
        </w:tc>
        <w:tc>
          <w:tcPr>
            <w:tcW w:w="960" w:type="dxa"/>
            <w:vAlign w:val="bottom"/>
          </w:tcPr>
          <w:p>
            <w:pPr>
              <w:jc w:val="right"/>
              <w:ind w:right="75"/>
              <w:spacing w:after="0"/>
              <w:rPr>
                <w:sz w:val="20"/>
                <w:szCs w:val="20"/>
                <w:color w:val="auto"/>
              </w:rPr>
            </w:pPr>
            <w:r>
              <w:rPr>
                <w:rFonts w:ascii="Arial" w:cs="Arial" w:eastAsia="Arial" w:hAnsi="Arial"/>
                <w:sz w:val="14"/>
                <w:szCs w:val="14"/>
                <w:color w:val="231F20"/>
              </w:rPr>
              <w:t>140,677</w:t>
            </w:r>
          </w:p>
        </w:tc>
        <w:tc>
          <w:tcPr>
            <w:tcW w:w="860" w:type="dxa"/>
            <w:vAlign w:val="bottom"/>
          </w:tcPr>
          <w:p>
            <w:pPr>
              <w:jc w:val="right"/>
              <w:ind w:right="132"/>
              <w:spacing w:after="0"/>
              <w:rPr>
                <w:sz w:val="20"/>
                <w:szCs w:val="20"/>
                <w:color w:val="auto"/>
              </w:rPr>
            </w:pPr>
            <w:r>
              <w:rPr>
                <w:rFonts w:ascii="Arial" w:cs="Arial" w:eastAsia="Arial" w:hAnsi="Arial"/>
                <w:sz w:val="14"/>
                <w:szCs w:val="14"/>
                <w:color w:val="231F20"/>
              </w:rPr>
              <w:t>281,354</w:t>
            </w:r>
          </w:p>
        </w:tc>
        <w:tc>
          <w:tcPr>
            <w:tcW w:w="1040" w:type="dxa"/>
            <w:vAlign w:val="bottom"/>
            <w:gridSpan w:val="2"/>
          </w:tcPr>
          <w:p>
            <w:pPr>
              <w:jc w:val="right"/>
              <w:ind w:right="200"/>
              <w:spacing w:after="0"/>
              <w:rPr>
                <w:sz w:val="20"/>
                <w:szCs w:val="20"/>
                <w:color w:val="auto"/>
              </w:rPr>
            </w:pPr>
            <w:r>
              <w:rPr>
                <w:rFonts w:ascii="Arial" w:cs="Arial" w:eastAsia="Arial" w:hAnsi="Arial"/>
                <w:sz w:val="14"/>
                <w:szCs w:val="14"/>
                <w:color w:val="231F20"/>
              </w:rPr>
              <w:t>422,032</w:t>
            </w:r>
          </w:p>
        </w:tc>
        <w:tc>
          <w:tcPr>
            <w:tcW w:w="1000" w:type="dxa"/>
            <w:vAlign w:val="bottom"/>
          </w:tcPr>
          <w:p>
            <w:pPr>
              <w:jc w:val="right"/>
              <w:ind w:right="74"/>
              <w:spacing w:after="0"/>
              <w:rPr>
                <w:sz w:val="20"/>
                <w:szCs w:val="20"/>
                <w:color w:val="auto"/>
              </w:rPr>
            </w:pPr>
            <w:r>
              <w:rPr>
                <w:rFonts w:ascii="Arial" w:cs="Arial" w:eastAsia="Arial" w:hAnsi="Arial"/>
                <w:sz w:val="14"/>
                <w:szCs w:val="14"/>
                <w:color w:val="231F20"/>
              </w:rPr>
              <w:t>3,515</w:t>
            </w:r>
          </w:p>
        </w:tc>
        <w:tc>
          <w:tcPr>
            <w:tcW w:w="740" w:type="dxa"/>
            <w:vAlign w:val="bottom"/>
          </w:tcPr>
          <w:p>
            <w:pPr>
              <w:jc w:val="right"/>
              <w:ind w:right="91"/>
              <w:spacing w:after="0"/>
              <w:rPr>
                <w:sz w:val="20"/>
                <w:szCs w:val="20"/>
                <w:color w:val="auto"/>
              </w:rPr>
            </w:pPr>
            <w:r>
              <w:rPr>
                <w:rFonts w:ascii="Arial" w:cs="Arial" w:eastAsia="Arial" w:hAnsi="Arial"/>
                <w:sz w:val="14"/>
                <w:szCs w:val="14"/>
                <w:color w:val="231F20"/>
              </w:rPr>
              <w:t>7,029</w:t>
            </w:r>
          </w:p>
        </w:tc>
        <w:tc>
          <w:tcPr>
            <w:tcW w:w="900" w:type="dxa"/>
            <w:vAlign w:val="bottom"/>
            <w:gridSpan w:val="2"/>
          </w:tcPr>
          <w:p>
            <w:pPr>
              <w:jc w:val="right"/>
              <w:ind w:right="200"/>
              <w:spacing w:after="0"/>
              <w:rPr>
                <w:sz w:val="20"/>
                <w:szCs w:val="20"/>
                <w:color w:val="auto"/>
              </w:rPr>
            </w:pPr>
            <w:r>
              <w:rPr>
                <w:rFonts w:ascii="Arial" w:cs="Arial" w:eastAsia="Arial" w:hAnsi="Arial"/>
                <w:sz w:val="14"/>
                <w:szCs w:val="14"/>
                <w:color w:val="231F20"/>
              </w:rPr>
              <w:t>14,058</w:t>
            </w:r>
          </w:p>
        </w:tc>
        <w:tc>
          <w:tcPr>
            <w:tcW w:w="1360" w:type="dxa"/>
            <w:vAlign w:val="bottom"/>
          </w:tcPr>
          <w:p>
            <w:pPr>
              <w:jc w:val="right"/>
              <w:ind w:right="115"/>
              <w:spacing w:after="0"/>
              <w:rPr>
                <w:sz w:val="20"/>
                <w:szCs w:val="20"/>
                <w:color w:val="auto"/>
              </w:rPr>
            </w:pPr>
            <w:r>
              <w:rPr>
                <w:rFonts w:ascii="Arial" w:cs="Arial" w:eastAsia="Arial" w:hAnsi="Arial"/>
                <w:sz w:val="14"/>
                <w:szCs w:val="14"/>
                <w:color w:val="231F20"/>
              </w:rPr>
              <w:t>7,044</w:t>
            </w:r>
          </w:p>
        </w:tc>
        <w:tc>
          <w:tcPr>
            <w:tcW w:w="1100" w:type="dxa"/>
            <w:vAlign w:val="bottom"/>
          </w:tcPr>
          <w:p>
            <w:pPr>
              <w:jc w:val="right"/>
              <w:ind w:right="55"/>
              <w:spacing w:after="0"/>
              <w:rPr>
                <w:sz w:val="20"/>
                <w:szCs w:val="20"/>
                <w:color w:val="auto"/>
              </w:rPr>
            </w:pPr>
            <w:r>
              <w:rPr>
                <w:rFonts w:ascii="Arial" w:cs="Arial" w:eastAsia="Arial" w:hAnsi="Arial"/>
                <w:sz w:val="14"/>
                <w:szCs w:val="14"/>
                <w:color w:val="231F20"/>
              </w:rPr>
              <w:t>—</w:t>
            </w:r>
          </w:p>
        </w:tc>
        <w:tc>
          <w:tcPr>
            <w:tcW w:w="860" w:type="dxa"/>
            <w:vAlign w:val="bottom"/>
          </w:tcPr>
          <w:p>
            <w:pPr>
              <w:jc w:val="right"/>
              <w:ind w:right="74"/>
              <w:spacing w:after="0"/>
              <w:rPr>
                <w:sz w:val="20"/>
                <w:szCs w:val="20"/>
                <w:color w:val="auto"/>
              </w:rPr>
            </w:pPr>
            <w:r>
              <w:rPr>
                <w:rFonts w:ascii="Arial" w:cs="Arial" w:eastAsia="Arial" w:hAnsi="Arial"/>
                <w:sz w:val="14"/>
                <w:szCs w:val="14"/>
                <w:color w:val="231F20"/>
              </w:rPr>
              <w:t>—</w:t>
            </w:r>
          </w:p>
        </w:tc>
        <w:tc>
          <w:tcPr>
            <w:tcW w:w="780" w:type="dxa"/>
            <w:vAlign w:val="bottom"/>
          </w:tcPr>
          <w:p>
            <w:pPr>
              <w:jc w:val="right"/>
              <w:spacing w:after="0"/>
              <w:rPr>
                <w:sz w:val="20"/>
                <w:szCs w:val="20"/>
                <w:color w:val="auto"/>
              </w:rPr>
            </w:pPr>
            <w:r>
              <w:rPr>
                <w:rFonts w:ascii="Arial" w:cs="Arial" w:eastAsia="Arial" w:hAnsi="Arial"/>
                <w:sz w:val="14"/>
                <w:szCs w:val="14"/>
                <w:color w:val="231F20"/>
              </w:rPr>
              <w:t>695,083</w:t>
            </w:r>
          </w:p>
        </w:tc>
        <w:tc>
          <w:tcPr>
            <w:tcW w:w="0" w:type="dxa"/>
            <w:vAlign w:val="bottom"/>
          </w:tcPr>
          <w:p>
            <w:pPr>
              <w:spacing w:after="0"/>
              <w:rPr>
                <w:sz w:val="1"/>
                <w:szCs w:val="1"/>
                <w:color w:val="auto"/>
              </w:rPr>
            </w:pPr>
          </w:p>
        </w:tc>
      </w:tr>
      <w:tr>
        <w:trPr>
          <w:trHeight w:val="23"/>
        </w:trPr>
        <w:tc>
          <w:tcPr>
            <w:tcW w:w="780" w:type="dxa"/>
            <w:vAlign w:val="bottom"/>
            <w:tcBorders>
              <w:bottom w:val="single" w:sz="8" w:color="231F20"/>
            </w:tcBorders>
          </w:tcPr>
          <w:p>
            <w:pPr>
              <w:spacing w:after="0" w:line="20" w:lineRule="exact"/>
              <w:rPr>
                <w:sz w:val="1"/>
                <w:szCs w:val="1"/>
                <w:color w:val="auto"/>
              </w:rPr>
            </w:pPr>
          </w:p>
        </w:tc>
        <w:tc>
          <w:tcPr>
            <w:tcW w:w="680" w:type="dxa"/>
            <w:vAlign w:val="bottom"/>
            <w:tcBorders>
              <w:bottom w:val="single" w:sz="8" w:color="231F20"/>
            </w:tcBorders>
          </w:tcPr>
          <w:p>
            <w:pPr>
              <w:spacing w:after="0" w:line="20" w:lineRule="exact"/>
              <w:rPr>
                <w:sz w:val="1"/>
                <w:szCs w:val="1"/>
                <w:color w:val="auto"/>
              </w:rPr>
            </w:pPr>
          </w:p>
        </w:tc>
        <w:tc>
          <w:tcPr>
            <w:tcW w:w="180" w:type="dxa"/>
            <w:vAlign w:val="bottom"/>
            <w:tcBorders>
              <w:bottom w:val="single" w:sz="8" w:color="231F20"/>
            </w:tcBorders>
          </w:tcPr>
          <w:p>
            <w:pPr>
              <w:spacing w:after="0" w:line="20" w:lineRule="exact"/>
              <w:rPr>
                <w:sz w:val="1"/>
                <w:szCs w:val="1"/>
                <w:color w:val="auto"/>
              </w:rPr>
            </w:pPr>
          </w:p>
        </w:tc>
        <w:tc>
          <w:tcPr>
            <w:tcW w:w="960" w:type="dxa"/>
            <w:vAlign w:val="bottom"/>
            <w:tcBorders>
              <w:bottom w:val="single" w:sz="8" w:color="231F20"/>
            </w:tcBorders>
          </w:tcPr>
          <w:p>
            <w:pPr>
              <w:spacing w:after="0" w:line="20" w:lineRule="exact"/>
              <w:rPr>
                <w:sz w:val="1"/>
                <w:szCs w:val="1"/>
                <w:color w:val="auto"/>
              </w:rPr>
            </w:pPr>
          </w:p>
        </w:tc>
        <w:tc>
          <w:tcPr>
            <w:tcW w:w="860" w:type="dxa"/>
            <w:vAlign w:val="bottom"/>
            <w:tcBorders>
              <w:bottom w:val="single" w:sz="8" w:color="231F20"/>
            </w:tcBorders>
          </w:tcPr>
          <w:p>
            <w:pPr>
              <w:spacing w:after="0" w:line="20" w:lineRule="exact"/>
              <w:rPr>
                <w:sz w:val="1"/>
                <w:szCs w:val="1"/>
                <w:color w:val="auto"/>
              </w:rPr>
            </w:pPr>
          </w:p>
        </w:tc>
        <w:tc>
          <w:tcPr>
            <w:tcW w:w="840" w:type="dxa"/>
            <w:vAlign w:val="bottom"/>
            <w:tcBorders>
              <w:bottom w:val="single" w:sz="8" w:color="231F20"/>
            </w:tcBorders>
          </w:tcPr>
          <w:p>
            <w:pPr>
              <w:spacing w:after="0" w:line="20" w:lineRule="exact"/>
              <w:rPr>
                <w:sz w:val="1"/>
                <w:szCs w:val="1"/>
                <w:color w:val="auto"/>
              </w:rPr>
            </w:pPr>
          </w:p>
        </w:tc>
        <w:tc>
          <w:tcPr>
            <w:tcW w:w="200" w:type="dxa"/>
            <w:vAlign w:val="bottom"/>
            <w:tcBorders>
              <w:bottom w:val="single" w:sz="8" w:color="231F20"/>
            </w:tcBorders>
          </w:tcPr>
          <w:p>
            <w:pPr>
              <w:spacing w:after="0" w:line="20" w:lineRule="exact"/>
              <w:rPr>
                <w:sz w:val="1"/>
                <w:szCs w:val="1"/>
                <w:color w:val="auto"/>
              </w:rPr>
            </w:pPr>
          </w:p>
        </w:tc>
        <w:tc>
          <w:tcPr>
            <w:tcW w:w="1000" w:type="dxa"/>
            <w:vAlign w:val="bottom"/>
            <w:tcBorders>
              <w:bottom w:val="single" w:sz="8" w:color="231F20"/>
            </w:tcBorders>
          </w:tcPr>
          <w:p>
            <w:pPr>
              <w:spacing w:after="0" w:line="20" w:lineRule="exact"/>
              <w:rPr>
                <w:sz w:val="1"/>
                <w:szCs w:val="1"/>
                <w:color w:val="auto"/>
              </w:rPr>
            </w:pPr>
          </w:p>
        </w:tc>
        <w:tc>
          <w:tcPr>
            <w:tcW w:w="740" w:type="dxa"/>
            <w:vAlign w:val="bottom"/>
            <w:tcBorders>
              <w:bottom w:val="single" w:sz="8" w:color="231F20"/>
            </w:tcBorders>
          </w:tcPr>
          <w:p>
            <w:pPr>
              <w:spacing w:after="0" w:line="20" w:lineRule="exact"/>
              <w:rPr>
                <w:sz w:val="1"/>
                <w:szCs w:val="1"/>
                <w:color w:val="auto"/>
              </w:rPr>
            </w:pPr>
          </w:p>
        </w:tc>
        <w:tc>
          <w:tcPr>
            <w:tcW w:w="700" w:type="dxa"/>
            <w:vAlign w:val="bottom"/>
            <w:tcBorders>
              <w:bottom w:val="single" w:sz="8" w:color="231F20"/>
            </w:tcBorders>
          </w:tcPr>
          <w:p>
            <w:pPr>
              <w:spacing w:after="0" w:line="20" w:lineRule="exact"/>
              <w:rPr>
                <w:sz w:val="1"/>
                <w:szCs w:val="1"/>
                <w:color w:val="auto"/>
              </w:rPr>
            </w:pPr>
          </w:p>
        </w:tc>
        <w:tc>
          <w:tcPr>
            <w:tcW w:w="200" w:type="dxa"/>
            <w:vAlign w:val="bottom"/>
            <w:tcBorders>
              <w:bottom w:val="single" w:sz="8" w:color="231F20"/>
            </w:tcBorders>
          </w:tcPr>
          <w:p>
            <w:pPr>
              <w:spacing w:after="0" w:line="20" w:lineRule="exact"/>
              <w:rPr>
                <w:sz w:val="1"/>
                <w:szCs w:val="1"/>
                <w:color w:val="auto"/>
              </w:rPr>
            </w:pPr>
          </w:p>
        </w:tc>
        <w:tc>
          <w:tcPr>
            <w:tcW w:w="1360" w:type="dxa"/>
            <w:vAlign w:val="bottom"/>
            <w:tcBorders>
              <w:bottom w:val="single" w:sz="8" w:color="231F20"/>
            </w:tcBorders>
          </w:tcPr>
          <w:p>
            <w:pPr>
              <w:spacing w:after="0" w:line="20" w:lineRule="exact"/>
              <w:rPr>
                <w:sz w:val="1"/>
                <w:szCs w:val="1"/>
                <w:color w:val="auto"/>
              </w:rPr>
            </w:pPr>
          </w:p>
        </w:tc>
        <w:tc>
          <w:tcPr>
            <w:tcW w:w="1100" w:type="dxa"/>
            <w:vAlign w:val="bottom"/>
            <w:tcBorders>
              <w:bottom w:val="single" w:sz="8" w:color="231F20"/>
            </w:tcBorders>
          </w:tcPr>
          <w:p>
            <w:pPr>
              <w:spacing w:after="0" w:line="20" w:lineRule="exact"/>
              <w:rPr>
                <w:sz w:val="1"/>
                <w:szCs w:val="1"/>
                <w:color w:val="auto"/>
              </w:rPr>
            </w:pPr>
          </w:p>
        </w:tc>
        <w:tc>
          <w:tcPr>
            <w:tcW w:w="860" w:type="dxa"/>
            <w:vAlign w:val="bottom"/>
            <w:tcBorders>
              <w:bottom w:val="single" w:sz="8" w:color="231F20"/>
            </w:tcBorders>
          </w:tcPr>
          <w:p>
            <w:pPr>
              <w:spacing w:after="0" w:line="20" w:lineRule="exact"/>
              <w:rPr>
                <w:sz w:val="1"/>
                <w:szCs w:val="1"/>
                <w:color w:val="auto"/>
              </w:rPr>
            </w:pPr>
          </w:p>
        </w:tc>
        <w:tc>
          <w:tcPr>
            <w:tcW w:w="780" w:type="dxa"/>
            <w:vAlign w:val="bottom"/>
            <w:tcBorders>
              <w:bottom w:val="single" w:sz="8" w:color="231F20"/>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5"/>
        </w:trPr>
        <w:tc>
          <w:tcPr>
            <w:tcW w:w="780" w:type="dxa"/>
            <w:vAlign w:val="bottom"/>
          </w:tcPr>
          <w:p>
            <w:pPr>
              <w:spacing w:after="0"/>
              <w:rPr>
                <w:sz w:val="20"/>
                <w:szCs w:val="20"/>
                <w:color w:val="auto"/>
              </w:rPr>
            </w:pPr>
            <w:r>
              <w:rPr>
                <w:rFonts w:ascii="Arial" w:cs="Arial" w:eastAsia="Arial" w:hAnsi="Arial"/>
                <w:sz w:val="14"/>
                <w:szCs w:val="14"/>
                <w:b w:val="1"/>
                <w:bCs w:val="1"/>
                <w:color w:val="455986"/>
              </w:rPr>
              <w:t>Rhodes</w:t>
            </w:r>
          </w:p>
        </w:tc>
        <w:tc>
          <w:tcPr>
            <w:tcW w:w="860" w:type="dxa"/>
            <w:vAlign w:val="bottom"/>
            <w:gridSpan w:val="2"/>
          </w:tcPr>
          <w:p>
            <w:pPr>
              <w:jc w:val="right"/>
              <w:ind w:right="160"/>
              <w:spacing w:after="0"/>
              <w:rPr>
                <w:sz w:val="20"/>
                <w:szCs w:val="20"/>
                <w:color w:val="auto"/>
              </w:rPr>
            </w:pPr>
            <w:r>
              <w:rPr>
                <w:rFonts w:ascii="Arial" w:cs="Arial" w:eastAsia="Arial" w:hAnsi="Arial"/>
                <w:sz w:val="14"/>
                <w:szCs w:val="14"/>
                <w:color w:val="231F20"/>
              </w:rPr>
              <w:t>2/26/20</w:t>
            </w:r>
          </w:p>
        </w:tc>
        <w:tc>
          <w:tcPr>
            <w:tcW w:w="960" w:type="dxa"/>
            <w:vAlign w:val="bottom"/>
          </w:tcPr>
          <w:p>
            <w:pPr>
              <w:jc w:val="right"/>
              <w:ind w:right="75"/>
              <w:spacing w:after="0"/>
              <w:rPr>
                <w:sz w:val="20"/>
                <w:szCs w:val="20"/>
                <w:color w:val="auto"/>
              </w:rPr>
            </w:pPr>
            <w:r>
              <w:rPr>
                <w:rFonts w:ascii="Arial" w:cs="Arial" w:eastAsia="Arial" w:hAnsi="Arial"/>
                <w:sz w:val="14"/>
                <w:szCs w:val="14"/>
                <w:color w:val="231F20"/>
              </w:rPr>
              <w:t>129,276</w:t>
            </w:r>
          </w:p>
        </w:tc>
        <w:tc>
          <w:tcPr>
            <w:tcW w:w="860" w:type="dxa"/>
            <w:vAlign w:val="bottom"/>
          </w:tcPr>
          <w:p>
            <w:pPr>
              <w:jc w:val="right"/>
              <w:ind w:right="132"/>
              <w:spacing w:after="0"/>
              <w:rPr>
                <w:sz w:val="20"/>
                <w:szCs w:val="20"/>
                <w:color w:val="auto"/>
              </w:rPr>
            </w:pPr>
            <w:r>
              <w:rPr>
                <w:rFonts w:ascii="Arial" w:cs="Arial" w:eastAsia="Arial" w:hAnsi="Arial"/>
                <w:sz w:val="14"/>
                <w:szCs w:val="14"/>
                <w:color w:val="231F20"/>
              </w:rPr>
              <w:t>258,553</w:t>
            </w:r>
          </w:p>
        </w:tc>
        <w:tc>
          <w:tcPr>
            <w:tcW w:w="1040" w:type="dxa"/>
            <w:vAlign w:val="bottom"/>
            <w:gridSpan w:val="2"/>
          </w:tcPr>
          <w:p>
            <w:pPr>
              <w:jc w:val="right"/>
              <w:ind w:right="200"/>
              <w:spacing w:after="0"/>
              <w:rPr>
                <w:sz w:val="20"/>
                <w:szCs w:val="20"/>
                <w:color w:val="auto"/>
              </w:rPr>
            </w:pPr>
            <w:r>
              <w:rPr>
                <w:rFonts w:ascii="Arial" w:cs="Arial" w:eastAsia="Arial" w:hAnsi="Arial"/>
                <w:sz w:val="14"/>
                <w:szCs w:val="14"/>
                <w:color w:val="231F20"/>
              </w:rPr>
              <w:t>387,829</w:t>
            </w:r>
          </w:p>
        </w:tc>
        <w:tc>
          <w:tcPr>
            <w:tcW w:w="1000" w:type="dxa"/>
            <w:vAlign w:val="bottom"/>
          </w:tcPr>
          <w:p>
            <w:pPr>
              <w:jc w:val="right"/>
              <w:ind w:right="74"/>
              <w:spacing w:after="0"/>
              <w:rPr>
                <w:sz w:val="20"/>
                <w:szCs w:val="20"/>
                <w:color w:val="auto"/>
              </w:rPr>
            </w:pPr>
            <w:r>
              <w:rPr>
                <w:rFonts w:ascii="Arial" w:cs="Arial" w:eastAsia="Arial" w:hAnsi="Arial"/>
                <w:sz w:val="14"/>
                <w:szCs w:val="14"/>
                <w:color w:val="231F20"/>
              </w:rPr>
              <w:t>2,729</w:t>
            </w:r>
          </w:p>
        </w:tc>
        <w:tc>
          <w:tcPr>
            <w:tcW w:w="740" w:type="dxa"/>
            <w:vAlign w:val="bottom"/>
          </w:tcPr>
          <w:p>
            <w:pPr>
              <w:jc w:val="right"/>
              <w:ind w:right="91"/>
              <w:spacing w:after="0"/>
              <w:rPr>
                <w:sz w:val="20"/>
                <w:szCs w:val="20"/>
                <w:color w:val="auto"/>
              </w:rPr>
            </w:pPr>
            <w:r>
              <w:rPr>
                <w:rFonts w:ascii="Arial" w:cs="Arial" w:eastAsia="Arial" w:hAnsi="Arial"/>
                <w:sz w:val="14"/>
                <w:szCs w:val="14"/>
                <w:color w:val="231F20"/>
              </w:rPr>
              <w:t>5,458</w:t>
            </w:r>
          </w:p>
        </w:tc>
        <w:tc>
          <w:tcPr>
            <w:tcW w:w="900" w:type="dxa"/>
            <w:vAlign w:val="bottom"/>
            <w:gridSpan w:val="2"/>
          </w:tcPr>
          <w:p>
            <w:pPr>
              <w:jc w:val="right"/>
              <w:ind w:right="200"/>
              <w:spacing w:after="0"/>
              <w:rPr>
                <w:sz w:val="20"/>
                <w:szCs w:val="20"/>
                <w:color w:val="auto"/>
              </w:rPr>
            </w:pPr>
            <w:r>
              <w:rPr>
                <w:rFonts w:ascii="Arial" w:cs="Arial" w:eastAsia="Arial" w:hAnsi="Arial"/>
                <w:sz w:val="14"/>
                <w:szCs w:val="14"/>
                <w:color w:val="231F20"/>
              </w:rPr>
              <w:t>10,916</w:t>
            </w:r>
          </w:p>
        </w:tc>
        <w:tc>
          <w:tcPr>
            <w:tcW w:w="1360" w:type="dxa"/>
            <w:vAlign w:val="bottom"/>
          </w:tcPr>
          <w:p>
            <w:pPr>
              <w:jc w:val="right"/>
              <w:ind w:right="115"/>
              <w:spacing w:after="0"/>
              <w:rPr>
                <w:sz w:val="20"/>
                <w:szCs w:val="20"/>
                <w:color w:val="auto"/>
              </w:rPr>
            </w:pPr>
            <w:r>
              <w:rPr>
                <w:rFonts w:ascii="Arial" w:cs="Arial" w:eastAsia="Arial" w:hAnsi="Arial"/>
                <w:sz w:val="14"/>
                <w:szCs w:val="14"/>
                <w:color w:val="231F20"/>
              </w:rPr>
              <w:t>6,128</w:t>
            </w:r>
          </w:p>
        </w:tc>
        <w:tc>
          <w:tcPr>
            <w:tcW w:w="1100" w:type="dxa"/>
            <w:vAlign w:val="bottom"/>
          </w:tcPr>
          <w:p>
            <w:pPr>
              <w:jc w:val="right"/>
              <w:ind w:right="55"/>
              <w:spacing w:after="0"/>
              <w:rPr>
                <w:sz w:val="20"/>
                <w:szCs w:val="20"/>
                <w:color w:val="auto"/>
              </w:rPr>
            </w:pPr>
            <w:r>
              <w:rPr>
                <w:rFonts w:ascii="Arial" w:cs="Arial" w:eastAsia="Arial" w:hAnsi="Arial"/>
                <w:sz w:val="14"/>
                <w:szCs w:val="14"/>
                <w:color w:val="231F20"/>
              </w:rPr>
              <w:t>—</w:t>
            </w:r>
          </w:p>
        </w:tc>
        <w:tc>
          <w:tcPr>
            <w:tcW w:w="860" w:type="dxa"/>
            <w:vAlign w:val="bottom"/>
          </w:tcPr>
          <w:p>
            <w:pPr>
              <w:jc w:val="right"/>
              <w:ind w:right="74"/>
              <w:spacing w:after="0"/>
              <w:rPr>
                <w:sz w:val="20"/>
                <w:szCs w:val="20"/>
                <w:color w:val="auto"/>
              </w:rPr>
            </w:pPr>
            <w:r>
              <w:rPr>
                <w:rFonts w:ascii="Arial" w:cs="Arial" w:eastAsia="Arial" w:hAnsi="Arial"/>
                <w:sz w:val="14"/>
                <w:szCs w:val="14"/>
                <w:color w:val="231F20"/>
              </w:rPr>
              <w:t>—</w:t>
            </w:r>
          </w:p>
        </w:tc>
        <w:tc>
          <w:tcPr>
            <w:tcW w:w="780" w:type="dxa"/>
            <w:vAlign w:val="bottom"/>
          </w:tcPr>
          <w:p>
            <w:pPr>
              <w:jc w:val="right"/>
              <w:spacing w:after="0"/>
              <w:rPr>
                <w:sz w:val="20"/>
                <w:szCs w:val="20"/>
                <w:color w:val="auto"/>
              </w:rPr>
            </w:pPr>
            <w:r>
              <w:rPr>
                <w:rFonts w:ascii="Arial" w:cs="Arial" w:eastAsia="Arial" w:hAnsi="Arial"/>
                <w:sz w:val="14"/>
                <w:szCs w:val="14"/>
                <w:color w:val="231F20"/>
              </w:rPr>
              <w:t>561,603</w:t>
            </w:r>
          </w:p>
        </w:tc>
        <w:tc>
          <w:tcPr>
            <w:tcW w:w="0" w:type="dxa"/>
            <w:vAlign w:val="bottom"/>
          </w:tcPr>
          <w:p>
            <w:pPr>
              <w:spacing w:after="0"/>
              <w:rPr>
                <w:sz w:val="1"/>
                <w:szCs w:val="1"/>
                <w:color w:val="auto"/>
              </w:rPr>
            </w:pPr>
          </w:p>
        </w:tc>
      </w:tr>
      <w:tr>
        <w:trPr>
          <w:trHeight w:val="23"/>
        </w:trPr>
        <w:tc>
          <w:tcPr>
            <w:tcW w:w="780" w:type="dxa"/>
            <w:vAlign w:val="bottom"/>
            <w:tcBorders>
              <w:bottom w:val="single" w:sz="8" w:color="231F20"/>
            </w:tcBorders>
          </w:tcPr>
          <w:p>
            <w:pPr>
              <w:spacing w:after="0" w:line="20" w:lineRule="exact"/>
              <w:rPr>
                <w:sz w:val="1"/>
                <w:szCs w:val="1"/>
                <w:color w:val="auto"/>
              </w:rPr>
            </w:pPr>
          </w:p>
        </w:tc>
        <w:tc>
          <w:tcPr>
            <w:tcW w:w="680" w:type="dxa"/>
            <w:vAlign w:val="bottom"/>
            <w:tcBorders>
              <w:bottom w:val="single" w:sz="8" w:color="231F20"/>
            </w:tcBorders>
          </w:tcPr>
          <w:p>
            <w:pPr>
              <w:spacing w:after="0" w:line="20" w:lineRule="exact"/>
              <w:rPr>
                <w:sz w:val="1"/>
                <w:szCs w:val="1"/>
                <w:color w:val="auto"/>
              </w:rPr>
            </w:pPr>
          </w:p>
        </w:tc>
        <w:tc>
          <w:tcPr>
            <w:tcW w:w="180" w:type="dxa"/>
            <w:vAlign w:val="bottom"/>
            <w:tcBorders>
              <w:bottom w:val="single" w:sz="8" w:color="231F20"/>
            </w:tcBorders>
          </w:tcPr>
          <w:p>
            <w:pPr>
              <w:spacing w:after="0" w:line="20" w:lineRule="exact"/>
              <w:rPr>
                <w:sz w:val="1"/>
                <w:szCs w:val="1"/>
                <w:color w:val="auto"/>
              </w:rPr>
            </w:pPr>
          </w:p>
        </w:tc>
        <w:tc>
          <w:tcPr>
            <w:tcW w:w="960" w:type="dxa"/>
            <w:vAlign w:val="bottom"/>
            <w:tcBorders>
              <w:bottom w:val="single" w:sz="8" w:color="231F20"/>
            </w:tcBorders>
          </w:tcPr>
          <w:p>
            <w:pPr>
              <w:spacing w:after="0" w:line="20" w:lineRule="exact"/>
              <w:rPr>
                <w:sz w:val="1"/>
                <w:szCs w:val="1"/>
                <w:color w:val="auto"/>
              </w:rPr>
            </w:pPr>
          </w:p>
        </w:tc>
        <w:tc>
          <w:tcPr>
            <w:tcW w:w="860" w:type="dxa"/>
            <w:vAlign w:val="bottom"/>
            <w:tcBorders>
              <w:bottom w:val="single" w:sz="8" w:color="231F20"/>
            </w:tcBorders>
          </w:tcPr>
          <w:p>
            <w:pPr>
              <w:spacing w:after="0" w:line="20" w:lineRule="exact"/>
              <w:rPr>
                <w:sz w:val="1"/>
                <w:szCs w:val="1"/>
                <w:color w:val="auto"/>
              </w:rPr>
            </w:pPr>
          </w:p>
        </w:tc>
        <w:tc>
          <w:tcPr>
            <w:tcW w:w="840" w:type="dxa"/>
            <w:vAlign w:val="bottom"/>
            <w:tcBorders>
              <w:bottom w:val="single" w:sz="8" w:color="231F20"/>
            </w:tcBorders>
          </w:tcPr>
          <w:p>
            <w:pPr>
              <w:spacing w:after="0" w:line="20" w:lineRule="exact"/>
              <w:rPr>
                <w:sz w:val="1"/>
                <w:szCs w:val="1"/>
                <w:color w:val="auto"/>
              </w:rPr>
            </w:pPr>
          </w:p>
        </w:tc>
        <w:tc>
          <w:tcPr>
            <w:tcW w:w="200" w:type="dxa"/>
            <w:vAlign w:val="bottom"/>
            <w:tcBorders>
              <w:bottom w:val="single" w:sz="8" w:color="231F20"/>
            </w:tcBorders>
          </w:tcPr>
          <w:p>
            <w:pPr>
              <w:spacing w:after="0" w:line="20" w:lineRule="exact"/>
              <w:rPr>
                <w:sz w:val="1"/>
                <w:szCs w:val="1"/>
                <w:color w:val="auto"/>
              </w:rPr>
            </w:pPr>
          </w:p>
        </w:tc>
        <w:tc>
          <w:tcPr>
            <w:tcW w:w="1000" w:type="dxa"/>
            <w:vAlign w:val="bottom"/>
            <w:tcBorders>
              <w:bottom w:val="single" w:sz="8" w:color="231F20"/>
            </w:tcBorders>
          </w:tcPr>
          <w:p>
            <w:pPr>
              <w:spacing w:after="0" w:line="20" w:lineRule="exact"/>
              <w:rPr>
                <w:sz w:val="1"/>
                <w:szCs w:val="1"/>
                <w:color w:val="auto"/>
              </w:rPr>
            </w:pPr>
          </w:p>
        </w:tc>
        <w:tc>
          <w:tcPr>
            <w:tcW w:w="740" w:type="dxa"/>
            <w:vAlign w:val="bottom"/>
            <w:tcBorders>
              <w:bottom w:val="single" w:sz="8" w:color="231F20"/>
            </w:tcBorders>
          </w:tcPr>
          <w:p>
            <w:pPr>
              <w:spacing w:after="0" w:line="20" w:lineRule="exact"/>
              <w:rPr>
                <w:sz w:val="1"/>
                <w:szCs w:val="1"/>
                <w:color w:val="auto"/>
              </w:rPr>
            </w:pPr>
          </w:p>
        </w:tc>
        <w:tc>
          <w:tcPr>
            <w:tcW w:w="700" w:type="dxa"/>
            <w:vAlign w:val="bottom"/>
            <w:tcBorders>
              <w:bottom w:val="single" w:sz="8" w:color="231F20"/>
            </w:tcBorders>
          </w:tcPr>
          <w:p>
            <w:pPr>
              <w:spacing w:after="0" w:line="20" w:lineRule="exact"/>
              <w:rPr>
                <w:sz w:val="1"/>
                <w:szCs w:val="1"/>
                <w:color w:val="auto"/>
              </w:rPr>
            </w:pPr>
          </w:p>
        </w:tc>
        <w:tc>
          <w:tcPr>
            <w:tcW w:w="200" w:type="dxa"/>
            <w:vAlign w:val="bottom"/>
            <w:tcBorders>
              <w:bottom w:val="single" w:sz="8" w:color="231F20"/>
            </w:tcBorders>
          </w:tcPr>
          <w:p>
            <w:pPr>
              <w:spacing w:after="0" w:line="20" w:lineRule="exact"/>
              <w:rPr>
                <w:sz w:val="1"/>
                <w:szCs w:val="1"/>
                <w:color w:val="auto"/>
              </w:rPr>
            </w:pPr>
          </w:p>
        </w:tc>
        <w:tc>
          <w:tcPr>
            <w:tcW w:w="1360" w:type="dxa"/>
            <w:vAlign w:val="bottom"/>
            <w:tcBorders>
              <w:bottom w:val="single" w:sz="8" w:color="231F20"/>
            </w:tcBorders>
          </w:tcPr>
          <w:p>
            <w:pPr>
              <w:spacing w:after="0" w:line="20" w:lineRule="exact"/>
              <w:rPr>
                <w:sz w:val="1"/>
                <w:szCs w:val="1"/>
                <w:color w:val="auto"/>
              </w:rPr>
            </w:pPr>
          </w:p>
        </w:tc>
        <w:tc>
          <w:tcPr>
            <w:tcW w:w="1100" w:type="dxa"/>
            <w:vAlign w:val="bottom"/>
            <w:tcBorders>
              <w:bottom w:val="single" w:sz="8" w:color="231F20"/>
            </w:tcBorders>
          </w:tcPr>
          <w:p>
            <w:pPr>
              <w:spacing w:after="0" w:line="20" w:lineRule="exact"/>
              <w:rPr>
                <w:sz w:val="1"/>
                <w:szCs w:val="1"/>
                <w:color w:val="auto"/>
              </w:rPr>
            </w:pPr>
          </w:p>
        </w:tc>
        <w:tc>
          <w:tcPr>
            <w:tcW w:w="860" w:type="dxa"/>
            <w:vAlign w:val="bottom"/>
            <w:tcBorders>
              <w:bottom w:val="single" w:sz="8" w:color="231F20"/>
            </w:tcBorders>
          </w:tcPr>
          <w:p>
            <w:pPr>
              <w:spacing w:after="0" w:line="20" w:lineRule="exact"/>
              <w:rPr>
                <w:sz w:val="1"/>
                <w:szCs w:val="1"/>
                <w:color w:val="auto"/>
              </w:rPr>
            </w:pPr>
          </w:p>
        </w:tc>
        <w:tc>
          <w:tcPr>
            <w:tcW w:w="780" w:type="dxa"/>
            <w:vAlign w:val="bottom"/>
            <w:tcBorders>
              <w:bottom w:val="single" w:sz="8" w:color="231F20"/>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5"/>
        </w:trPr>
        <w:tc>
          <w:tcPr>
            <w:tcW w:w="780" w:type="dxa"/>
            <w:vAlign w:val="bottom"/>
          </w:tcPr>
          <w:p>
            <w:pPr>
              <w:spacing w:after="0"/>
              <w:rPr>
                <w:sz w:val="20"/>
                <w:szCs w:val="20"/>
                <w:color w:val="auto"/>
              </w:rPr>
            </w:pPr>
            <w:r>
              <w:rPr>
                <w:rFonts w:ascii="Arial" w:cs="Arial" w:eastAsia="Arial" w:hAnsi="Arial"/>
                <w:sz w:val="14"/>
                <w:szCs w:val="14"/>
                <w:b w:val="1"/>
                <w:bCs w:val="1"/>
                <w:color w:val="455986"/>
              </w:rPr>
              <w:t>Luning</w:t>
            </w:r>
          </w:p>
        </w:tc>
        <w:tc>
          <w:tcPr>
            <w:tcW w:w="860" w:type="dxa"/>
            <w:vAlign w:val="bottom"/>
            <w:gridSpan w:val="2"/>
          </w:tcPr>
          <w:p>
            <w:pPr>
              <w:jc w:val="right"/>
              <w:ind w:right="160"/>
              <w:spacing w:after="0"/>
              <w:rPr>
                <w:sz w:val="20"/>
                <w:szCs w:val="20"/>
                <w:color w:val="auto"/>
              </w:rPr>
            </w:pPr>
            <w:r>
              <w:rPr>
                <w:rFonts w:ascii="Arial" w:cs="Arial" w:eastAsia="Arial" w:hAnsi="Arial"/>
                <w:sz w:val="14"/>
                <w:szCs w:val="14"/>
                <w:color w:val="231F20"/>
              </w:rPr>
              <w:t>2/26/20</w:t>
            </w:r>
          </w:p>
        </w:tc>
        <w:tc>
          <w:tcPr>
            <w:tcW w:w="960" w:type="dxa"/>
            <w:vAlign w:val="bottom"/>
          </w:tcPr>
          <w:p>
            <w:pPr>
              <w:jc w:val="right"/>
              <w:ind w:right="75"/>
              <w:spacing w:after="0"/>
              <w:rPr>
                <w:sz w:val="20"/>
                <w:szCs w:val="20"/>
                <w:color w:val="auto"/>
              </w:rPr>
            </w:pPr>
            <w:r>
              <w:rPr>
                <w:rFonts w:ascii="Arial" w:cs="Arial" w:eastAsia="Arial" w:hAnsi="Arial"/>
                <w:sz w:val="14"/>
                <w:szCs w:val="14"/>
                <w:color w:val="231F20"/>
              </w:rPr>
              <w:t>115,705</w:t>
            </w:r>
          </w:p>
        </w:tc>
        <w:tc>
          <w:tcPr>
            <w:tcW w:w="860" w:type="dxa"/>
            <w:vAlign w:val="bottom"/>
          </w:tcPr>
          <w:p>
            <w:pPr>
              <w:jc w:val="right"/>
              <w:ind w:right="132"/>
              <w:spacing w:after="0"/>
              <w:rPr>
                <w:sz w:val="20"/>
                <w:szCs w:val="20"/>
                <w:color w:val="auto"/>
              </w:rPr>
            </w:pPr>
            <w:r>
              <w:rPr>
                <w:rFonts w:ascii="Arial" w:cs="Arial" w:eastAsia="Arial" w:hAnsi="Arial"/>
                <w:sz w:val="14"/>
                <w:szCs w:val="14"/>
                <w:color w:val="231F20"/>
              </w:rPr>
              <w:t>231,410</w:t>
            </w:r>
          </w:p>
        </w:tc>
        <w:tc>
          <w:tcPr>
            <w:tcW w:w="1040" w:type="dxa"/>
            <w:vAlign w:val="bottom"/>
            <w:gridSpan w:val="2"/>
          </w:tcPr>
          <w:p>
            <w:pPr>
              <w:jc w:val="right"/>
              <w:ind w:right="200"/>
              <w:spacing w:after="0"/>
              <w:rPr>
                <w:sz w:val="20"/>
                <w:szCs w:val="20"/>
                <w:color w:val="auto"/>
              </w:rPr>
            </w:pPr>
            <w:r>
              <w:rPr>
                <w:rFonts w:ascii="Arial" w:cs="Arial" w:eastAsia="Arial" w:hAnsi="Arial"/>
                <w:sz w:val="14"/>
                <w:szCs w:val="14"/>
                <w:color w:val="231F20"/>
              </w:rPr>
              <w:t>347,115</w:t>
            </w:r>
          </w:p>
        </w:tc>
        <w:tc>
          <w:tcPr>
            <w:tcW w:w="1000" w:type="dxa"/>
            <w:vAlign w:val="bottom"/>
          </w:tcPr>
          <w:p>
            <w:pPr>
              <w:jc w:val="right"/>
              <w:ind w:right="74"/>
              <w:spacing w:after="0"/>
              <w:rPr>
                <w:sz w:val="20"/>
                <w:szCs w:val="20"/>
                <w:color w:val="auto"/>
              </w:rPr>
            </w:pPr>
            <w:r>
              <w:rPr>
                <w:rFonts w:ascii="Arial" w:cs="Arial" w:eastAsia="Arial" w:hAnsi="Arial"/>
                <w:sz w:val="14"/>
                <w:szCs w:val="14"/>
                <w:color w:val="231F20"/>
              </w:rPr>
              <w:t>2,443</w:t>
            </w:r>
          </w:p>
        </w:tc>
        <w:tc>
          <w:tcPr>
            <w:tcW w:w="740" w:type="dxa"/>
            <w:vAlign w:val="bottom"/>
          </w:tcPr>
          <w:p>
            <w:pPr>
              <w:jc w:val="right"/>
              <w:ind w:right="91"/>
              <w:spacing w:after="0"/>
              <w:rPr>
                <w:sz w:val="20"/>
                <w:szCs w:val="20"/>
                <w:color w:val="auto"/>
              </w:rPr>
            </w:pPr>
            <w:r>
              <w:rPr>
                <w:rFonts w:ascii="Arial" w:cs="Arial" w:eastAsia="Arial" w:hAnsi="Arial"/>
                <w:sz w:val="14"/>
                <w:szCs w:val="14"/>
                <w:color w:val="231F20"/>
              </w:rPr>
              <w:t>4,885</w:t>
            </w:r>
          </w:p>
        </w:tc>
        <w:tc>
          <w:tcPr>
            <w:tcW w:w="900" w:type="dxa"/>
            <w:vAlign w:val="bottom"/>
            <w:gridSpan w:val="2"/>
          </w:tcPr>
          <w:p>
            <w:pPr>
              <w:jc w:val="right"/>
              <w:ind w:right="200"/>
              <w:spacing w:after="0"/>
              <w:rPr>
                <w:sz w:val="20"/>
                <w:szCs w:val="20"/>
                <w:color w:val="auto"/>
              </w:rPr>
            </w:pPr>
            <w:r>
              <w:rPr>
                <w:rFonts w:ascii="Arial" w:cs="Arial" w:eastAsia="Arial" w:hAnsi="Arial"/>
                <w:sz w:val="14"/>
                <w:szCs w:val="14"/>
                <w:color w:val="231F20"/>
              </w:rPr>
              <w:t>9,770</w:t>
            </w:r>
          </w:p>
        </w:tc>
        <w:tc>
          <w:tcPr>
            <w:tcW w:w="1360" w:type="dxa"/>
            <w:vAlign w:val="bottom"/>
          </w:tcPr>
          <w:p>
            <w:pPr>
              <w:jc w:val="right"/>
              <w:ind w:right="115"/>
              <w:spacing w:after="0"/>
              <w:rPr>
                <w:sz w:val="20"/>
                <w:szCs w:val="20"/>
                <w:color w:val="auto"/>
              </w:rPr>
            </w:pPr>
            <w:r>
              <w:rPr>
                <w:rFonts w:ascii="Arial" w:cs="Arial" w:eastAsia="Arial" w:hAnsi="Arial"/>
                <w:sz w:val="14"/>
                <w:szCs w:val="14"/>
                <w:color w:val="231F20"/>
              </w:rPr>
              <w:t>5,799</w:t>
            </w:r>
          </w:p>
        </w:tc>
        <w:tc>
          <w:tcPr>
            <w:tcW w:w="1100" w:type="dxa"/>
            <w:vAlign w:val="bottom"/>
          </w:tcPr>
          <w:p>
            <w:pPr>
              <w:jc w:val="right"/>
              <w:ind w:right="55"/>
              <w:spacing w:after="0"/>
              <w:rPr>
                <w:sz w:val="20"/>
                <w:szCs w:val="20"/>
                <w:color w:val="auto"/>
              </w:rPr>
            </w:pPr>
            <w:r>
              <w:rPr>
                <w:rFonts w:ascii="Arial" w:cs="Arial" w:eastAsia="Arial" w:hAnsi="Arial"/>
                <w:sz w:val="14"/>
                <w:szCs w:val="14"/>
                <w:color w:val="231F20"/>
              </w:rPr>
              <w:t>—</w:t>
            </w:r>
          </w:p>
        </w:tc>
        <w:tc>
          <w:tcPr>
            <w:tcW w:w="860" w:type="dxa"/>
            <w:vAlign w:val="bottom"/>
          </w:tcPr>
          <w:p>
            <w:pPr>
              <w:jc w:val="right"/>
              <w:ind w:right="74"/>
              <w:spacing w:after="0"/>
              <w:rPr>
                <w:sz w:val="20"/>
                <w:szCs w:val="20"/>
                <w:color w:val="auto"/>
              </w:rPr>
            </w:pPr>
            <w:r>
              <w:rPr>
                <w:rFonts w:ascii="Arial" w:cs="Arial" w:eastAsia="Arial" w:hAnsi="Arial"/>
                <w:sz w:val="14"/>
                <w:szCs w:val="14"/>
                <w:color w:val="231F20"/>
              </w:rPr>
              <w:t>—</w:t>
            </w:r>
          </w:p>
        </w:tc>
        <w:tc>
          <w:tcPr>
            <w:tcW w:w="780" w:type="dxa"/>
            <w:vAlign w:val="bottom"/>
          </w:tcPr>
          <w:p>
            <w:pPr>
              <w:jc w:val="right"/>
              <w:spacing w:after="0"/>
              <w:rPr>
                <w:sz w:val="20"/>
                <w:szCs w:val="20"/>
                <w:color w:val="auto"/>
              </w:rPr>
            </w:pPr>
            <w:r>
              <w:rPr>
                <w:rFonts w:ascii="Arial" w:cs="Arial" w:eastAsia="Arial" w:hAnsi="Arial"/>
                <w:sz w:val="14"/>
                <w:szCs w:val="14"/>
                <w:color w:val="231F20"/>
              </w:rPr>
              <w:t>513,176</w:t>
            </w:r>
          </w:p>
        </w:tc>
        <w:tc>
          <w:tcPr>
            <w:tcW w:w="0" w:type="dxa"/>
            <w:vAlign w:val="bottom"/>
          </w:tcPr>
          <w:p>
            <w:pPr>
              <w:spacing w:after="0"/>
              <w:rPr>
                <w:sz w:val="1"/>
                <w:szCs w:val="1"/>
                <w:color w:val="auto"/>
              </w:rPr>
            </w:pPr>
          </w:p>
        </w:tc>
      </w:tr>
      <w:tr>
        <w:trPr>
          <w:trHeight w:val="23"/>
        </w:trPr>
        <w:tc>
          <w:tcPr>
            <w:tcW w:w="780" w:type="dxa"/>
            <w:vAlign w:val="bottom"/>
            <w:tcBorders>
              <w:bottom w:val="single" w:sz="8" w:color="231F20"/>
            </w:tcBorders>
          </w:tcPr>
          <w:p>
            <w:pPr>
              <w:spacing w:after="0" w:line="20" w:lineRule="exact"/>
              <w:rPr>
                <w:sz w:val="1"/>
                <w:szCs w:val="1"/>
                <w:color w:val="auto"/>
              </w:rPr>
            </w:pPr>
          </w:p>
        </w:tc>
        <w:tc>
          <w:tcPr>
            <w:tcW w:w="680" w:type="dxa"/>
            <w:vAlign w:val="bottom"/>
            <w:tcBorders>
              <w:bottom w:val="single" w:sz="8" w:color="231F20"/>
            </w:tcBorders>
          </w:tcPr>
          <w:p>
            <w:pPr>
              <w:spacing w:after="0" w:line="20" w:lineRule="exact"/>
              <w:rPr>
                <w:sz w:val="1"/>
                <w:szCs w:val="1"/>
                <w:color w:val="auto"/>
              </w:rPr>
            </w:pPr>
          </w:p>
        </w:tc>
        <w:tc>
          <w:tcPr>
            <w:tcW w:w="180" w:type="dxa"/>
            <w:vAlign w:val="bottom"/>
            <w:tcBorders>
              <w:bottom w:val="single" w:sz="8" w:color="231F20"/>
            </w:tcBorders>
          </w:tcPr>
          <w:p>
            <w:pPr>
              <w:spacing w:after="0" w:line="20" w:lineRule="exact"/>
              <w:rPr>
                <w:sz w:val="1"/>
                <w:szCs w:val="1"/>
                <w:color w:val="auto"/>
              </w:rPr>
            </w:pPr>
          </w:p>
        </w:tc>
        <w:tc>
          <w:tcPr>
            <w:tcW w:w="960" w:type="dxa"/>
            <w:vAlign w:val="bottom"/>
            <w:tcBorders>
              <w:bottom w:val="single" w:sz="8" w:color="231F20"/>
            </w:tcBorders>
          </w:tcPr>
          <w:p>
            <w:pPr>
              <w:spacing w:after="0" w:line="20" w:lineRule="exact"/>
              <w:rPr>
                <w:sz w:val="1"/>
                <w:szCs w:val="1"/>
                <w:color w:val="auto"/>
              </w:rPr>
            </w:pPr>
          </w:p>
        </w:tc>
        <w:tc>
          <w:tcPr>
            <w:tcW w:w="860" w:type="dxa"/>
            <w:vAlign w:val="bottom"/>
            <w:tcBorders>
              <w:bottom w:val="single" w:sz="8" w:color="231F20"/>
            </w:tcBorders>
          </w:tcPr>
          <w:p>
            <w:pPr>
              <w:spacing w:after="0" w:line="20" w:lineRule="exact"/>
              <w:rPr>
                <w:sz w:val="1"/>
                <w:szCs w:val="1"/>
                <w:color w:val="auto"/>
              </w:rPr>
            </w:pPr>
          </w:p>
        </w:tc>
        <w:tc>
          <w:tcPr>
            <w:tcW w:w="840" w:type="dxa"/>
            <w:vAlign w:val="bottom"/>
            <w:tcBorders>
              <w:bottom w:val="single" w:sz="8" w:color="231F20"/>
            </w:tcBorders>
          </w:tcPr>
          <w:p>
            <w:pPr>
              <w:spacing w:after="0" w:line="20" w:lineRule="exact"/>
              <w:rPr>
                <w:sz w:val="1"/>
                <w:szCs w:val="1"/>
                <w:color w:val="auto"/>
              </w:rPr>
            </w:pPr>
          </w:p>
        </w:tc>
        <w:tc>
          <w:tcPr>
            <w:tcW w:w="200" w:type="dxa"/>
            <w:vAlign w:val="bottom"/>
            <w:tcBorders>
              <w:bottom w:val="single" w:sz="8" w:color="231F20"/>
            </w:tcBorders>
          </w:tcPr>
          <w:p>
            <w:pPr>
              <w:spacing w:after="0" w:line="20" w:lineRule="exact"/>
              <w:rPr>
                <w:sz w:val="1"/>
                <w:szCs w:val="1"/>
                <w:color w:val="auto"/>
              </w:rPr>
            </w:pPr>
          </w:p>
        </w:tc>
        <w:tc>
          <w:tcPr>
            <w:tcW w:w="1000" w:type="dxa"/>
            <w:vAlign w:val="bottom"/>
            <w:tcBorders>
              <w:bottom w:val="single" w:sz="8" w:color="231F20"/>
            </w:tcBorders>
          </w:tcPr>
          <w:p>
            <w:pPr>
              <w:spacing w:after="0" w:line="20" w:lineRule="exact"/>
              <w:rPr>
                <w:sz w:val="1"/>
                <w:szCs w:val="1"/>
                <w:color w:val="auto"/>
              </w:rPr>
            </w:pPr>
          </w:p>
        </w:tc>
        <w:tc>
          <w:tcPr>
            <w:tcW w:w="740" w:type="dxa"/>
            <w:vAlign w:val="bottom"/>
            <w:tcBorders>
              <w:bottom w:val="single" w:sz="8" w:color="231F20"/>
            </w:tcBorders>
          </w:tcPr>
          <w:p>
            <w:pPr>
              <w:spacing w:after="0" w:line="20" w:lineRule="exact"/>
              <w:rPr>
                <w:sz w:val="1"/>
                <w:szCs w:val="1"/>
                <w:color w:val="auto"/>
              </w:rPr>
            </w:pPr>
          </w:p>
        </w:tc>
        <w:tc>
          <w:tcPr>
            <w:tcW w:w="700" w:type="dxa"/>
            <w:vAlign w:val="bottom"/>
            <w:tcBorders>
              <w:bottom w:val="single" w:sz="8" w:color="231F20"/>
            </w:tcBorders>
          </w:tcPr>
          <w:p>
            <w:pPr>
              <w:spacing w:after="0" w:line="20" w:lineRule="exact"/>
              <w:rPr>
                <w:sz w:val="1"/>
                <w:szCs w:val="1"/>
                <w:color w:val="auto"/>
              </w:rPr>
            </w:pPr>
          </w:p>
        </w:tc>
        <w:tc>
          <w:tcPr>
            <w:tcW w:w="200" w:type="dxa"/>
            <w:vAlign w:val="bottom"/>
            <w:tcBorders>
              <w:bottom w:val="single" w:sz="8" w:color="231F20"/>
            </w:tcBorders>
          </w:tcPr>
          <w:p>
            <w:pPr>
              <w:spacing w:after="0" w:line="20" w:lineRule="exact"/>
              <w:rPr>
                <w:sz w:val="1"/>
                <w:szCs w:val="1"/>
                <w:color w:val="auto"/>
              </w:rPr>
            </w:pPr>
          </w:p>
        </w:tc>
        <w:tc>
          <w:tcPr>
            <w:tcW w:w="1360" w:type="dxa"/>
            <w:vAlign w:val="bottom"/>
            <w:tcBorders>
              <w:bottom w:val="single" w:sz="8" w:color="231F20"/>
            </w:tcBorders>
          </w:tcPr>
          <w:p>
            <w:pPr>
              <w:spacing w:after="0" w:line="20" w:lineRule="exact"/>
              <w:rPr>
                <w:sz w:val="1"/>
                <w:szCs w:val="1"/>
                <w:color w:val="auto"/>
              </w:rPr>
            </w:pPr>
          </w:p>
        </w:tc>
        <w:tc>
          <w:tcPr>
            <w:tcW w:w="1100" w:type="dxa"/>
            <w:vAlign w:val="bottom"/>
            <w:tcBorders>
              <w:bottom w:val="single" w:sz="8" w:color="231F20"/>
            </w:tcBorders>
          </w:tcPr>
          <w:p>
            <w:pPr>
              <w:spacing w:after="0" w:line="20" w:lineRule="exact"/>
              <w:rPr>
                <w:sz w:val="1"/>
                <w:szCs w:val="1"/>
                <w:color w:val="auto"/>
              </w:rPr>
            </w:pPr>
          </w:p>
        </w:tc>
        <w:tc>
          <w:tcPr>
            <w:tcW w:w="860" w:type="dxa"/>
            <w:vAlign w:val="bottom"/>
            <w:tcBorders>
              <w:bottom w:val="single" w:sz="8" w:color="231F20"/>
            </w:tcBorders>
          </w:tcPr>
          <w:p>
            <w:pPr>
              <w:spacing w:after="0" w:line="20" w:lineRule="exact"/>
              <w:rPr>
                <w:sz w:val="1"/>
                <w:szCs w:val="1"/>
                <w:color w:val="auto"/>
              </w:rPr>
            </w:pPr>
          </w:p>
        </w:tc>
        <w:tc>
          <w:tcPr>
            <w:tcW w:w="780" w:type="dxa"/>
            <w:vAlign w:val="bottom"/>
            <w:tcBorders>
              <w:bottom w:val="single" w:sz="8" w:color="231F20"/>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24" w:lineRule="exact"/>
        <w:rPr>
          <w:sz w:val="20"/>
          <w:szCs w:val="20"/>
          <w:color w:val="auto"/>
        </w:rPr>
      </w:pPr>
    </w:p>
    <w:p>
      <w:pPr>
        <w:ind w:left="200" w:right="560" w:hanging="198"/>
        <w:spacing w:after="0" w:line="260" w:lineRule="auto"/>
        <w:tabs>
          <w:tab w:leader="none" w:pos="200" w:val="left"/>
        </w:tabs>
        <w:numPr>
          <w:ilvl w:val="0"/>
          <w:numId w:val="132"/>
        </w:numPr>
        <w:rPr>
          <w:rFonts w:ascii="Arial" w:cs="Arial" w:eastAsia="Arial" w:hAnsi="Arial"/>
          <w:sz w:val="13"/>
          <w:szCs w:val="13"/>
          <w:color w:val="231F20"/>
        </w:rPr>
      </w:pPr>
      <w:r>
        <w:rPr>
          <w:rFonts w:ascii="Arial" w:cs="Arial" w:eastAsia="Arial" w:hAnsi="Arial"/>
          <w:sz w:val="13"/>
          <w:szCs w:val="13"/>
          <w:color w:val="231F20"/>
        </w:rPr>
        <w:t>The named executive officers’ Non-Equity Incentive Plan Awards are calculated based on the named executive officers’ current annual salary multiplied by the executive’s target incentive compensation percentage times the factors described on pages 52 through 54.</w:t>
      </w:r>
    </w:p>
    <w:p>
      <w:pPr>
        <w:spacing w:after="0" w:line="33" w:lineRule="exact"/>
        <w:rPr>
          <w:rFonts w:ascii="Arial" w:cs="Arial" w:eastAsia="Arial" w:hAnsi="Arial"/>
          <w:sz w:val="13"/>
          <w:szCs w:val="13"/>
          <w:color w:val="231F20"/>
        </w:rPr>
      </w:pPr>
    </w:p>
    <w:p>
      <w:pPr>
        <w:ind w:left="200" w:hanging="198"/>
        <w:spacing w:after="0"/>
        <w:tabs>
          <w:tab w:leader="none" w:pos="200" w:val="left"/>
        </w:tabs>
        <w:numPr>
          <w:ilvl w:val="0"/>
          <w:numId w:val="132"/>
        </w:numPr>
        <w:rPr>
          <w:rFonts w:ascii="Arial" w:cs="Arial" w:eastAsia="Arial" w:hAnsi="Arial"/>
          <w:sz w:val="13"/>
          <w:szCs w:val="13"/>
          <w:color w:val="231F20"/>
        </w:rPr>
      </w:pPr>
      <w:r>
        <w:rPr>
          <w:rFonts w:ascii="Arial" w:cs="Arial" w:eastAsia="Arial" w:hAnsi="Arial"/>
          <w:sz w:val="13"/>
          <w:szCs w:val="13"/>
          <w:color w:val="231F20"/>
        </w:rPr>
        <w:t>The Threshold Non-Equity Incentive Plan Award is based on the factors described on pages 52 through 54.</w:t>
      </w:r>
    </w:p>
    <w:p>
      <w:pPr>
        <w:spacing w:after="0" w:line="80" w:lineRule="exact"/>
        <w:rPr>
          <w:rFonts w:ascii="Arial" w:cs="Arial" w:eastAsia="Arial" w:hAnsi="Arial"/>
          <w:sz w:val="13"/>
          <w:szCs w:val="13"/>
          <w:color w:val="231F20"/>
        </w:rPr>
      </w:pPr>
    </w:p>
    <w:p>
      <w:pPr>
        <w:ind w:left="200" w:hanging="198"/>
        <w:spacing w:after="0"/>
        <w:tabs>
          <w:tab w:leader="none" w:pos="200" w:val="left"/>
        </w:tabs>
        <w:numPr>
          <w:ilvl w:val="0"/>
          <w:numId w:val="132"/>
        </w:numPr>
        <w:rPr>
          <w:rFonts w:ascii="Arial" w:cs="Arial" w:eastAsia="Arial" w:hAnsi="Arial"/>
          <w:sz w:val="13"/>
          <w:szCs w:val="13"/>
          <w:color w:val="231F20"/>
        </w:rPr>
      </w:pPr>
      <w:r>
        <w:rPr>
          <w:rFonts w:ascii="Arial" w:cs="Arial" w:eastAsia="Arial" w:hAnsi="Arial"/>
          <w:sz w:val="13"/>
          <w:szCs w:val="13"/>
          <w:color w:val="231F20"/>
        </w:rPr>
        <w:t>The Target Non-Equity Incentive Plan Award is based on the factors described on pages 52 through 54.</w:t>
      </w:r>
    </w:p>
    <w:p>
      <w:pPr>
        <w:spacing w:after="0" w:line="80" w:lineRule="exact"/>
        <w:rPr>
          <w:rFonts w:ascii="Arial" w:cs="Arial" w:eastAsia="Arial" w:hAnsi="Arial"/>
          <w:sz w:val="13"/>
          <w:szCs w:val="13"/>
          <w:color w:val="231F20"/>
        </w:rPr>
      </w:pPr>
    </w:p>
    <w:p>
      <w:pPr>
        <w:ind w:left="200" w:hanging="198"/>
        <w:spacing w:after="0"/>
        <w:tabs>
          <w:tab w:leader="none" w:pos="200" w:val="left"/>
        </w:tabs>
        <w:numPr>
          <w:ilvl w:val="0"/>
          <w:numId w:val="132"/>
        </w:numPr>
        <w:rPr>
          <w:rFonts w:ascii="Arial" w:cs="Arial" w:eastAsia="Arial" w:hAnsi="Arial"/>
          <w:sz w:val="13"/>
          <w:szCs w:val="13"/>
          <w:color w:val="231F20"/>
        </w:rPr>
      </w:pPr>
      <w:r>
        <w:rPr>
          <w:rFonts w:ascii="Arial" w:cs="Arial" w:eastAsia="Arial" w:hAnsi="Arial"/>
          <w:sz w:val="13"/>
          <w:szCs w:val="13"/>
          <w:color w:val="231F20"/>
        </w:rPr>
        <w:t>The Maximum Non-Equity Incentive Plan Award is based the factors described on pages 52 through 54.</w:t>
      </w:r>
    </w:p>
    <w:p>
      <w:pPr>
        <w:spacing w:after="0" w:line="67" w:lineRule="exact"/>
        <w:rPr>
          <w:rFonts w:ascii="Arial" w:cs="Arial" w:eastAsia="Arial" w:hAnsi="Arial"/>
          <w:sz w:val="13"/>
          <w:szCs w:val="13"/>
          <w:color w:val="231F20"/>
        </w:rPr>
      </w:pPr>
    </w:p>
    <w:p>
      <w:pPr>
        <w:ind w:left="200" w:right="100" w:hanging="198"/>
        <w:spacing w:after="0" w:line="302" w:lineRule="auto"/>
        <w:tabs>
          <w:tab w:leader="none" w:pos="200" w:val="left"/>
        </w:tabs>
        <w:numPr>
          <w:ilvl w:val="0"/>
          <w:numId w:val="132"/>
        </w:numPr>
        <w:rPr>
          <w:rFonts w:ascii="Arial" w:cs="Arial" w:eastAsia="Arial" w:hAnsi="Arial"/>
          <w:sz w:val="12"/>
          <w:szCs w:val="12"/>
          <w:color w:val="231F20"/>
        </w:rPr>
      </w:pPr>
      <w:r>
        <w:rPr>
          <w:rFonts w:ascii="Arial" w:cs="Arial" w:eastAsia="Arial" w:hAnsi="Arial"/>
          <w:sz w:val="12"/>
          <w:szCs w:val="12"/>
          <w:color w:val="231F20"/>
        </w:rPr>
        <w:t>The February 26, 2020 Equity Incentive Plan Awards in these columns are composed of performance-based stock units for the CEO, Mr. Franklin and service-based restricted stock unit grants to the named executive officers other than Mr. Franklin which vest on the third anniversary of the grant date as long as the named executive officer is providing service to the Company.</w:t>
      </w:r>
    </w:p>
    <w:p>
      <w:pPr>
        <w:spacing w:after="0" w:line="22" w:lineRule="exact"/>
        <w:rPr>
          <w:rFonts w:ascii="Arial" w:cs="Arial" w:eastAsia="Arial" w:hAnsi="Arial"/>
          <w:sz w:val="12"/>
          <w:szCs w:val="12"/>
          <w:color w:val="231F20"/>
        </w:rPr>
      </w:pPr>
    </w:p>
    <w:p>
      <w:pPr>
        <w:ind w:left="200" w:right="200" w:hanging="198"/>
        <w:spacing w:after="0" w:line="243" w:lineRule="auto"/>
        <w:tabs>
          <w:tab w:leader="none" w:pos="200" w:val="left"/>
        </w:tabs>
        <w:numPr>
          <w:ilvl w:val="0"/>
          <w:numId w:val="132"/>
        </w:numPr>
        <w:rPr>
          <w:rFonts w:ascii="Arial" w:cs="Arial" w:eastAsia="Arial" w:hAnsi="Arial"/>
          <w:sz w:val="13"/>
          <w:szCs w:val="13"/>
          <w:color w:val="231F20"/>
        </w:rPr>
      </w:pPr>
      <w:r>
        <w:rPr>
          <w:rFonts w:ascii="Arial" w:cs="Arial" w:eastAsia="Arial" w:hAnsi="Arial"/>
          <w:sz w:val="13"/>
          <w:szCs w:val="13"/>
          <w:color w:val="231F20"/>
        </w:rPr>
        <w:t>The grant date fair value of restricted stock unit awards and restricted stock is based on their fair market value on the date of grant as determined under FASB ASC Topic 718. The assumptions used in calculating the fair market value under FASB’s accounting standard for stock compensation are set forth in Note 14, Employee Stock and Incentive Plan contained in the Notes to Consolidated Financial Statements in the Company’s Annual Report on Form 10-K for the year ended December 31, 2020.</w:t>
      </w:r>
    </w:p>
    <w:p>
      <w:pPr>
        <w:spacing w:after="0" w:line="56" w:lineRule="exact"/>
        <w:rPr>
          <w:rFonts w:ascii="Arial" w:cs="Arial" w:eastAsia="Arial" w:hAnsi="Arial"/>
          <w:sz w:val="13"/>
          <w:szCs w:val="13"/>
          <w:color w:val="231F20"/>
        </w:rPr>
      </w:pPr>
    </w:p>
    <w:p>
      <w:pPr>
        <w:ind w:left="200" w:hanging="198"/>
        <w:spacing w:after="0"/>
        <w:tabs>
          <w:tab w:leader="none" w:pos="200" w:val="left"/>
        </w:tabs>
        <w:numPr>
          <w:ilvl w:val="0"/>
          <w:numId w:val="132"/>
        </w:numPr>
        <w:rPr>
          <w:rFonts w:ascii="Arial" w:cs="Arial" w:eastAsia="Arial" w:hAnsi="Arial"/>
          <w:sz w:val="13"/>
          <w:szCs w:val="13"/>
          <w:color w:val="231F20"/>
        </w:rPr>
      </w:pPr>
      <w:r>
        <w:rPr>
          <w:rFonts w:ascii="Arial" w:cs="Arial" w:eastAsia="Arial" w:hAnsi="Arial"/>
          <w:sz w:val="13"/>
          <w:szCs w:val="13"/>
          <w:color w:val="231F20"/>
        </w:rPr>
        <w:t>Represents one-time restricted stock awards.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118110</wp:posOffset>
            </wp:positionV>
            <wp:extent cx="7139940" cy="825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7139940" cy="8255"/>
                    </a:xfrm>
                    <a:prstGeom prst="rect">
                      <a:avLst/>
                    </a:prstGeom>
                    <a:noFill/>
                  </pic:spPr>
                </pic:pic>
              </a:graphicData>
            </a:graphic>
          </wp:anchor>
        </w:drawing>
      </w:r>
    </w:p>
    <w:p>
      <w:pPr>
        <w:spacing w:after="0" w:line="236" w:lineRule="exact"/>
        <w:rPr>
          <w:sz w:val="20"/>
          <w:szCs w:val="20"/>
          <w:color w:val="auto"/>
        </w:rPr>
      </w:pPr>
    </w:p>
    <w:p>
      <w:pPr>
        <w:ind w:left="300" w:hanging="298"/>
        <w:spacing w:after="0"/>
        <w:tabs>
          <w:tab w:leader="none" w:pos="300" w:val="left"/>
        </w:tabs>
        <w:numPr>
          <w:ilvl w:val="0"/>
          <w:numId w:val="133"/>
        </w:numPr>
        <w:rPr>
          <w:rFonts w:ascii="Arial" w:cs="Arial" w:eastAsia="Arial" w:hAnsi="Arial"/>
          <w:sz w:val="15"/>
          <w:szCs w:val="15"/>
          <w:color w:val="455986"/>
        </w:rPr>
      </w:pPr>
      <w:r>
        <w:rPr>
          <w:rFonts w:ascii="Arial" w:cs="Arial" w:eastAsia="Arial" w:hAnsi="Arial"/>
          <w:sz w:val="12"/>
          <w:szCs w:val="12"/>
          <w:color w:val="4395D4"/>
        </w:rPr>
        <w:t xml:space="preserve">ESSENTIAL UTILITIES, INC. </w:t>
      </w:r>
      <w:r>
        <w:rPr>
          <w:rFonts w:ascii="Arial" w:cs="Arial" w:eastAsia="Arial" w:hAnsi="Arial"/>
          <w:sz w:val="12"/>
          <w:szCs w:val="12"/>
          <w:color w:val="455986"/>
        </w:rPr>
        <w:t>2021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316230</wp:posOffset>
            </wp:positionV>
            <wp:extent cx="7139940" cy="2413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7139940" cy="24130"/>
                    </a:xfrm>
                    <a:prstGeom prst="rect">
                      <a:avLst/>
                    </a:prstGeom>
                    <a:noFill/>
                  </pic:spPr>
                </pic:pic>
              </a:graphicData>
            </a:graphic>
          </wp:anchor>
        </w:drawing>
      </w:r>
    </w:p>
    <w:p>
      <w:pPr>
        <w:sectPr>
          <w:pgSz w:w="11900" w:h="16838" w:orient="portrait"/>
          <w:cols w:equalWidth="0" w:num="1">
            <w:col w:w="11240"/>
          </w:cols>
          <w:pgMar w:left="320" w:top="636" w:right="339" w:bottom="1440" w:gutter="0" w:footer="0" w:header="0"/>
        </w:sectPr>
      </w:pPr>
    </w:p>
    <w:bookmarkStart w:id="75" w:name="page76"/>
    <w:bookmarkEnd w:id="75"/>
    <w:p>
      <w:pPr>
        <w:spacing w:after="0"/>
        <w:rPr>
          <w:sz w:val="20"/>
          <w:szCs w:val="20"/>
          <w:color w:val="auto"/>
        </w:rPr>
      </w:pPr>
      <w:r>
        <w:rPr>
          <w:rFonts w:ascii="Arial" w:cs="Arial" w:eastAsia="Arial" w:hAnsi="Arial"/>
          <w:sz w:val="14"/>
          <w:szCs w:val="14"/>
          <w:b w:val="1"/>
          <w:bCs w:val="1"/>
          <w:color w:val="455986"/>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27940</wp:posOffset>
            </wp:positionV>
            <wp:extent cx="7139940" cy="825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7139940" cy="8255"/>
                    </a:xfrm>
                    <a:prstGeom prst="rect">
                      <a:avLst/>
                    </a:prstGeom>
                    <a:noFill/>
                  </pic:spPr>
                </pic:pic>
              </a:graphicData>
            </a:graphic>
          </wp:anchor>
        </w:drawing>
      </w:r>
    </w:p>
    <w:p>
      <w:pPr>
        <w:spacing w:after="0" w:line="245" w:lineRule="exact"/>
        <w:rPr>
          <w:sz w:val="20"/>
          <w:szCs w:val="20"/>
          <w:color w:val="auto"/>
        </w:rPr>
      </w:pPr>
    </w:p>
    <w:p>
      <w:pPr>
        <w:spacing w:after="0"/>
        <w:rPr>
          <w:sz w:val="20"/>
          <w:szCs w:val="20"/>
          <w:color w:val="auto"/>
        </w:rPr>
      </w:pPr>
      <w:r>
        <w:rPr>
          <w:rFonts w:ascii="Arial" w:cs="Arial" w:eastAsia="Arial" w:hAnsi="Arial"/>
          <w:sz w:val="20"/>
          <w:szCs w:val="20"/>
          <w:b w:val="1"/>
          <w:bCs w:val="1"/>
          <w:color w:val="231F20"/>
        </w:rPr>
        <w:t>Outstanding Equity Awards at Fiscal Year-End</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1140" w:type="dxa"/>
            <w:vAlign w:val="bottom"/>
          </w:tcPr>
          <w:p>
            <w:pPr>
              <w:spacing w:after="0"/>
              <w:rPr>
                <w:sz w:val="14"/>
                <w:szCs w:val="14"/>
                <w:color w:val="auto"/>
              </w:rPr>
            </w:pPr>
          </w:p>
        </w:tc>
        <w:tc>
          <w:tcPr>
            <w:tcW w:w="1400" w:type="dxa"/>
            <w:vAlign w:val="bottom"/>
            <w:tcBorders>
              <w:bottom w:val="single" w:sz="8" w:color="4395D4"/>
            </w:tcBorders>
          </w:tcPr>
          <w:p>
            <w:pPr>
              <w:spacing w:after="0"/>
              <w:rPr>
                <w:sz w:val="14"/>
                <w:szCs w:val="14"/>
                <w:color w:val="auto"/>
              </w:rPr>
            </w:pPr>
          </w:p>
        </w:tc>
        <w:tc>
          <w:tcPr>
            <w:tcW w:w="1580" w:type="dxa"/>
            <w:vAlign w:val="bottom"/>
            <w:tcBorders>
              <w:bottom w:val="single" w:sz="8" w:color="4395D4"/>
            </w:tcBorders>
            <w:gridSpan w:val="2"/>
          </w:tcPr>
          <w:p>
            <w:pPr>
              <w:ind w:left="580"/>
              <w:spacing w:after="0"/>
              <w:rPr>
                <w:sz w:val="20"/>
                <w:szCs w:val="20"/>
                <w:color w:val="auto"/>
              </w:rPr>
            </w:pPr>
            <w:r>
              <w:rPr>
                <w:rFonts w:ascii="Arial" w:cs="Arial" w:eastAsia="Arial" w:hAnsi="Arial"/>
                <w:sz w:val="14"/>
                <w:szCs w:val="14"/>
                <w:color w:val="455986"/>
              </w:rPr>
              <w:t>Option Awards</w:t>
            </w:r>
          </w:p>
        </w:tc>
        <w:tc>
          <w:tcPr>
            <w:tcW w:w="940" w:type="dxa"/>
            <w:vAlign w:val="bottom"/>
            <w:tcBorders>
              <w:bottom w:val="single" w:sz="8" w:color="4395D4"/>
            </w:tcBorders>
          </w:tcPr>
          <w:p>
            <w:pPr>
              <w:spacing w:after="0"/>
              <w:rPr>
                <w:sz w:val="14"/>
                <w:szCs w:val="14"/>
                <w:color w:val="auto"/>
              </w:rPr>
            </w:pPr>
          </w:p>
        </w:tc>
        <w:tc>
          <w:tcPr>
            <w:tcW w:w="1220" w:type="dxa"/>
            <w:vAlign w:val="bottom"/>
            <w:tcBorders>
              <w:bottom w:val="single" w:sz="8" w:color="4395D4"/>
            </w:tcBorders>
          </w:tcPr>
          <w:p>
            <w:pPr>
              <w:spacing w:after="0"/>
              <w:rPr>
                <w:sz w:val="14"/>
                <w:szCs w:val="14"/>
                <w:color w:val="auto"/>
              </w:rPr>
            </w:pPr>
          </w:p>
        </w:tc>
        <w:tc>
          <w:tcPr>
            <w:tcW w:w="1180" w:type="dxa"/>
            <w:vAlign w:val="bottom"/>
            <w:tcBorders>
              <w:bottom w:val="single" w:sz="8" w:color="4395D4"/>
            </w:tcBorders>
          </w:tcPr>
          <w:p>
            <w:pPr>
              <w:spacing w:after="0"/>
              <w:rPr>
                <w:sz w:val="14"/>
                <w:szCs w:val="14"/>
                <w:color w:val="auto"/>
              </w:rPr>
            </w:pPr>
          </w:p>
        </w:tc>
        <w:tc>
          <w:tcPr>
            <w:tcW w:w="560" w:type="dxa"/>
            <w:vAlign w:val="bottom"/>
            <w:tcBorders>
              <w:bottom w:val="single" w:sz="8" w:color="4395D4"/>
            </w:tcBorders>
          </w:tcPr>
          <w:p>
            <w:pPr>
              <w:spacing w:after="0"/>
              <w:rPr>
                <w:sz w:val="14"/>
                <w:szCs w:val="14"/>
                <w:color w:val="auto"/>
              </w:rPr>
            </w:pPr>
          </w:p>
        </w:tc>
        <w:tc>
          <w:tcPr>
            <w:tcW w:w="2040" w:type="dxa"/>
            <w:vAlign w:val="bottom"/>
            <w:tcBorders>
              <w:bottom w:val="single" w:sz="8" w:color="4395D4"/>
            </w:tcBorders>
            <w:gridSpan w:val="2"/>
          </w:tcPr>
          <w:p>
            <w:pPr>
              <w:jc w:val="right"/>
              <w:ind w:right="793"/>
              <w:spacing w:after="0"/>
              <w:rPr>
                <w:sz w:val="20"/>
                <w:szCs w:val="20"/>
                <w:color w:val="auto"/>
              </w:rPr>
            </w:pPr>
            <w:r>
              <w:rPr>
                <w:rFonts w:ascii="Arial" w:cs="Arial" w:eastAsia="Arial" w:hAnsi="Arial"/>
                <w:sz w:val="14"/>
                <w:szCs w:val="14"/>
                <w:color w:val="455986"/>
              </w:rPr>
              <w:t>Stock Awards</w:t>
            </w:r>
          </w:p>
        </w:tc>
        <w:tc>
          <w:tcPr>
            <w:tcW w:w="580" w:type="dxa"/>
            <w:vAlign w:val="bottom"/>
            <w:tcBorders>
              <w:bottom w:val="single" w:sz="8" w:color="4395D4"/>
            </w:tcBorders>
          </w:tcPr>
          <w:p>
            <w:pPr>
              <w:spacing w:after="0"/>
              <w:rPr>
                <w:sz w:val="14"/>
                <w:szCs w:val="14"/>
                <w:color w:val="auto"/>
              </w:rPr>
            </w:pPr>
          </w:p>
        </w:tc>
        <w:tc>
          <w:tcPr>
            <w:tcW w:w="600" w:type="dxa"/>
            <w:vAlign w:val="bottom"/>
            <w:tcBorders>
              <w:bottom w:val="single" w:sz="8" w:color="4395D4"/>
            </w:tcBorders>
          </w:tcPr>
          <w:p>
            <w:pPr>
              <w:spacing w:after="0"/>
              <w:rPr>
                <w:sz w:val="14"/>
                <w:szCs w:val="14"/>
                <w:color w:val="auto"/>
              </w:rPr>
            </w:pPr>
          </w:p>
        </w:tc>
        <w:tc>
          <w:tcPr>
            <w:tcW w:w="20" w:type="dxa"/>
            <w:vAlign w:val="bottom"/>
          </w:tcPr>
          <w:p>
            <w:pPr>
              <w:spacing w:after="0"/>
              <w:rPr>
                <w:sz w:val="14"/>
                <w:szCs w:val="14"/>
                <w:color w:val="auto"/>
              </w:rPr>
            </w:pPr>
          </w:p>
        </w:tc>
      </w:tr>
      <w:tr>
        <w:trPr>
          <w:trHeight w:val="134"/>
        </w:trPr>
        <w:tc>
          <w:tcPr>
            <w:tcW w:w="114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320" w:type="dxa"/>
            <w:vAlign w:val="bottom"/>
          </w:tcPr>
          <w:p>
            <w:pPr>
              <w:jc w:val="right"/>
              <w:ind w:right="93"/>
              <w:spacing w:after="0" w:line="135" w:lineRule="exact"/>
              <w:rPr>
                <w:sz w:val="20"/>
                <w:szCs w:val="20"/>
                <w:color w:val="auto"/>
              </w:rPr>
            </w:pPr>
            <w:r>
              <w:rPr>
                <w:rFonts w:ascii="Arial" w:cs="Arial" w:eastAsia="Arial" w:hAnsi="Arial"/>
                <w:sz w:val="14"/>
                <w:szCs w:val="14"/>
                <w:color w:val="455986"/>
              </w:rPr>
              <w:t>Equity</w:t>
            </w:r>
          </w:p>
        </w:tc>
        <w:tc>
          <w:tcPr>
            <w:tcW w:w="1180" w:type="dxa"/>
            <w:vAlign w:val="bottom"/>
            <w:gridSpan w:val="2"/>
          </w:tcPr>
          <w:p>
            <w:pPr>
              <w:jc w:val="right"/>
              <w:spacing w:after="0" w:line="135" w:lineRule="exact"/>
              <w:rPr>
                <w:sz w:val="20"/>
                <w:szCs w:val="20"/>
                <w:color w:val="auto"/>
              </w:rPr>
            </w:pPr>
            <w:r>
              <w:rPr>
                <w:rFonts w:ascii="Arial" w:cs="Arial" w:eastAsia="Arial" w:hAnsi="Arial"/>
                <w:sz w:val="14"/>
                <w:szCs w:val="14"/>
                <w:color w:val="455986"/>
              </w:rPr>
              <w:t>Equity Incentive</w:t>
            </w:r>
          </w:p>
        </w:tc>
        <w:tc>
          <w:tcPr>
            <w:tcW w:w="20" w:type="dxa"/>
            <w:vAlign w:val="bottom"/>
          </w:tcPr>
          <w:p>
            <w:pPr>
              <w:spacing w:after="0"/>
              <w:rPr>
                <w:sz w:val="11"/>
                <w:szCs w:val="11"/>
                <w:color w:val="auto"/>
              </w:rPr>
            </w:pPr>
          </w:p>
        </w:tc>
      </w:tr>
      <w:tr>
        <w:trPr>
          <w:trHeight w:val="153"/>
        </w:trPr>
        <w:tc>
          <w:tcPr>
            <w:tcW w:w="114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320" w:type="dxa"/>
            <w:vAlign w:val="bottom"/>
          </w:tcPr>
          <w:p>
            <w:pPr>
              <w:jc w:val="right"/>
              <w:ind w:right="93"/>
              <w:spacing w:after="0" w:line="153" w:lineRule="exact"/>
              <w:rPr>
                <w:sz w:val="20"/>
                <w:szCs w:val="20"/>
                <w:color w:val="auto"/>
              </w:rPr>
            </w:pPr>
            <w:r>
              <w:rPr>
                <w:rFonts w:ascii="Arial" w:cs="Arial" w:eastAsia="Arial" w:hAnsi="Arial"/>
                <w:sz w:val="14"/>
                <w:szCs w:val="14"/>
                <w:color w:val="455986"/>
              </w:rPr>
              <w:t>Incentive Plan</w:t>
            </w:r>
          </w:p>
        </w:tc>
        <w:tc>
          <w:tcPr>
            <w:tcW w:w="1200" w:type="dxa"/>
            <w:vAlign w:val="bottom"/>
            <w:gridSpan w:val="3"/>
          </w:tcPr>
          <w:p>
            <w:pPr>
              <w:jc w:val="right"/>
              <w:ind w:right="20"/>
              <w:spacing w:after="0" w:line="153" w:lineRule="exact"/>
              <w:rPr>
                <w:sz w:val="20"/>
                <w:szCs w:val="20"/>
                <w:color w:val="auto"/>
              </w:rPr>
            </w:pPr>
            <w:r>
              <w:rPr>
                <w:rFonts w:ascii="Arial" w:cs="Arial" w:eastAsia="Arial" w:hAnsi="Arial"/>
                <w:sz w:val="14"/>
                <w:szCs w:val="14"/>
                <w:color w:val="455986"/>
              </w:rPr>
              <w:t>Plan Awards:</w:t>
            </w:r>
          </w:p>
        </w:tc>
      </w:tr>
      <w:tr>
        <w:trPr>
          <w:trHeight w:val="153"/>
        </w:trPr>
        <w:tc>
          <w:tcPr>
            <w:tcW w:w="114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320" w:type="dxa"/>
            <w:vAlign w:val="bottom"/>
          </w:tcPr>
          <w:p>
            <w:pPr>
              <w:jc w:val="right"/>
              <w:ind w:right="93"/>
              <w:spacing w:after="0" w:line="153" w:lineRule="exact"/>
              <w:rPr>
                <w:sz w:val="20"/>
                <w:szCs w:val="20"/>
                <w:color w:val="auto"/>
              </w:rPr>
            </w:pPr>
            <w:r>
              <w:rPr>
                <w:rFonts w:ascii="Arial" w:cs="Arial" w:eastAsia="Arial" w:hAnsi="Arial"/>
                <w:sz w:val="14"/>
                <w:szCs w:val="14"/>
                <w:color w:val="455986"/>
              </w:rPr>
              <w:t>Awards:</w:t>
            </w:r>
          </w:p>
        </w:tc>
        <w:tc>
          <w:tcPr>
            <w:tcW w:w="1200" w:type="dxa"/>
            <w:vAlign w:val="bottom"/>
            <w:gridSpan w:val="3"/>
          </w:tcPr>
          <w:p>
            <w:pPr>
              <w:jc w:val="right"/>
              <w:ind w:right="20"/>
              <w:spacing w:after="0" w:line="153" w:lineRule="exact"/>
              <w:rPr>
                <w:sz w:val="20"/>
                <w:szCs w:val="20"/>
                <w:color w:val="auto"/>
              </w:rPr>
            </w:pPr>
            <w:r>
              <w:rPr>
                <w:rFonts w:ascii="Arial" w:cs="Arial" w:eastAsia="Arial" w:hAnsi="Arial"/>
                <w:sz w:val="14"/>
                <w:szCs w:val="14"/>
                <w:color w:val="455986"/>
              </w:rPr>
              <w:t>Market or Payout</w:t>
            </w:r>
          </w:p>
        </w:tc>
      </w:tr>
      <w:tr>
        <w:trPr>
          <w:trHeight w:val="153"/>
        </w:trPr>
        <w:tc>
          <w:tcPr>
            <w:tcW w:w="114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180" w:type="dxa"/>
            <w:vAlign w:val="bottom"/>
          </w:tcPr>
          <w:p>
            <w:pPr>
              <w:jc w:val="right"/>
              <w:ind w:right="172"/>
              <w:spacing w:after="0" w:line="153" w:lineRule="exact"/>
              <w:rPr>
                <w:sz w:val="20"/>
                <w:szCs w:val="20"/>
                <w:color w:val="auto"/>
              </w:rPr>
            </w:pPr>
            <w:r>
              <w:rPr>
                <w:rFonts w:ascii="Arial" w:cs="Arial" w:eastAsia="Arial" w:hAnsi="Arial"/>
                <w:sz w:val="14"/>
                <w:szCs w:val="14"/>
                <w:color w:val="455986"/>
              </w:rPr>
              <w:t>Number of</w:t>
            </w:r>
          </w:p>
        </w:tc>
        <w:tc>
          <w:tcPr>
            <w:tcW w:w="5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320" w:type="dxa"/>
            <w:vAlign w:val="bottom"/>
          </w:tcPr>
          <w:p>
            <w:pPr>
              <w:jc w:val="right"/>
              <w:ind w:right="93"/>
              <w:spacing w:after="0" w:line="153" w:lineRule="exact"/>
              <w:rPr>
                <w:sz w:val="20"/>
                <w:szCs w:val="20"/>
                <w:color w:val="auto"/>
              </w:rPr>
            </w:pPr>
            <w:r>
              <w:rPr>
                <w:rFonts w:ascii="Arial" w:cs="Arial" w:eastAsia="Arial" w:hAnsi="Arial"/>
                <w:sz w:val="14"/>
                <w:szCs w:val="14"/>
                <w:color w:val="455986"/>
              </w:rPr>
              <w:t>Number of</w:t>
            </w:r>
          </w:p>
        </w:tc>
        <w:tc>
          <w:tcPr>
            <w:tcW w:w="580" w:type="dxa"/>
            <w:vAlign w:val="bottom"/>
          </w:tcPr>
          <w:p>
            <w:pPr>
              <w:spacing w:after="0"/>
              <w:rPr>
                <w:sz w:val="13"/>
                <w:szCs w:val="13"/>
                <w:color w:val="auto"/>
              </w:rPr>
            </w:pPr>
          </w:p>
        </w:tc>
        <w:tc>
          <w:tcPr>
            <w:tcW w:w="620" w:type="dxa"/>
            <w:vAlign w:val="bottom"/>
            <w:gridSpan w:val="2"/>
          </w:tcPr>
          <w:p>
            <w:pPr>
              <w:jc w:val="right"/>
              <w:ind w:right="20"/>
              <w:spacing w:after="0" w:line="153" w:lineRule="exact"/>
              <w:rPr>
                <w:sz w:val="20"/>
                <w:szCs w:val="20"/>
                <w:color w:val="auto"/>
              </w:rPr>
            </w:pPr>
            <w:r>
              <w:rPr>
                <w:rFonts w:ascii="Arial" w:cs="Arial" w:eastAsia="Arial" w:hAnsi="Arial"/>
                <w:sz w:val="14"/>
                <w:szCs w:val="14"/>
                <w:color w:val="455986"/>
              </w:rPr>
              <w:t>Value of</w:t>
            </w:r>
          </w:p>
        </w:tc>
      </w:tr>
      <w:tr>
        <w:trPr>
          <w:trHeight w:val="153"/>
        </w:trPr>
        <w:tc>
          <w:tcPr>
            <w:tcW w:w="114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180" w:type="dxa"/>
            <w:vAlign w:val="bottom"/>
          </w:tcPr>
          <w:p>
            <w:pPr>
              <w:jc w:val="right"/>
              <w:ind w:right="172"/>
              <w:spacing w:after="0" w:line="153" w:lineRule="exact"/>
              <w:rPr>
                <w:sz w:val="20"/>
                <w:szCs w:val="20"/>
                <w:color w:val="auto"/>
              </w:rPr>
            </w:pPr>
            <w:r>
              <w:rPr>
                <w:rFonts w:ascii="Arial" w:cs="Arial" w:eastAsia="Arial" w:hAnsi="Arial"/>
                <w:sz w:val="14"/>
                <w:szCs w:val="14"/>
                <w:color w:val="455986"/>
              </w:rPr>
              <w:t>Shares or</w:t>
            </w:r>
          </w:p>
        </w:tc>
        <w:tc>
          <w:tcPr>
            <w:tcW w:w="1280" w:type="dxa"/>
            <w:vAlign w:val="bottom"/>
            <w:gridSpan w:val="2"/>
          </w:tcPr>
          <w:p>
            <w:pPr>
              <w:jc w:val="right"/>
              <w:ind w:right="112"/>
              <w:spacing w:after="0" w:line="153" w:lineRule="exact"/>
              <w:rPr>
                <w:sz w:val="20"/>
                <w:szCs w:val="20"/>
                <w:color w:val="auto"/>
              </w:rPr>
            </w:pPr>
            <w:r>
              <w:rPr>
                <w:rFonts w:ascii="Arial" w:cs="Arial" w:eastAsia="Arial" w:hAnsi="Arial"/>
                <w:sz w:val="14"/>
                <w:szCs w:val="14"/>
                <w:color w:val="455986"/>
              </w:rPr>
              <w:t>Market Value</w:t>
            </w:r>
          </w:p>
        </w:tc>
        <w:tc>
          <w:tcPr>
            <w:tcW w:w="1320" w:type="dxa"/>
            <w:vAlign w:val="bottom"/>
          </w:tcPr>
          <w:p>
            <w:pPr>
              <w:jc w:val="right"/>
              <w:ind w:right="93"/>
              <w:spacing w:after="0" w:line="153" w:lineRule="exact"/>
              <w:rPr>
                <w:sz w:val="20"/>
                <w:szCs w:val="20"/>
                <w:color w:val="auto"/>
              </w:rPr>
            </w:pPr>
            <w:r>
              <w:rPr>
                <w:rFonts w:ascii="Arial" w:cs="Arial" w:eastAsia="Arial" w:hAnsi="Arial"/>
                <w:sz w:val="14"/>
                <w:szCs w:val="14"/>
                <w:color w:val="455986"/>
              </w:rPr>
              <w:t>Unearned</w:t>
            </w:r>
          </w:p>
        </w:tc>
        <w:tc>
          <w:tcPr>
            <w:tcW w:w="580" w:type="dxa"/>
            <w:vAlign w:val="bottom"/>
          </w:tcPr>
          <w:p>
            <w:pPr>
              <w:spacing w:after="0"/>
              <w:rPr>
                <w:sz w:val="13"/>
                <w:szCs w:val="13"/>
                <w:color w:val="auto"/>
              </w:rPr>
            </w:pPr>
          </w:p>
        </w:tc>
        <w:tc>
          <w:tcPr>
            <w:tcW w:w="620" w:type="dxa"/>
            <w:vAlign w:val="bottom"/>
            <w:gridSpan w:val="2"/>
          </w:tcPr>
          <w:p>
            <w:pPr>
              <w:jc w:val="right"/>
              <w:ind w:right="20"/>
              <w:spacing w:after="0" w:line="153" w:lineRule="exact"/>
              <w:rPr>
                <w:sz w:val="20"/>
                <w:szCs w:val="20"/>
                <w:color w:val="auto"/>
              </w:rPr>
            </w:pPr>
            <w:r>
              <w:rPr>
                <w:rFonts w:ascii="Arial" w:cs="Arial" w:eastAsia="Arial" w:hAnsi="Arial"/>
                <w:sz w:val="14"/>
                <w:szCs w:val="14"/>
                <w:color w:val="455986"/>
                <w:w w:val="94"/>
              </w:rPr>
              <w:t>Unearned</w:t>
            </w:r>
          </w:p>
        </w:tc>
      </w:tr>
      <w:tr>
        <w:trPr>
          <w:trHeight w:val="153"/>
        </w:trPr>
        <w:tc>
          <w:tcPr>
            <w:tcW w:w="114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180" w:type="dxa"/>
            <w:vAlign w:val="bottom"/>
          </w:tcPr>
          <w:p>
            <w:pPr>
              <w:jc w:val="right"/>
              <w:ind w:right="172"/>
              <w:spacing w:after="0" w:line="153" w:lineRule="exact"/>
              <w:rPr>
                <w:sz w:val="20"/>
                <w:szCs w:val="20"/>
                <w:color w:val="auto"/>
              </w:rPr>
            </w:pPr>
            <w:r>
              <w:rPr>
                <w:rFonts w:ascii="Arial" w:cs="Arial" w:eastAsia="Arial" w:hAnsi="Arial"/>
                <w:sz w:val="14"/>
                <w:szCs w:val="14"/>
                <w:color w:val="455986"/>
              </w:rPr>
              <w:t>Units of</w:t>
            </w:r>
          </w:p>
        </w:tc>
        <w:tc>
          <w:tcPr>
            <w:tcW w:w="1280" w:type="dxa"/>
            <w:vAlign w:val="bottom"/>
            <w:gridSpan w:val="2"/>
          </w:tcPr>
          <w:p>
            <w:pPr>
              <w:jc w:val="right"/>
              <w:ind w:right="112"/>
              <w:spacing w:after="0" w:line="153" w:lineRule="exact"/>
              <w:rPr>
                <w:sz w:val="20"/>
                <w:szCs w:val="20"/>
                <w:color w:val="auto"/>
              </w:rPr>
            </w:pPr>
            <w:r>
              <w:rPr>
                <w:rFonts w:ascii="Arial" w:cs="Arial" w:eastAsia="Arial" w:hAnsi="Arial"/>
                <w:sz w:val="14"/>
                <w:szCs w:val="14"/>
                <w:color w:val="455986"/>
              </w:rPr>
              <w:t>of Shares or</w:t>
            </w:r>
          </w:p>
        </w:tc>
        <w:tc>
          <w:tcPr>
            <w:tcW w:w="1320" w:type="dxa"/>
            <w:vAlign w:val="bottom"/>
          </w:tcPr>
          <w:p>
            <w:pPr>
              <w:jc w:val="right"/>
              <w:ind w:right="93"/>
              <w:spacing w:after="0" w:line="153" w:lineRule="exact"/>
              <w:rPr>
                <w:sz w:val="20"/>
                <w:szCs w:val="20"/>
                <w:color w:val="auto"/>
              </w:rPr>
            </w:pPr>
            <w:r>
              <w:rPr>
                <w:rFonts w:ascii="Arial" w:cs="Arial" w:eastAsia="Arial" w:hAnsi="Arial"/>
                <w:sz w:val="14"/>
                <w:szCs w:val="14"/>
                <w:color w:val="455986"/>
              </w:rPr>
              <w:t>Shares, Units or</w:t>
            </w:r>
          </w:p>
        </w:tc>
        <w:tc>
          <w:tcPr>
            <w:tcW w:w="1200" w:type="dxa"/>
            <w:vAlign w:val="bottom"/>
            <w:gridSpan w:val="3"/>
          </w:tcPr>
          <w:p>
            <w:pPr>
              <w:jc w:val="right"/>
              <w:ind w:right="60"/>
              <w:spacing w:after="0" w:line="153" w:lineRule="exact"/>
              <w:rPr>
                <w:sz w:val="20"/>
                <w:szCs w:val="20"/>
                <w:color w:val="auto"/>
              </w:rPr>
            </w:pPr>
            <w:r>
              <w:rPr>
                <w:rFonts w:ascii="Arial" w:cs="Arial" w:eastAsia="Arial" w:hAnsi="Arial"/>
                <w:sz w:val="14"/>
                <w:szCs w:val="14"/>
                <w:color w:val="455986"/>
              </w:rPr>
              <w:t>Shares, Units or</w:t>
            </w:r>
          </w:p>
        </w:tc>
      </w:tr>
      <w:tr>
        <w:trPr>
          <w:trHeight w:val="153"/>
        </w:trPr>
        <w:tc>
          <w:tcPr>
            <w:tcW w:w="114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940" w:type="dxa"/>
            <w:vAlign w:val="bottom"/>
          </w:tcPr>
          <w:p>
            <w:pPr>
              <w:jc w:val="right"/>
              <w:ind w:right="252"/>
              <w:spacing w:after="0" w:line="153" w:lineRule="exact"/>
              <w:rPr>
                <w:sz w:val="20"/>
                <w:szCs w:val="20"/>
                <w:color w:val="auto"/>
              </w:rPr>
            </w:pPr>
            <w:r>
              <w:rPr>
                <w:rFonts w:ascii="Arial" w:cs="Arial" w:eastAsia="Arial" w:hAnsi="Arial"/>
                <w:sz w:val="14"/>
                <w:szCs w:val="14"/>
                <w:color w:val="455986"/>
              </w:rPr>
              <w:t>Option</w:t>
            </w:r>
          </w:p>
        </w:tc>
        <w:tc>
          <w:tcPr>
            <w:tcW w:w="1220" w:type="dxa"/>
            <w:vAlign w:val="bottom"/>
          </w:tcPr>
          <w:p>
            <w:pPr>
              <w:spacing w:after="0"/>
              <w:rPr>
                <w:sz w:val="13"/>
                <w:szCs w:val="13"/>
                <w:color w:val="auto"/>
              </w:rPr>
            </w:pPr>
          </w:p>
        </w:tc>
        <w:tc>
          <w:tcPr>
            <w:tcW w:w="1180" w:type="dxa"/>
            <w:vAlign w:val="bottom"/>
          </w:tcPr>
          <w:p>
            <w:pPr>
              <w:jc w:val="right"/>
              <w:ind w:right="172"/>
              <w:spacing w:after="0" w:line="153" w:lineRule="exact"/>
              <w:rPr>
                <w:sz w:val="20"/>
                <w:szCs w:val="20"/>
                <w:color w:val="auto"/>
              </w:rPr>
            </w:pPr>
            <w:r>
              <w:rPr>
                <w:rFonts w:ascii="Arial" w:cs="Arial" w:eastAsia="Arial" w:hAnsi="Arial"/>
                <w:sz w:val="14"/>
                <w:szCs w:val="14"/>
                <w:color w:val="455986"/>
              </w:rPr>
              <w:t>Stock That</w:t>
            </w:r>
          </w:p>
        </w:tc>
        <w:tc>
          <w:tcPr>
            <w:tcW w:w="1280" w:type="dxa"/>
            <w:vAlign w:val="bottom"/>
            <w:gridSpan w:val="2"/>
          </w:tcPr>
          <w:p>
            <w:pPr>
              <w:jc w:val="right"/>
              <w:ind w:right="112"/>
              <w:spacing w:after="0" w:line="153" w:lineRule="exact"/>
              <w:rPr>
                <w:sz w:val="20"/>
                <w:szCs w:val="20"/>
                <w:color w:val="auto"/>
              </w:rPr>
            </w:pPr>
            <w:r>
              <w:rPr>
                <w:rFonts w:ascii="Arial" w:cs="Arial" w:eastAsia="Arial" w:hAnsi="Arial"/>
                <w:sz w:val="14"/>
                <w:szCs w:val="14"/>
                <w:color w:val="455986"/>
              </w:rPr>
              <w:t>Units of Stock</w:t>
            </w:r>
          </w:p>
        </w:tc>
        <w:tc>
          <w:tcPr>
            <w:tcW w:w="1320" w:type="dxa"/>
            <w:vAlign w:val="bottom"/>
          </w:tcPr>
          <w:p>
            <w:pPr>
              <w:jc w:val="right"/>
              <w:ind w:right="93"/>
              <w:spacing w:after="0" w:line="153" w:lineRule="exact"/>
              <w:rPr>
                <w:sz w:val="20"/>
                <w:szCs w:val="20"/>
                <w:color w:val="auto"/>
              </w:rPr>
            </w:pPr>
            <w:r>
              <w:rPr>
                <w:rFonts w:ascii="Arial" w:cs="Arial" w:eastAsia="Arial" w:hAnsi="Arial"/>
                <w:sz w:val="14"/>
                <w:szCs w:val="14"/>
                <w:color w:val="455986"/>
              </w:rPr>
              <w:t>Other Rights</w:t>
            </w:r>
          </w:p>
        </w:tc>
        <w:tc>
          <w:tcPr>
            <w:tcW w:w="1200" w:type="dxa"/>
            <w:vAlign w:val="bottom"/>
            <w:gridSpan w:val="3"/>
          </w:tcPr>
          <w:p>
            <w:pPr>
              <w:jc w:val="right"/>
              <w:ind w:right="20"/>
              <w:spacing w:after="0" w:line="153" w:lineRule="exact"/>
              <w:rPr>
                <w:sz w:val="20"/>
                <w:szCs w:val="20"/>
                <w:color w:val="auto"/>
              </w:rPr>
            </w:pPr>
            <w:r>
              <w:rPr>
                <w:rFonts w:ascii="Arial" w:cs="Arial" w:eastAsia="Arial" w:hAnsi="Arial"/>
                <w:sz w:val="14"/>
                <w:szCs w:val="14"/>
                <w:color w:val="455986"/>
              </w:rPr>
              <w:t>Other Rights</w:t>
            </w:r>
          </w:p>
        </w:tc>
      </w:tr>
      <w:tr>
        <w:trPr>
          <w:trHeight w:val="150"/>
        </w:trPr>
        <w:tc>
          <w:tcPr>
            <w:tcW w:w="1140" w:type="dxa"/>
            <w:vAlign w:val="bottom"/>
          </w:tcPr>
          <w:p>
            <w:pPr>
              <w:spacing w:after="0"/>
              <w:rPr>
                <w:sz w:val="13"/>
                <w:szCs w:val="13"/>
                <w:color w:val="auto"/>
              </w:rPr>
            </w:pPr>
          </w:p>
        </w:tc>
        <w:tc>
          <w:tcPr>
            <w:tcW w:w="2980" w:type="dxa"/>
            <w:vAlign w:val="bottom"/>
            <w:gridSpan w:val="3"/>
          </w:tcPr>
          <w:p>
            <w:pPr>
              <w:jc w:val="center"/>
              <w:ind w:right="500"/>
              <w:spacing w:after="0" w:line="150" w:lineRule="exact"/>
              <w:rPr>
                <w:sz w:val="20"/>
                <w:szCs w:val="20"/>
                <w:color w:val="auto"/>
              </w:rPr>
            </w:pPr>
            <w:r>
              <w:rPr>
                <w:rFonts w:ascii="Arial" w:cs="Arial" w:eastAsia="Arial" w:hAnsi="Arial"/>
                <w:sz w:val="14"/>
                <w:szCs w:val="14"/>
                <w:color w:val="455986"/>
                <w:w w:val="97"/>
              </w:rPr>
              <w:t>Number of Securities Underlying</w:t>
            </w:r>
          </w:p>
        </w:tc>
        <w:tc>
          <w:tcPr>
            <w:tcW w:w="940" w:type="dxa"/>
            <w:vAlign w:val="bottom"/>
          </w:tcPr>
          <w:p>
            <w:pPr>
              <w:jc w:val="right"/>
              <w:ind w:right="252"/>
              <w:spacing w:after="0" w:line="150" w:lineRule="exact"/>
              <w:rPr>
                <w:sz w:val="20"/>
                <w:szCs w:val="20"/>
                <w:color w:val="auto"/>
              </w:rPr>
            </w:pPr>
            <w:r>
              <w:rPr>
                <w:rFonts w:ascii="Arial" w:cs="Arial" w:eastAsia="Arial" w:hAnsi="Arial"/>
                <w:sz w:val="14"/>
                <w:szCs w:val="14"/>
                <w:color w:val="455986"/>
              </w:rPr>
              <w:t>Exercise</w:t>
            </w:r>
          </w:p>
        </w:tc>
        <w:tc>
          <w:tcPr>
            <w:tcW w:w="1220" w:type="dxa"/>
            <w:vAlign w:val="bottom"/>
          </w:tcPr>
          <w:p>
            <w:pPr>
              <w:jc w:val="right"/>
              <w:ind w:right="232"/>
              <w:spacing w:after="0" w:line="150" w:lineRule="exact"/>
              <w:rPr>
                <w:sz w:val="20"/>
                <w:szCs w:val="20"/>
                <w:color w:val="auto"/>
              </w:rPr>
            </w:pPr>
            <w:r>
              <w:rPr>
                <w:rFonts w:ascii="Arial" w:cs="Arial" w:eastAsia="Arial" w:hAnsi="Arial"/>
                <w:sz w:val="14"/>
                <w:szCs w:val="14"/>
                <w:color w:val="455986"/>
              </w:rPr>
              <w:t>Option</w:t>
            </w:r>
          </w:p>
        </w:tc>
        <w:tc>
          <w:tcPr>
            <w:tcW w:w="1180" w:type="dxa"/>
            <w:vAlign w:val="bottom"/>
          </w:tcPr>
          <w:p>
            <w:pPr>
              <w:jc w:val="right"/>
              <w:ind w:right="172"/>
              <w:spacing w:after="0" w:line="150" w:lineRule="exact"/>
              <w:rPr>
                <w:sz w:val="20"/>
                <w:szCs w:val="20"/>
                <w:color w:val="auto"/>
              </w:rPr>
            </w:pPr>
            <w:r>
              <w:rPr>
                <w:rFonts w:ascii="Arial" w:cs="Arial" w:eastAsia="Arial" w:hAnsi="Arial"/>
                <w:sz w:val="14"/>
                <w:szCs w:val="14"/>
                <w:color w:val="455986"/>
              </w:rPr>
              <w:t>Have Not</w:t>
            </w:r>
          </w:p>
        </w:tc>
        <w:tc>
          <w:tcPr>
            <w:tcW w:w="1280" w:type="dxa"/>
            <w:vAlign w:val="bottom"/>
            <w:gridSpan w:val="2"/>
          </w:tcPr>
          <w:p>
            <w:pPr>
              <w:jc w:val="right"/>
              <w:ind w:right="112"/>
              <w:spacing w:after="0" w:line="150" w:lineRule="exact"/>
              <w:rPr>
                <w:sz w:val="20"/>
                <w:szCs w:val="20"/>
                <w:color w:val="auto"/>
              </w:rPr>
            </w:pPr>
            <w:r>
              <w:rPr>
                <w:rFonts w:ascii="Arial" w:cs="Arial" w:eastAsia="Arial" w:hAnsi="Arial"/>
                <w:sz w:val="14"/>
                <w:szCs w:val="14"/>
                <w:color w:val="455986"/>
              </w:rPr>
              <w:t>That Have Not</w:t>
            </w:r>
          </w:p>
        </w:tc>
        <w:tc>
          <w:tcPr>
            <w:tcW w:w="1320" w:type="dxa"/>
            <w:vAlign w:val="bottom"/>
          </w:tcPr>
          <w:p>
            <w:pPr>
              <w:jc w:val="right"/>
              <w:ind w:right="93"/>
              <w:spacing w:after="0" w:line="150" w:lineRule="exact"/>
              <w:rPr>
                <w:sz w:val="20"/>
                <w:szCs w:val="20"/>
                <w:color w:val="auto"/>
              </w:rPr>
            </w:pPr>
            <w:r>
              <w:rPr>
                <w:rFonts w:ascii="Arial" w:cs="Arial" w:eastAsia="Arial" w:hAnsi="Arial"/>
                <w:sz w:val="14"/>
                <w:szCs w:val="14"/>
                <w:color w:val="455986"/>
              </w:rPr>
              <w:t>That Have Not</w:t>
            </w:r>
          </w:p>
        </w:tc>
        <w:tc>
          <w:tcPr>
            <w:tcW w:w="1200" w:type="dxa"/>
            <w:vAlign w:val="bottom"/>
            <w:gridSpan w:val="3"/>
          </w:tcPr>
          <w:p>
            <w:pPr>
              <w:jc w:val="right"/>
              <w:ind w:right="20"/>
              <w:spacing w:after="0" w:line="150" w:lineRule="exact"/>
              <w:rPr>
                <w:sz w:val="20"/>
                <w:szCs w:val="20"/>
                <w:color w:val="auto"/>
              </w:rPr>
            </w:pPr>
            <w:r>
              <w:rPr>
                <w:rFonts w:ascii="Arial" w:cs="Arial" w:eastAsia="Arial" w:hAnsi="Arial"/>
                <w:sz w:val="14"/>
                <w:szCs w:val="14"/>
                <w:color w:val="455986"/>
              </w:rPr>
              <w:t>That Have Not</w:t>
            </w:r>
          </w:p>
        </w:tc>
      </w:tr>
      <w:tr>
        <w:trPr>
          <w:trHeight w:val="193"/>
        </w:trPr>
        <w:tc>
          <w:tcPr>
            <w:tcW w:w="1140" w:type="dxa"/>
            <w:vAlign w:val="bottom"/>
          </w:tcPr>
          <w:p>
            <w:pPr>
              <w:spacing w:after="0"/>
              <w:rPr>
                <w:sz w:val="16"/>
                <w:szCs w:val="16"/>
                <w:color w:val="auto"/>
              </w:rPr>
            </w:pPr>
          </w:p>
        </w:tc>
        <w:tc>
          <w:tcPr>
            <w:tcW w:w="2980" w:type="dxa"/>
            <w:vAlign w:val="bottom"/>
            <w:gridSpan w:val="3"/>
          </w:tcPr>
          <w:p>
            <w:pPr>
              <w:jc w:val="center"/>
              <w:ind w:right="520"/>
              <w:spacing w:after="0"/>
              <w:rPr>
                <w:sz w:val="20"/>
                <w:szCs w:val="20"/>
                <w:color w:val="auto"/>
              </w:rPr>
            </w:pPr>
            <w:r>
              <w:rPr>
                <w:rFonts w:ascii="Arial" w:cs="Arial" w:eastAsia="Arial" w:hAnsi="Arial"/>
                <w:sz w:val="14"/>
                <w:szCs w:val="14"/>
                <w:color w:val="455986"/>
                <w:w w:val="96"/>
              </w:rPr>
              <w:t>Unexercised Options</w:t>
            </w:r>
          </w:p>
        </w:tc>
        <w:tc>
          <w:tcPr>
            <w:tcW w:w="940" w:type="dxa"/>
            <w:vAlign w:val="bottom"/>
          </w:tcPr>
          <w:p>
            <w:pPr>
              <w:jc w:val="right"/>
              <w:ind w:right="232"/>
              <w:spacing w:after="0"/>
              <w:rPr>
                <w:sz w:val="20"/>
                <w:szCs w:val="20"/>
                <w:color w:val="auto"/>
              </w:rPr>
            </w:pPr>
            <w:r>
              <w:rPr>
                <w:rFonts w:ascii="Arial" w:cs="Arial" w:eastAsia="Arial" w:hAnsi="Arial"/>
                <w:sz w:val="14"/>
                <w:szCs w:val="14"/>
                <w:color w:val="455986"/>
              </w:rPr>
              <w:t>Price</w:t>
            </w:r>
          </w:p>
        </w:tc>
        <w:tc>
          <w:tcPr>
            <w:tcW w:w="1220" w:type="dxa"/>
            <w:vAlign w:val="bottom"/>
          </w:tcPr>
          <w:p>
            <w:pPr>
              <w:jc w:val="right"/>
              <w:ind w:right="232"/>
              <w:spacing w:after="0"/>
              <w:rPr>
                <w:sz w:val="20"/>
                <w:szCs w:val="20"/>
                <w:color w:val="auto"/>
              </w:rPr>
            </w:pPr>
            <w:r>
              <w:rPr>
                <w:rFonts w:ascii="Arial" w:cs="Arial" w:eastAsia="Arial" w:hAnsi="Arial"/>
                <w:sz w:val="14"/>
                <w:szCs w:val="14"/>
                <w:color w:val="455986"/>
              </w:rPr>
              <w:t>Expiration</w:t>
            </w:r>
          </w:p>
        </w:tc>
        <w:tc>
          <w:tcPr>
            <w:tcW w:w="1180" w:type="dxa"/>
            <w:vAlign w:val="bottom"/>
          </w:tcPr>
          <w:p>
            <w:pPr>
              <w:jc w:val="right"/>
              <w:ind w:right="172"/>
              <w:spacing w:after="0" w:line="193" w:lineRule="exact"/>
              <w:rPr>
                <w:sz w:val="20"/>
                <w:szCs w:val="20"/>
                <w:color w:val="auto"/>
              </w:rPr>
            </w:pPr>
            <w:r>
              <w:rPr>
                <w:rFonts w:ascii="Arial" w:cs="Arial" w:eastAsia="Arial" w:hAnsi="Arial"/>
                <w:sz w:val="14"/>
                <w:szCs w:val="14"/>
                <w:color w:val="455986"/>
              </w:rPr>
              <w:t>Vested</w:t>
            </w:r>
            <w:r>
              <w:rPr>
                <w:rFonts w:ascii="Arial" w:cs="Arial" w:eastAsia="Arial" w:hAnsi="Arial"/>
                <w:sz w:val="22"/>
                <w:szCs w:val="22"/>
                <w:color w:val="455986"/>
                <w:vertAlign w:val="superscript"/>
              </w:rPr>
              <w:t>(1)</w:t>
            </w:r>
          </w:p>
        </w:tc>
        <w:tc>
          <w:tcPr>
            <w:tcW w:w="1280" w:type="dxa"/>
            <w:vAlign w:val="bottom"/>
            <w:gridSpan w:val="2"/>
          </w:tcPr>
          <w:p>
            <w:pPr>
              <w:jc w:val="right"/>
              <w:ind w:right="112"/>
              <w:spacing w:after="0" w:line="193" w:lineRule="exact"/>
              <w:rPr>
                <w:sz w:val="20"/>
                <w:szCs w:val="20"/>
                <w:color w:val="auto"/>
              </w:rPr>
            </w:pPr>
            <w:r>
              <w:rPr>
                <w:rFonts w:ascii="Arial" w:cs="Arial" w:eastAsia="Arial" w:hAnsi="Arial"/>
                <w:sz w:val="14"/>
                <w:szCs w:val="14"/>
                <w:color w:val="455986"/>
              </w:rPr>
              <w:t>Vested</w:t>
            </w:r>
            <w:r>
              <w:rPr>
                <w:rFonts w:ascii="Arial" w:cs="Arial" w:eastAsia="Arial" w:hAnsi="Arial"/>
                <w:sz w:val="22"/>
                <w:szCs w:val="22"/>
                <w:color w:val="455986"/>
                <w:vertAlign w:val="superscript"/>
              </w:rPr>
              <w:t>(1)(2)</w:t>
            </w:r>
          </w:p>
        </w:tc>
        <w:tc>
          <w:tcPr>
            <w:tcW w:w="1320" w:type="dxa"/>
            <w:vAlign w:val="bottom"/>
          </w:tcPr>
          <w:p>
            <w:pPr>
              <w:jc w:val="right"/>
              <w:ind w:right="93"/>
              <w:spacing w:after="0" w:line="193" w:lineRule="exact"/>
              <w:rPr>
                <w:sz w:val="20"/>
                <w:szCs w:val="20"/>
                <w:color w:val="auto"/>
              </w:rPr>
            </w:pPr>
            <w:r>
              <w:rPr>
                <w:rFonts w:ascii="Arial" w:cs="Arial" w:eastAsia="Arial" w:hAnsi="Arial"/>
                <w:sz w:val="22"/>
                <w:szCs w:val="22"/>
                <w:color w:val="455986"/>
                <w:vertAlign w:val="subscript"/>
              </w:rPr>
              <w:t>Vested</w:t>
            </w:r>
            <w:r>
              <w:rPr>
                <w:rFonts w:ascii="Arial" w:cs="Arial" w:eastAsia="Arial" w:hAnsi="Arial"/>
                <w:sz w:val="10"/>
                <w:szCs w:val="10"/>
                <w:color w:val="455986"/>
              </w:rPr>
              <w:t>(1)(3)(4)</w:t>
            </w:r>
          </w:p>
        </w:tc>
        <w:tc>
          <w:tcPr>
            <w:tcW w:w="1200" w:type="dxa"/>
            <w:vAlign w:val="bottom"/>
            <w:gridSpan w:val="3"/>
          </w:tcPr>
          <w:p>
            <w:pPr>
              <w:jc w:val="right"/>
              <w:ind w:right="20"/>
              <w:spacing w:after="0" w:line="193" w:lineRule="exact"/>
              <w:rPr>
                <w:sz w:val="20"/>
                <w:szCs w:val="20"/>
                <w:color w:val="auto"/>
              </w:rPr>
            </w:pPr>
            <w:r>
              <w:rPr>
                <w:rFonts w:ascii="Arial" w:cs="Arial" w:eastAsia="Arial" w:hAnsi="Arial"/>
                <w:sz w:val="14"/>
                <w:szCs w:val="14"/>
                <w:color w:val="455986"/>
              </w:rPr>
              <w:t>Vested</w:t>
            </w:r>
            <w:r>
              <w:rPr>
                <w:rFonts w:ascii="Arial" w:cs="Arial" w:eastAsia="Arial" w:hAnsi="Arial"/>
                <w:sz w:val="22"/>
                <w:szCs w:val="22"/>
                <w:color w:val="455986"/>
                <w:vertAlign w:val="superscript"/>
              </w:rPr>
              <w:t>(1)(2)</w:t>
            </w:r>
          </w:p>
        </w:tc>
      </w:tr>
      <w:tr>
        <w:trPr>
          <w:trHeight w:val="146"/>
        </w:trPr>
        <w:tc>
          <w:tcPr>
            <w:tcW w:w="1140" w:type="dxa"/>
            <w:vAlign w:val="bottom"/>
          </w:tcPr>
          <w:p>
            <w:pPr>
              <w:spacing w:after="0" w:line="146" w:lineRule="exact"/>
              <w:rPr>
                <w:sz w:val="20"/>
                <w:szCs w:val="20"/>
                <w:color w:val="auto"/>
              </w:rPr>
            </w:pPr>
            <w:r>
              <w:rPr>
                <w:rFonts w:ascii="Arial" w:cs="Arial" w:eastAsia="Arial" w:hAnsi="Arial"/>
                <w:sz w:val="14"/>
                <w:szCs w:val="14"/>
                <w:color w:val="455986"/>
              </w:rPr>
              <w:t>Name</w:t>
            </w:r>
          </w:p>
        </w:tc>
        <w:tc>
          <w:tcPr>
            <w:tcW w:w="1400" w:type="dxa"/>
            <w:vAlign w:val="bottom"/>
            <w:tcBorders>
              <w:top w:val="single" w:sz="8" w:color="4395D4"/>
            </w:tcBorders>
          </w:tcPr>
          <w:p>
            <w:pPr>
              <w:jc w:val="right"/>
              <w:ind w:right="92"/>
              <w:spacing w:after="0" w:line="146" w:lineRule="exact"/>
              <w:rPr>
                <w:sz w:val="20"/>
                <w:szCs w:val="20"/>
                <w:color w:val="auto"/>
              </w:rPr>
            </w:pPr>
            <w:r>
              <w:rPr>
                <w:rFonts w:ascii="Arial" w:cs="Arial" w:eastAsia="Arial" w:hAnsi="Arial"/>
                <w:sz w:val="14"/>
                <w:szCs w:val="14"/>
                <w:color w:val="455986"/>
              </w:rPr>
              <w:t>(#) Unexercisable</w:t>
            </w:r>
          </w:p>
        </w:tc>
        <w:tc>
          <w:tcPr>
            <w:tcW w:w="1080" w:type="dxa"/>
            <w:vAlign w:val="bottom"/>
            <w:tcBorders>
              <w:top w:val="single" w:sz="8" w:color="4395D4"/>
            </w:tcBorders>
          </w:tcPr>
          <w:p>
            <w:pPr>
              <w:jc w:val="right"/>
              <w:spacing w:after="0" w:line="146" w:lineRule="exact"/>
              <w:rPr>
                <w:sz w:val="20"/>
                <w:szCs w:val="20"/>
                <w:color w:val="auto"/>
              </w:rPr>
            </w:pPr>
            <w:r>
              <w:rPr>
                <w:rFonts w:ascii="Arial" w:cs="Arial" w:eastAsia="Arial" w:hAnsi="Arial"/>
                <w:sz w:val="14"/>
                <w:szCs w:val="14"/>
                <w:color w:val="455986"/>
              </w:rPr>
              <w:t>(#) Exercisable</w:t>
            </w:r>
          </w:p>
        </w:tc>
        <w:tc>
          <w:tcPr>
            <w:tcW w:w="500" w:type="dxa"/>
            <w:vAlign w:val="bottom"/>
          </w:tcPr>
          <w:p>
            <w:pPr>
              <w:spacing w:after="0"/>
              <w:rPr>
                <w:sz w:val="12"/>
                <w:szCs w:val="12"/>
                <w:color w:val="auto"/>
              </w:rPr>
            </w:pPr>
          </w:p>
        </w:tc>
        <w:tc>
          <w:tcPr>
            <w:tcW w:w="940" w:type="dxa"/>
            <w:vAlign w:val="bottom"/>
          </w:tcPr>
          <w:p>
            <w:pPr>
              <w:jc w:val="right"/>
              <w:ind w:right="252"/>
              <w:spacing w:after="0" w:line="146" w:lineRule="exact"/>
              <w:rPr>
                <w:sz w:val="20"/>
                <w:szCs w:val="20"/>
                <w:color w:val="auto"/>
              </w:rPr>
            </w:pPr>
            <w:r>
              <w:rPr>
                <w:rFonts w:ascii="Arial" w:cs="Arial" w:eastAsia="Arial" w:hAnsi="Arial"/>
                <w:sz w:val="14"/>
                <w:szCs w:val="14"/>
                <w:color w:val="455986"/>
              </w:rPr>
              <w:t>($)</w:t>
            </w:r>
          </w:p>
        </w:tc>
        <w:tc>
          <w:tcPr>
            <w:tcW w:w="1220" w:type="dxa"/>
            <w:vAlign w:val="bottom"/>
          </w:tcPr>
          <w:p>
            <w:pPr>
              <w:jc w:val="right"/>
              <w:ind w:right="232"/>
              <w:spacing w:after="0" w:line="146" w:lineRule="exact"/>
              <w:rPr>
                <w:sz w:val="20"/>
                <w:szCs w:val="20"/>
                <w:color w:val="auto"/>
              </w:rPr>
            </w:pPr>
            <w:r>
              <w:rPr>
                <w:rFonts w:ascii="Arial" w:cs="Arial" w:eastAsia="Arial" w:hAnsi="Arial"/>
                <w:sz w:val="14"/>
                <w:szCs w:val="14"/>
                <w:color w:val="455986"/>
              </w:rPr>
              <w:t>Date</w:t>
            </w:r>
          </w:p>
        </w:tc>
        <w:tc>
          <w:tcPr>
            <w:tcW w:w="1180" w:type="dxa"/>
            <w:vAlign w:val="bottom"/>
          </w:tcPr>
          <w:p>
            <w:pPr>
              <w:jc w:val="right"/>
              <w:ind w:right="172"/>
              <w:spacing w:after="0" w:line="146" w:lineRule="exact"/>
              <w:rPr>
                <w:sz w:val="20"/>
                <w:szCs w:val="20"/>
                <w:color w:val="auto"/>
              </w:rPr>
            </w:pPr>
            <w:r>
              <w:rPr>
                <w:rFonts w:ascii="Arial" w:cs="Arial" w:eastAsia="Arial" w:hAnsi="Arial"/>
                <w:sz w:val="14"/>
                <w:szCs w:val="14"/>
                <w:color w:val="455986"/>
              </w:rPr>
              <w:t>(#)</w:t>
            </w:r>
          </w:p>
        </w:tc>
        <w:tc>
          <w:tcPr>
            <w:tcW w:w="560" w:type="dxa"/>
            <w:vAlign w:val="bottom"/>
          </w:tcPr>
          <w:p>
            <w:pPr>
              <w:spacing w:after="0"/>
              <w:rPr>
                <w:sz w:val="12"/>
                <w:szCs w:val="12"/>
                <w:color w:val="auto"/>
              </w:rPr>
            </w:pPr>
          </w:p>
        </w:tc>
        <w:tc>
          <w:tcPr>
            <w:tcW w:w="720" w:type="dxa"/>
            <w:vAlign w:val="bottom"/>
          </w:tcPr>
          <w:p>
            <w:pPr>
              <w:jc w:val="right"/>
              <w:ind w:right="112"/>
              <w:spacing w:after="0" w:line="146" w:lineRule="exact"/>
              <w:rPr>
                <w:sz w:val="20"/>
                <w:szCs w:val="20"/>
                <w:color w:val="auto"/>
              </w:rPr>
            </w:pPr>
            <w:r>
              <w:rPr>
                <w:rFonts w:ascii="Arial" w:cs="Arial" w:eastAsia="Arial" w:hAnsi="Arial"/>
                <w:sz w:val="14"/>
                <w:szCs w:val="14"/>
                <w:color w:val="455986"/>
              </w:rPr>
              <w:t>($)</w:t>
            </w:r>
          </w:p>
        </w:tc>
        <w:tc>
          <w:tcPr>
            <w:tcW w:w="1320" w:type="dxa"/>
            <w:vAlign w:val="bottom"/>
          </w:tcPr>
          <w:p>
            <w:pPr>
              <w:jc w:val="right"/>
              <w:ind w:right="93"/>
              <w:spacing w:after="0" w:line="146" w:lineRule="exact"/>
              <w:rPr>
                <w:sz w:val="20"/>
                <w:szCs w:val="20"/>
                <w:color w:val="auto"/>
              </w:rPr>
            </w:pPr>
            <w:r>
              <w:rPr>
                <w:rFonts w:ascii="Arial" w:cs="Arial" w:eastAsia="Arial" w:hAnsi="Arial"/>
                <w:sz w:val="14"/>
                <w:szCs w:val="14"/>
                <w:color w:val="455986"/>
              </w:rPr>
              <w:t>(#)</w:t>
            </w:r>
          </w:p>
        </w:tc>
        <w:tc>
          <w:tcPr>
            <w:tcW w:w="580" w:type="dxa"/>
            <w:vAlign w:val="bottom"/>
          </w:tcPr>
          <w:p>
            <w:pPr>
              <w:spacing w:after="0"/>
              <w:rPr>
                <w:sz w:val="12"/>
                <w:szCs w:val="12"/>
                <w:color w:val="auto"/>
              </w:rPr>
            </w:pPr>
          </w:p>
        </w:tc>
        <w:tc>
          <w:tcPr>
            <w:tcW w:w="620" w:type="dxa"/>
            <w:vAlign w:val="bottom"/>
            <w:gridSpan w:val="2"/>
          </w:tcPr>
          <w:p>
            <w:pPr>
              <w:jc w:val="right"/>
              <w:ind w:right="20"/>
              <w:spacing w:after="0" w:line="146" w:lineRule="exact"/>
              <w:rPr>
                <w:sz w:val="20"/>
                <w:szCs w:val="20"/>
                <w:color w:val="auto"/>
              </w:rPr>
            </w:pPr>
            <w:r>
              <w:rPr>
                <w:rFonts w:ascii="Arial" w:cs="Arial" w:eastAsia="Arial" w:hAnsi="Arial"/>
                <w:sz w:val="14"/>
                <w:szCs w:val="14"/>
                <w:color w:val="455986"/>
              </w:rPr>
              <w:t>($)</w:t>
            </w:r>
          </w:p>
        </w:tc>
      </w:tr>
      <w:tr>
        <w:trPr>
          <w:trHeight w:val="221"/>
        </w:trPr>
        <w:tc>
          <w:tcPr>
            <w:tcW w:w="1140" w:type="dxa"/>
            <w:vAlign w:val="bottom"/>
            <w:tcBorders>
              <w:top w:val="single" w:sz="8" w:color="4395D4"/>
            </w:tcBorders>
          </w:tcPr>
          <w:p>
            <w:pPr>
              <w:spacing w:after="0"/>
              <w:rPr>
                <w:sz w:val="20"/>
                <w:szCs w:val="20"/>
                <w:color w:val="auto"/>
              </w:rPr>
            </w:pPr>
            <w:r>
              <w:rPr>
                <w:rFonts w:ascii="Arial" w:cs="Arial" w:eastAsia="Arial" w:hAnsi="Arial"/>
                <w:sz w:val="14"/>
                <w:szCs w:val="14"/>
                <w:b w:val="1"/>
                <w:bCs w:val="1"/>
                <w:color w:val="455986"/>
              </w:rPr>
              <w:t>Franklin</w:t>
            </w:r>
          </w:p>
        </w:tc>
        <w:tc>
          <w:tcPr>
            <w:tcW w:w="1400" w:type="dxa"/>
            <w:vAlign w:val="bottom"/>
            <w:tcBorders>
              <w:top w:val="single" w:sz="8" w:color="4395D4"/>
            </w:tcBorders>
          </w:tcPr>
          <w:p>
            <w:pPr>
              <w:jc w:val="right"/>
              <w:ind w:right="92"/>
              <w:spacing w:after="0"/>
              <w:rPr>
                <w:sz w:val="20"/>
                <w:szCs w:val="20"/>
                <w:color w:val="auto"/>
              </w:rPr>
            </w:pPr>
            <w:r>
              <w:rPr>
                <w:rFonts w:ascii="Arial" w:cs="Arial" w:eastAsia="Arial" w:hAnsi="Arial"/>
                <w:sz w:val="14"/>
                <w:szCs w:val="14"/>
                <w:color w:val="231F20"/>
              </w:rPr>
              <w:t>—</w:t>
            </w:r>
          </w:p>
        </w:tc>
        <w:tc>
          <w:tcPr>
            <w:tcW w:w="1580" w:type="dxa"/>
            <w:vAlign w:val="bottom"/>
            <w:tcBorders>
              <w:top w:val="single" w:sz="8" w:color="4395D4"/>
            </w:tcBorders>
            <w:gridSpan w:val="2"/>
          </w:tcPr>
          <w:p>
            <w:pPr>
              <w:jc w:val="right"/>
              <w:ind w:right="500"/>
              <w:spacing w:after="0"/>
              <w:rPr>
                <w:sz w:val="20"/>
                <w:szCs w:val="20"/>
                <w:color w:val="auto"/>
              </w:rPr>
            </w:pPr>
            <w:r>
              <w:rPr>
                <w:rFonts w:ascii="Arial" w:cs="Arial" w:eastAsia="Arial" w:hAnsi="Arial"/>
                <w:sz w:val="14"/>
                <w:szCs w:val="14"/>
                <w:color w:val="231F20"/>
              </w:rPr>
              <w:t>27,053</w:t>
            </w:r>
          </w:p>
        </w:tc>
        <w:tc>
          <w:tcPr>
            <w:tcW w:w="940" w:type="dxa"/>
            <w:vAlign w:val="bottom"/>
            <w:tcBorders>
              <w:top w:val="single" w:sz="8" w:color="4395D4"/>
            </w:tcBorders>
          </w:tcPr>
          <w:p>
            <w:pPr>
              <w:jc w:val="right"/>
              <w:ind w:right="232"/>
              <w:spacing w:after="0"/>
              <w:rPr>
                <w:sz w:val="20"/>
                <w:szCs w:val="20"/>
                <w:color w:val="auto"/>
              </w:rPr>
            </w:pPr>
            <w:r>
              <w:rPr>
                <w:rFonts w:ascii="Arial" w:cs="Arial" w:eastAsia="Arial" w:hAnsi="Arial"/>
                <w:sz w:val="14"/>
                <w:szCs w:val="14"/>
                <w:color w:val="231F20"/>
              </w:rPr>
              <w:t>$ 30.47</w:t>
            </w:r>
          </w:p>
        </w:tc>
        <w:tc>
          <w:tcPr>
            <w:tcW w:w="1220" w:type="dxa"/>
            <w:vAlign w:val="bottom"/>
            <w:tcBorders>
              <w:top w:val="single" w:sz="8" w:color="4395D4"/>
            </w:tcBorders>
          </w:tcPr>
          <w:p>
            <w:pPr>
              <w:jc w:val="right"/>
              <w:ind w:right="232"/>
              <w:spacing w:after="0"/>
              <w:rPr>
                <w:sz w:val="20"/>
                <w:szCs w:val="20"/>
                <w:color w:val="auto"/>
              </w:rPr>
            </w:pPr>
            <w:r>
              <w:rPr>
                <w:rFonts w:ascii="Arial" w:cs="Arial" w:eastAsia="Arial" w:hAnsi="Arial"/>
                <w:sz w:val="14"/>
                <w:szCs w:val="14"/>
                <w:color w:val="231F20"/>
              </w:rPr>
              <w:t>2/22/2027</w:t>
            </w:r>
          </w:p>
        </w:tc>
        <w:tc>
          <w:tcPr>
            <w:tcW w:w="1180" w:type="dxa"/>
            <w:vAlign w:val="bottom"/>
            <w:tcBorders>
              <w:top w:val="single" w:sz="8" w:color="4395D4"/>
            </w:tcBorders>
          </w:tcPr>
          <w:p>
            <w:pPr>
              <w:spacing w:after="0"/>
              <w:rPr>
                <w:sz w:val="19"/>
                <w:szCs w:val="19"/>
                <w:color w:val="auto"/>
              </w:rPr>
            </w:pPr>
          </w:p>
        </w:tc>
        <w:tc>
          <w:tcPr>
            <w:tcW w:w="560" w:type="dxa"/>
            <w:vAlign w:val="bottom"/>
            <w:tcBorders>
              <w:top w:val="single" w:sz="8" w:color="4395D4"/>
            </w:tcBorders>
          </w:tcPr>
          <w:p>
            <w:pPr>
              <w:spacing w:after="0"/>
              <w:rPr>
                <w:sz w:val="19"/>
                <w:szCs w:val="19"/>
                <w:color w:val="auto"/>
              </w:rPr>
            </w:pPr>
          </w:p>
        </w:tc>
        <w:tc>
          <w:tcPr>
            <w:tcW w:w="720" w:type="dxa"/>
            <w:vAlign w:val="bottom"/>
            <w:tcBorders>
              <w:top w:val="single" w:sz="8" w:color="4395D4"/>
            </w:tcBorders>
          </w:tcPr>
          <w:p>
            <w:pPr>
              <w:spacing w:after="0"/>
              <w:rPr>
                <w:sz w:val="19"/>
                <w:szCs w:val="19"/>
                <w:color w:val="auto"/>
              </w:rPr>
            </w:pPr>
          </w:p>
        </w:tc>
        <w:tc>
          <w:tcPr>
            <w:tcW w:w="1320" w:type="dxa"/>
            <w:vAlign w:val="bottom"/>
            <w:tcBorders>
              <w:top w:val="single" w:sz="8" w:color="4395D4"/>
            </w:tcBorders>
          </w:tcPr>
          <w:p>
            <w:pPr>
              <w:spacing w:after="0"/>
              <w:rPr>
                <w:sz w:val="19"/>
                <w:szCs w:val="19"/>
                <w:color w:val="auto"/>
              </w:rPr>
            </w:pPr>
          </w:p>
        </w:tc>
        <w:tc>
          <w:tcPr>
            <w:tcW w:w="580" w:type="dxa"/>
            <w:vAlign w:val="bottom"/>
            <w:tcBorders>
              <w:top w:val="single" w:sz="8" w:color="4395D4"/>
            </w:tcBorders>
          </w:tcPr>
          <w:p>
            <w:pPr>
              <w:spacing w:after="0"/>
              <w:rPr>
                <w:sz w:val="19"/>
                <w:szCs w:val="19"/>
                <w:color w:val="auto"/>
              </w:rPr>
            </w:pPr>
          </w:p>
        </w:tc>
        <w:tc>
          <w:tcPr>
            <w:tcW w:w="600" w:type="dxa"/>
            <w:vAlign w:val="bottom"/>
            <w:tcBorders>
              <w:top w:val="single" w:sz="8" w:color="4395D4"/>
            </w:tcBorders>
          </w:tcPr>
          <w:p>
            <w:pPr>
              <w:spacing w:after="0"/>
              <w:rPr>
                <w:sz w:val="19"/>
                <w:szCs w:val="19"/>
                <w:color w:val="auto"/>
              </w:rPr>
            </w:pPr>
          </w:p>
        </w:tc>
        <w:tc>
          <w:tcPr>
            <w:tcW w:w="20" w:type="dxa"/>
            <w:vAlign w:val="bottom"/>
          </w:tcPr>
          <w:p>
            <w:pPr>
              <w:spacing w:after="0"/>
              <w:rPr>
                <w:sz w:val="19"/>
                <w:szCs w:val="19"/>
                <w:color w:val="auto"/>
              </w:rPr>
            </w:pPr>
          </w:p>
        </w:tc>
      </w:tr>
      <w:tr>
        <w:trPr>
          <w:trHeight w:val="27"/>
        </w:trPr>
        <w:tc>
          <w:tcPr>
            <w:tcW w:w="1140" w:type="dxa"/>
            <w:vAlign w:val="bottom"/>
          </w:tcPr>
          <w:p>
            <w:pPr>
              <w:spacing w:after="0"/>
              <w:rPr>
                <w:sz w:val="2"/>
                <w:szCs w:val="2"/>
                <w:color w:val="auto"/>
              </w:rPr>
            </w:pPr>
          </w:p>
        </w:tc>
        <w:tc>
          <w:tcPr>
            <w:tcW w:w="1400" w:type="dxa"/>
            <w:vAlign w:val="bottom"/>
            <w:tcBorders>
              <w:bottom w:val="single" w:sz="8" w:color="231F20"/>
            </w:tcBorders>
          </w:tcPr>
          <w:p>
            <w:pPr>
              <w:spacing w:after="0"/>
              <w:rPr>
                <w:sz w:val="2"/>
                <w:szCs w:val="2"/>
                <w:color w:val="auto"/>
              </w:rPr>
            </w:pPr>
          </w:p>
        </w:tc>
        <w:tc>
          <w:tcPr>
            <w:tcW w:w="1080" w:type="dxa"/>
            <w:vAlign w:val="bottom"/>
            <w:tcBorders>
              <w:bottom w:val="single" w:sz="8" w:color="231F20"/>
            </w:tcBorders>
          </w:tcPr>
          <w:p>
            <w:pPr>
              <w:spacing w:after="0"/>
              <w:rPr>
                <w:sz w:val="2"/>
                <w:szCs w:val="2"/>
                <w:color w:val="auto"/>
              </w:rPr>
            </w:pPr>
          </w:p>
        </w:tc>
        <w:tc>
          <w:tcPr>
            <w:tcW w:w="500" w:type="dxa"/>
            <w:vAlign w:val="bottom"/>
            <w:tcBorders>
              <w:bottom w:val="single" w:sz="8" w:color="231F20"/>
            </w:tcBorders>
          </w:tcPr>
          <w:p>
            <w:pPr>
              <w:spacing w:after="0"/>
              <w:rPr>
                <w:sz w:val="2"/>
                <w:szCs w:val="2"/>
                <w:color w:val="auto"/>
              </w:rPr>
            </w:pPr>
          </w:p>
        </w:tc>
        <w:tc>
          <w:tcPr>
            <w:tcW w:w="940" w:type="dxa"/>
            <w:vAlign w:val="bottom"/>
            <w:tcBorders>
              <w:bottom w:val="single" w:sz="8" w:color="231F20"/>
            </w:tcBorders>
          </w:tcPr>
          <w:p>
            <w:pPr>
              <w:spacing w:after="0"/>
              <w:rPr>
                <w:sz w:val="2"/>
                <w:szCs w:val="2"/>
                <w:color w:val="auto"/>
              </w:rPr>
            </w:pPr>
          </w:p>
        </w:tc>
        <w:tc>
          <w:tcPr>
            <w:tcW w:w="1220" w:type="dxa"/>
            <w:vAlign w:val="bottom"/>
            <w:tcBorders>
              <w:bottom w:val="single" w:sz="8" w:color="231F20"/>
            </w:tcBorders>
          </w:tcPr>
          <w:p>
            <w:pPr>
              <w:spacing w:after="0"/>
              <w:rPr>
                <w:sz w:val="2"/>
                <w:szCs w:val="2"/>
                <w:color w:val="auto"/>
              </w:rPr>
            </w:pPr>
          </w:p>
        </w:tc>
        <w:tc>
          <w:tcPr>
            <w:tcW w:w="1180" w:type="dxa"/>
            <w:vAlign w:val="bottom"/>
            <w:tcBorders>
              <w:bottom w:val="single" w:sz="8" w:color="231F20"/>
            </w:tcBorders>
          </w:tcPr>
          <w:p>
            <w:pPr>
              <w:spacing w:after="0"/>
              <w:rPr>
                <w:sz w:val="2"/>
                <w:szCs w:val="2"/>
                <w:color w:val="auto"/>
              </w:rPr>
            </w:pPr>
          </w:p>
        </w:tc>
        <w:tc>
          <w:tcPr>
            <w:tcW w:w="1280" w:type="dxa"/>
            <w:vAlign w:val="bottom"/>
            <w:tcBorders>
              <w:bottom w:val="single" w:sz="8" w:color="231F20"/>
            </w:tcBorders>
            <w:gridSpan w:val="2"/>
          </w:tcPr>
          <w:p>
            <w:pPr>
              <w:spacing w:after="0"/>
              <w:rPr>
                <w:sz w:val="2"/>
                <w:szCs w:val="2"/>
                <w:color w:val="auto"/>
              </w:rPr>
            </w:pPr>
          </w:p>
        </w:tc>
        <w:tc>
          <w:tcPr>
            <w:tcW w:w="1320" w:type="dxa"/>
            <w:vAlign w:val="bottom"/>
            <w:tcBorders>
              <w:bottom w:val="single" w:sz="8" w:color="231F20"/>
            </w:tcBorders>
          </w:tcPr>
          <w:p>
            <w:pPr>
              <w:spacing w:after="0"/>
              <w:rPr>
                <w:sz w:val="2"/>
                <w:szCs w:val="2"/>
                <w:color w:val="auto"/>
              </w:rPr>
            </w:pPr>
          </w:p>
        </w:tc>
        <w:tc>
          <w:tcPr>
            <w:tcW w:w="1180" w:type="dxa"/>
            <w:vAlign w:val="bottom"/>
            <w:tcBorders>
              <w:bottom w:val="single" w:sz="8" w:color="231F20"/>
            </w:tcBorders>
            <w:gridSpan w:val="2"/>
          </w:tcPr>
          <w:p>
            <w:pPr>
              <w:spacing w:after="0"/>
              <w:rPr>
                <w:sz w:val="2"/>
                <w:szCs w:val="2"/>
                <w:color w:val="auto"/>
              </w:rPr>
            </w:pPr>
          </w:p>
        </w:tc>
        <w:tc>
          <w:tcPr>
            <w:tcW w:w="20" w:type="dxa"/>
            <w:vAlign w:val="bottom"/>
          </w:tcPr>
          <w:p>
            <w:pPr>
              <w:spacing w:after="0"/>
              <w:rPr>
                <w:sz w:val="2"/>
                <w:szCs w:val="2"/>
                <w:color w:val="auto"/>
              </w:rPr>
            </w:pPr>
          </w:p>
        </w:tc>
      </w:tr>
      <w:tr>
        <w:trPr>
          <w:trHeight w:val="215"/>
        </w:trPr>
        <w:tc>
          <w:tcPr>
            <w:tcW w:w="1140" w:type="dxa"/>
            <w:vAlign w:val="bottom"/>
          </w:tcPr>
          <w:p>
            <w:pPr>
              <w:spacing w:after="0"/>
              <w:rPr>
                <w:sz w:val="18"/>
                <w:szCs w:val="18"/>
                <w:color w:val="auto"/>
              </w:rPr>
            </w:pPr>
          </w:p>
        </w:tc>
        <w:tc>
          <w:tcPr>
            <w:tcW w:w="1400" w:type="dxa"/>
            <w:vAlign w:val="bottom"/>
          </w:tcPr>
          <w:p>
            <w:pPr>
              <w:jc w:val="right"/>
              <w:ind w:right="92"/>
              <w:spacing w:after="0"/>
              <w:rPr>
                <w:sz w:val="20"/>
                <w:szCs w:val="20"/>
                <w:color w:val="auto"/>
              </w:rPr>
            </w:pPr>
            <w:r>
              <w:rPr>
                <w:rFonts w:ascii="Arial" w:cs="Arial" w:eastAsia="Arial" w:hAnsi="Arial"/>
                <w:sz w:val="14"/>
                <w:szCs w:val="14"/>
                <w:color w:val="231F20"/>
              </w:rPr>
              <w:t>11,648</w:t>
            </w:r>
          </w:p>
        </w:tc>
        <w:tc>
          <w:tcPr>
            <w:tcW w:w="1580" w:type="dxa"/>
            <w:vAlign w:val="bottom"/>
            <w:gridSpan w:val="2"/>
          </w:tcPr>
          <w:p>
            <w:pPr>
              <w:jc w:val="right"/>
              <w:ind w:right="500"/>
              <w:spacing w:after="0"/>
              <w:rPr>
                <w:sz w:val="20"/>
                <w:szCs w:val="20"/>
                <w:color w:val="auto"/>
              </w:rPr>
            </w:pPr>
            <w:r>
              <w:rPr>
                <w:rFonts w:ascii="Arial" w:cs="Arial" w:eastAsia="Arial" w:hAnsi="Arial"/>
                <w:sz w:val="14"/>
                <w:szCs w:val="14"/>
                <w:color w:val="231F20"/>
              </w:rPr>
              <w:t>23,297</w:t>
            </w:r>
          </w:p>
        </w:tc>
        <w:tc>
          <w:tcPr>
            <w:tcW w:w="940" w:type="dxa"/>
            <w:vAlign w:val="bottom"/>
          </w:tcPr>
          <w:p>
            <w:pPr>
              <w:jc w:val="right"/>
              <w:ind w:right="232"/>
              <w:spacing w:after="0"/>
              <w:rPr>
                <w:sz w:val="20"/>
                <w:szCs w:val="20"/>
                <w:color w:val="auto"/>
              </w:rPr>
            </w:pPr>
            <w:r>
              <w:rPr>
                <w:rFonts w:ascii="Arial" w:cs="Arial" w:eastAsia="Arial" w:hAnsi="Arial"/>
                <w:sz w:val="14"/>
                <w:szCs w:val="14"/>
                <w:color w:val="231F20"/>
              </w:rPr>
              <w:t>$ 34.51</w:t>
            </w:r>
          </w:p>
        </w:tc>
        <w:tc>
          <w:tcPr>
            <w:tcW w:w="1220" w:type="dxa"/>
            <w:vAlign w:val="bottom"/>
          </w:tcPr>
          <w:p>
            <w:pPr>
              <w:jc w:val="right"/>
              <w:ind w:right="232"/>
              <w:spacing w:after="0"/>
              <w:rPr>
                <w:sz w:val="20"/>
                <w:szCs w:val="20"/>
                <w:color w:val="auto"/>
              </w:rPr>
            </w:pPr>
            <w:r>
              <w:rPr>
                <w:rFonts w:ascii="Arial" w:cs="Arial" w:eastAsia="Arial" w:hAnsi="Arial"/>
                <w:sz w:val="14"/>
                <w:szCs w:val="14"/>
                <w:color w:val="231F20"/>
              </w:rPr>
              <w:t>2/27/2028</w:t>
            </w:r>
          </w:p>
        </w:tc>
        <w:tc>
          <w:tcPr>
            <w:tcW w:w="1180" w:type="dxa"/>
            <w:vAlign w:val="bottom"/>
          </w:tcPr>
          <w:p>
            <w:pPr>
              <w:jc w:val="right"/>
              <w:ind w:right="172"/>
              <w:spacing w:after="0"/>
              <w:rPr>
                <w:sz w:val="20"/>
                <w:szCs w:val="20"/>
                <w:color w:val="auto"/>
              </w:rPr>
            </w:pPr>
            <w:r>
              <w:rPr>
                <w:rFonts w:ascii="Arial" w:cs="Arial" w:eastAsia="Arial" w:hAnsi="Arial"/>
                <w:sz w:val="14"/>
                <w:szCs w:val="14"/>
                <w:color w:val="231F20"/>
              </w:rPr>
              <w:t>39,018</w:t>
            </w:r>
          </w:p>
        </w:tc>
        <w:tc>
          <w:tcPr>
            <w:tcW w:w="1280" w:type="dxa"/>
            <w:vAlign w:val="bottom"/>
            <w:gridSpan w:val="2"/>
          </w:tcPr>
          <w:p>
            <w:pPr>
              <w:jc w:val="right"/>
              <w:ind w:right="112"/>
              <w:spacing w:after="0"/>
              <w:rPr>
                <w:sz w:val="20"/>
                <w:szCs w:val="20"/>
                <w:color w:val="auto"/>
              </w:rPr>
            </w:pPr>
            <w:r>
              <w:rPr>
                <w:rFonts w:ascii="Arial" w:cs="Arial" w:eastAsia="Arial" w:hAnsi="Arial"/>
                <w:sz w:val="14"/>
                <w:szCs w:val="14"/>
                <w:color w:val="231F20"/>
              </w:rPr>
              <w:t>$1,907,877</w:t>
            </w:r>
          </w:p>
        </w:tc>
        <w:tc>
          <w:tcPr>
            <w:tcW w:w="1320" w:type="dxa"/>
            <w:vAlign w:val="bottom"/>
          </w:tcPr>
          <w:p>
            <w:pPr>
              <w:jc w:val="right"/>
              <w:ind w:right="93"/>
              <w:spacing w:after="0"/>
              <w:rPr>
                <w:sz w:val="20"/>
                <w:szCs w:val="20"/>
                <w:color w:val="auto"/>
              </w:rPr>
            </w:pPr>
            <w:r>
              <w:rPr>
                <w:rFonts w:ascii="Arial" w:cs="Arial" w:eastAsia="Arial" w:hAnsi="Arial"/>
                <w:sz w:val="14"/>
                <w:szCs w:val="14"/>
                <w:color w:val="231F20"/>
              </w:rPr>
              <w:t>57,579</w:t>
            </w:r>
          </w:p>
        </w:tc>
        <w:tc>
          <w:tcPr>
            <w:tcW w:w="1200" w:type="dxa"/>
            <w:vAlign w:val="bottom"/>
            <w:gridSpan w:val="3"/>
          </w:tcPr>
          <w:p>
            <w:pPr>
              <w:jc w:val="right"/>
              <w:ind w:right="20"/>
              <w:spacing w:after="0"/>
              <w:rPr>
                <w:sz w:val="20"/>
                <w:szCs w:val="20"/>
                <w:color w:val="auto"/>
              </w:rPr>
            </w:pPr>
            <w:r>
              <w:rPr>
                <w:rFonts w:ascii="Arial" w:cs="Arial" w:eastAsia="Arial" w:hAnsi="Arial"/>
                <w:sz w:val="14"/>
                <w:szCs w:val="14"/>
                <w:color w:val="231F20"/>
              </w:rPr>
              <w:t>$2,788,714</w:t>
            </w:r>
          </w:p>
        </w:tc>
      </w:tr>
      <w:tr>
        <w:trPr>
          <w:trHeight w:val="33"/>
        </w:trPr>
        <w:tc>
          <w:tcPr>
            <w:tcW w:w="1140" w:type="dxa"/>
            <w:vAlign w:val="bottom"/>
          </w:tcPr>
          <w:p>
            <w:pPr>
              <w:spacing w:after="0"/>
              <w:rPr>
                <w:sz w:val="2"/>
                <w:szCs w:val="2"/>
                <w:color w:val="auto"/>
              </w:rPr>
            </w:pPr>
          </w:p>
        </w:tc>
        <w:tc>
          <w:tcPr>
            <w:tcW w:w="1400" w:type="dxa"/>
            <w:vAlign w:val="bottom"/>
            <w:tcBorders>
              <w:bottom w:val="single" w:sz="8" w:color="231F20"/>
            </w:tcBorders>
          </w:tcPr>
          <w:p>
            <w:pPr>
              <w:spacing w:after="0"/>
              <w:rPr>
                <w:sz w:val="2"/>
                <w:szCs w:val="2"/>
                <w:color w:val="auto"/>
              </w:rPr>
            </w:pPr>
          </w:p>
        </w:tc>
        <w:tc>
          <w:tcPr>
            <w:tcW w:w="1080" w:type="dxa"/>
            <w:vAlign w:val="bottom"/>
            <w:tcBorders>
              <w:bottom w:val="single" w:sz="8" w:color="231F20"/>
            </w:tcBorders>
          </w:tcPr>
          <w:p>
            <w:pPr>
              <w:spacing w:after="0"/>
              <w:rPr>
                <w:sz w:val="2"/>
                <w:szCs w:val="2"/>
                <w:color w:val="auto"/>
              </w:rPr>
            </w:pPr>
          </w:p>
        </w:tc>
        <w:tc>
          <w:tcPr>
            <w:tcW w:w="500" w:type="dxa"/>
            <w:vAlign w:val="bottom"/>
            <w:tcBorders>
              <w:bottom w:val="single" w:sz="8" w:color="231F20"/>
            </w:tcBorders>
          </w:tcPr>
          <w:p>
            <w:pPr>
              <w:spacing w:after="0"/>
              <w:rPr>
                <w:sz w:val="2"/>
                <w:szCs w:val="2"/>
                <w:color w:val="auto"/>
              </w:rPr>
            </w:pPr>
          </w:p>
        </w:tc>
        <w:tc>
          <w:tcPr>
            <w:tcW w:w="940" w:type="dxa"/>
            <w:vAlign w:val="bottom"/>
            <w:tcBorders>
              <w:bottom w:val="single" w:sz="8" w:color="231F20"/>
            </w:tcBorders>
          </w:tcPr>
          <w:p>
            <w:pPr>
              <w:spacing w:after="0"/>
              <w:rPr>
                <w:sz w:val="2"/>
                <w:szCs w:val="2"/>
                <w:color w:val="auto"/>
              </w:rPr>
            </w:pPr>
          </w:p>
        </w:tc>
        <w:tc>
          <w:tcPr>
            <w:tcW w:w="1220" w:type="dxa"/>
            <w:vAlign w:val="bottom"/>
            <w:tcBorders>
              <w:bottom w:val="single" w:sz="8" w:color="231F20"/>
            </w:tcBorders>
          </w:tcPr>
          <w:p>
            <w:pPr>
              <w:spacing w:after="0"/>
              <w:rPr>
                <w:sz w:val="2"/>
                <w:szCs w:val="2"/>
                <w:color w:val="auto"/>
              </w:rPr>
            </w:pPr>
          </w:p>
        </w:tc>
        <w:tc>
          <w:tcPr>
            <w:tcW w:w="1180" w:type="dxa"/>
            <w:vAlign w:val="bottom"/>
            <w:tcBorders>
              <w:bottom w:val="single" w:sz="8" w:color="231F20"/>
            </w:tcBorders>
          </w:tcPr>
          <w:p>
            <w:pPr>
              <w:spacing w:after="0"/>
              <w:rPr>
                <w:sz w:val="2"/>
                <w:szCs w:val="2"/>
                <w:color w:val="auto"/>
              </w:rPr>
            </w:pPr>
          </w:p>
        </w:tc>
        <w:tc>
          <w:tcPr>
            <w:tcW w:w="560" w:type="dxa"/>
            <w:vAlign w:val="bottom"/>
            <w:tcBorders>
              <w:bottom w:val="single" w:sz="8" w:color="231F20"/>
            </w:tcBorders>
          </w:tcPr>
          <w:p>
            <w:pPr>
              <w:spacing w:after="0"/>
              <w:rPr>
                <w:sz w:val="2"/>
                <w:szCs w:val="2"/>
                <w:color w:val="auto"/>
              </w:rPr>
            </w:pPr>
          </w:p>
        </w:tc>
        <w:tc>
          <w:tcPr>
            <w:tcW w:w="720" w:type="dxa"/>
            <w:vAlign w:val="bottom"/>
            <w:tcBorders>
              <w:bottom w:val="single" w:sz="8" w:color="231F20"/>
            </w:tcBorders>
          </w:tcPr>
          <w:p>
            <w:pPr>
              <w:spacing w:after="0"/>
              <w:rPr>
                <w:sz w:val="2"/>
                <w:szCs w:val="2"/>
                <w:color w:val="auto"/>
              </w:rPr>
            </w:pPr>
          </w:p>
        </w:tc>
        <w:tc>
          <w:tcPr>
            <w:tcW w:w="1320" w:type="dxa"/>
            <w:vAlign w:val="bottom"/>
            <w:tcBorders>
              <w:bottom w:val="single" w:sz="8" w:color="231F20"/>
            </w:tcBorders>
          </w:tcPr>
          <w:p>
            <w:pPr>
              <w:spacing w:after="0"/>
              <w:rPr>
                <w:sz w:val="2"/>
                <w:szCs w:val="2"/>
                <w:color w:val="auto"/>
              </w:rPr>
            </w:pPr>
          </w:p>
        </w:tc>
        <w:tc>
          <w:tcPr>
            <w:tcW w:w="580" w:type="dxa"/>
            <w:vAlign w:val="bottom"/>
            <w:tcBorders>
              <w:bottom w:val="single" w:sz="8" w:color="231F20"/>
            </w:tcBorders>
          </w:tcPr>
          <w:p>
            <w:pPr>
              <w:spacing w:after="0"/>
              <w:rPr>
                <w:sz w:val="2"/>
                <w:szCs w:val="2"/>
                <w:color w:val="auto"/>
              </w:rPr>
            </w:pPr>
          </w:p>
        </w:tc>
        <w:tc>
          <w:tcPr>
            <w:tcW w:w="600" w:type="dxa"/>
            <w:vAlign w:val="bottom"/>
            <w:tcBorders>
              <w:bottom w:val="single" w:sz="8" w:color="231F20"/>
            </w:tcBorders>
          </w:tcPr>
          <w:p>
            <w:pPr>
              <w:spacing w:after="0"/>
              <w:rPr>
                <w:sz w:val="2"/>
                <w:szCs w:val="2"/>
                <w:color w:val="auto"/>
              </w:rPr>
            </w:pPr>
          </w:p>
        </w:tc>
        <w:tc>
          <w:tcPr>
            <w:tcW w:w="20" w:type="dxa"/>
            <w:vAlign w:val="bottom"/>
          </w:tcPr>
          <w:p>
            <w:pPr>
              <w:spacing w:after="0"/>
              <w:rPr>
                <w:sz w:val="2"/>
                <w:szCs w:val="2"/>
                <w:color w:val="auto"/>
              </w:rPr>
            </w:pPr>
          </w:p>
        </w:tc>
      </w:tr>
      <w:tr>
        <w:trPr>
          <w:trHeight w:val="215"/>
        </w:trPr>
        <w:tc>
          <w:tcPr>
            <w:tcW w:w="1140" w:type="dxa"/>
            <w:vAlign w:val="bottom"/>
          </w:tcPr>
          <w:p>
            <w:pPr>
              <w:spacing w:after="0"/>
              <w:rPr>
                <w:sz w:val="18"/>
                <w:szCs w:val="18"/>
                <w:color w:val="auto"/>
              </w:rPr>
            </w:pPr>
          </w:p>
        </w:tc>
        <w:tc>
          <w:tcPr>
            <w:tcW w:w="1400" w:type="dxa"/>
            <w:vAlign w:val="bottom"/>
          </w:tcPr>
          <w:p>
            <w:pPr>
              <w:jc w:val="right"/>
              <w:ind w:right="92"/>
              <w:spacing w:after="0"/>
              <w:rPr>
                <w:sz w:val="20"/>
                <w:szCs w:val="20"/>
                <w:color w:val="auto"/>
              </w:rPr>
            </w:pPr>
            <w:r>
              <w:rPr>
                <w:rFonts w:ascii="Arial" w:cs="Arial" w:eastAsia="Arial" w:hAnsi="Arial"/>
                <w:sz w:val="14"/>
                <w:szCs w:val="14"/>
                <w:color w:val="231F20"/>
              </w:rPr>
              <w:t>126,725</w:t>
            </w:r>
          </w:p>
        </w:tc>
        <w:tc>
          <w:tcPr>
            <w:tcW w:w="1580" w:type="dxa"/>
            <w:vAlign w:val="bottom"/>
            <w:gridSpan w:val="2"/>
          </w:tcPr>
          <w:p>
            <w:pPr>
              <w:jc w:val="right"/>
              <w:ind w:right="500"/>
              <w:spacing w:after="0"/>
              <w:rPr>
                <w:sz w:val="20"/>
                <w:szCs w:val="20"/>
                <w:color w:val="auto"/>
              </w:rPr>
            </w:pPr>
            <w:r>
              <w:rPr>
                <w:rFonts w:ascii="Arial" w:cs="Arial" w:eastAsia="Arial" w:hAnsi="Arial"/>
                <w:sz w:val="14"/>
                <w:szCs w:val="14"/>
                <w:color w:val="231F20"/>
              </w:rPr>
              <w:t>63,363</w:t>
            </w:r>
          </w:p>
        </w:tc>
        <w:tc>
          <w:tcPr>
            <w:tcW w:w="940" w:type="dxa"/>
            <w:vAlign w:val="bottom"/>
          </w:tcPr>
          <w:p>
            <w:pPr>
              <w:jc w:val="right"/>
              <w:ind w:right="232"/>
              <w:spacing w:after="0"/>
              <w:rPr>
                <w:sz w:val="20"/>
                <w:szCs w:val="20"/>
                <w:color w:val="auto"/>
              </w:rPr>
            </w:pPr>
            <w:r>
              <w:rPr>
                <w:rFonts w:ascii="Arial" w:cs="Arial" w:eastAsia="Arial" w:hAnsi="Arial"/>
                <w:sz w:val="14"/>
                <w:szCs w:val="14"/>
                <w:color w:val="231F20"/>
              </w:rPr>
              <w:t>$ 35.94</w:t>
            </w:r>
          </w:p>
        </w:tc>
        <w:tc>
          <w:tcPr>
            <w:tcW w:w="1220" w:type="dxa"/>
            <w:vAlign w:val="bottom"/>
          </w:tcPr>
          <w:p>
            <w:pPr>
              <w:jc w:val="right"/>
              <w:ind w:right="232"/>
              <w:spacing w:after="0"/>
              <w:rPr>
                <w:sz w:val="20"/>
                <w:szCs w:val="20"/>
                <w:color w:val="auto"/>
              </w:rPr>
            </w:pPr>
            <w:r>
              <w:rPr>
                <w:rFonts w:ascii="Arial" w:cs="Arial" w:eastAsia="Arial" w:hAnsi="Arial"/>
                <w:sz w:val="14"/>
                <w:szCs w:val="14"/>
                <w:color w:val="231F20"/>
              </w:rPr>
              <w:t>2/28/2029</w:t>
            </w:r>
          </w:p>
        </w:tc>
        <w:tc>
          <w:tcPr>
            <w:tcW w:w="1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33"/>
        </w:trPr>
        <w:tc>
          <w:tcPr>
            <w:tcW w:w="1140" w:type="dxa"/>
            <w:vAlign w:val="bottom"/>
            <w:tcBorders>
              <w:bottom w:val="single" w:sz="8" w:color="231F20"/>
            </w:tcBorders>
          </w:tcPr>
          <w:p>
            <w:pPr>
              <w:spacing w:after="0"/>
              <w:rPr>
                <w:sz w:val="2"/>
                <w:szCs w:val="2"/>
                <w:color w:val="auto"/>
              </w:rPr>
            </w:pPr>
          </w:p>
        </w:tc>
        <w:tc>
          <w:tcPr>
            <w:tcW w:w="1400" w:type="dxa"/>
            <w:vAlign w:val="bottom"/>
            <w:tcBorders>
              <w:bottom w:val="single" w:sz="8" w:color="231F20"/>
            </w:tcBorders>
          </w:tcPr>
          <w:p>
            <w:pPr>
              <w:spacing w:after="0"/>
              <w:rPr>
                <w:sz w:val="2"/>
                <w:szCs w:val="2"/>
                <w:color w:val="auto"/>
              </w:rPr>
            </w:pPr>
          </w:p>
        </w:tc>
        <w:tc>
          <w:tcPr>
            <w:tcW w:w="1080" w:type="dxa"/>
            <w:vAlign w:val="bottom"/>
            <w:tcBorders>
              <w:bottom w:val="single" w:sz="8" w:color="231F20"/>
            </w:tcBorders>
          </w:tcPr>
          <w:p>
            <w:pPr>
              <w:spacing w:after="0"/>
              <w:rPr>
                <w:sz w:val="2"/>
                <w:szCs w:val="2"/>
                <w:color w:val="auto"/>
              </w:rPr>
            </w:pPr>
          </w:p>
        </w:tc>
        <w:tc>
          <w:tcPr>
            <w:tcW w:w="500" w:type="dxa"/>
            <w:vAlign w:val="bottom"/>
            <w:tcBorders>
              <w:bottom w:val="single" w:sz="8" w:color="231F20"/>
            </w:tcBorders>
          </w:tcPr>
          <w:p>
            <w:pPr>
              <w:spacing w:after="0"/>
              <w:rPr>
                <w:sz w:val="2"/>
                <w:szCs w:val="2"/>
                <w:color w:val="auto"/>
              </w:rPr>
            </w:pPr>
          </w:p>
        </w:tc>
        <w:tc>
          <w:tcPr>
            <w:tcW w:w="940" w:type="dxa"/>
            <w:vAlign w:val="bottom"/>
            <w:tcBorders>
              <w:bottom w:val="single" w:sz="8" w:color="231F20"/>
            </w:tcBorders>
          </w:tcPr>
          <w:p>
            <w:pPr>
              <w:spacing w:after="0"/>
              <w:rPr>
                <w:sz w:val="2"/>
                <w:szCs w:val="2"/>
                <w:color w:val="auto"/>
              </w:rPr>
            </w:pPr>
          </w:p>
        </w:tc>
        <w:tc>
          <w:tcPr>
            <w:tcW w:w="1220" w:type="dxa"/>
            <w:vAlign w:val="bottom"/>
            <w:tcBorders>
              <w:bottom w:val="single" w:sz="8" w:color="231F20"/>
            </w:tcBorders>
          </w:tcPr>
          <w:p>
            <w:pPr>
              <w:spacing w:after="0"/>
              <w:rPr>
                <w:sz w:val="2"/>
                <w:szCs w:val="2"/>
                <w:color w:val="auto"/>
              </w:rPr>
            </w:pPr>
          </w:p>
        </w:tc>
        <w:tc>
          <w:tcPr>
            <w:tcW w:w="1180" w:type="dxa"/>
            <w:vAlign w:val="bottom"/>
            <w:tcBorders>
              <w:bottom w:val="single" w:sz="8" w:color="231F20"/>
            </w:tcBorders>
          </w:tcPr>
          <w:p>
            <w:pPr>
              <w:spacing w:after="0"/>
              <w:rPr>
                <w:sz w:val="2"/>
                <w:szCs w:val="2"/>
                <w:color w:val="auto"/>
              </w:rPr>
            </w:pPr>
          </w:p>
        </w:tc>
        <w:tc>
          <w:tcPr>
            <w:tcW w:w="560" w:type="dxa"/>
            <w:vAlign w:val="bottom"/>
            <w:tcBorders>
              <w:bottom w:val="single" w:sz="8" w:color="231F20"/>
            </w:tcBorders>
          </w:tcPr>
          <w:p>
            <w:pPr>
              <w:spacing w:after="0"/>
              <w:rPr>
                <w:sz w:val="2"/>
                <w:szCs w:val="2"/>
                <w:color w:val="auto"/>
              </w:rPr>
            </w:pPr>
          </w:p>
        </w:tc>
        <w:tc>
          <w:tcPr>
            <w:tcW w:w="720" w:type="dxa"/>
            <w:vAlign w:val="bottom"/>
            <w:tcBorders>
              <w:bottom w:val="single" w:sz="8" w:color="231F20"/>
            </w:tcBorders>
          </w:tcPr>
          <w:p>
            <w:pPr>
              <w:spacing w:after="0"/>
              <w:rPr>
                <w:sz w:val="2"/>
                <w:szCs w:val="2"/>
                <w:color w:val="auto"/>
              </w:rPr>
            </w:pPr>
          </w:p>
        </w:tc>
        <w:tc>
          <w:tcPr>
            <w:tcW w:w="1320" w:type="dxa"/>
            <w:vAlign w:val="bottom"/>
            <w:tcBorders>
              <w:bottom w:val="single" w:sz="8" w:color="231F20"/>
            </w:tcBorders>
          </w:tcPr>
          <w:p>
            <w:pPr>
              <w:spacing w:after="0"/>
              <w:rPr>
                <w:sz w:val="2"/>
                <w:szCs w:val="2"/>
                <w:color w:val="auto"/>
              </w:rPr>
            </w:pPr>
          </w:p>
        </w:tc>
        <w:tc>
          <w:tcPr>
            <w:tcW w:w="580" w:type="dxa"/>
            <w:vAlign w:val="bottom"/>
            <w:tcBorders>
              <w:bottom w:val="single" w:sz="8" w:color="231F20"/>
            </w:tcBorders>
          </w:tcPr>
          <w:p>
            <w:pPr>
              <w:spacing w:after="0"/>
              <w:rPr>
                <w:sz w:val="2"/>
                <w:szCs w:val="2"/>
                <w:color w:val="auto"/>
              </w:rPr>
            </w:pPr>
          </w:p>
        </w:tc>
        <w:tc>
          <w:tcPr>
            <w:tcW w:w="600" w:type="dxa"/>
            <w:vAlign w:val="bottom"/>
            <w:tcBorders>
              <w:bottom w:val="single" w:sz="8" w:color="231F20"/>
            </w:tcBorders>
          </w:tcPr>
          <w:p>
            <w:pPr>
              <w:spacing w:after="0"/>
              <w:rPr>
                <w:sz w:val="2"/>
                <w:szCs w:val="2"/>
                <w:color w:val="auto"/>
              </w:rPr>
            </w:pPr>
          </w:p>
        </w:tc>
        <w:tc>
          <w:tcPr>
            <w:tcW w:w="20" w:type="dxa"/>
            <w:vAlign w:val="bottom"/>
          </w:tcPr>
          <w:p>
            <w:pPr>
              <w:spacing w:after="0"/>
              <w:rPr>
                <w:sz w:val="2"/>
                <w:szCs w:val="2"/>
                <w:color w:val="auto"/>
              </w:rPr>
            </w:pPr>
          </w:p>
        </w:tc>
      </w:tr>
      <w:tr>
        <w:trPr>
          <w:trHeight w:val="221"/>
        </w:trPr>
        <w:tc>
          <w:tcPr>
            <w:tcW w:w="1140" w:type="dxa"/>
            <w:vAlign w:val="bottom"/>
          </w:tcPr>
          <w:p>
            <w:pPr>
              <w:spacing w:after="0"/>
              <w:rPr>
                <w:sz w:val="20"/>
                <w:szCs w:val="20"/>
                <w:color w:val="auto"/>
              </w:rPr>
            </w:pPr>
            <w:r>
              <w:rPr>
                <w:rFonts w:ascii="Arial" w:cs="Arial" w:eastAsia="Arial" w:hAnsi="Arial"/>
                <w:sz w:val="14"/>
                <w:szCs w:val="14"/>
                <w:b w:val="1"/>
                <w:bCs w:val="1"/>
                <w:color w:val="455986"/>
              </w:rPr>
              <w:t>Schuller</w:t>
            </w:r>
          </w:p>
        </w:tc>
        <w:tc>
          <w:tcPr>
            <w:tcW w:w="1400" w:type="dxa"/>
            <w:vAlign w:val="bottom"/>
          </w:tcPr>
          <w:p>
            <w:pPr>
              <w:jc w:val="right"/>
              <w:ind w:right="92"/>
              <w:spacing w:after="0"/>
              <w:rPr>
                <w:sz w:val="20"/>
                <w:szCs w:val="20"/>
                <w:color w:val="auto"/>
              </w:rPr>
            </w:pPr>
            <w:r>
              <w:rPr>
                <w:rFonts w:ascii="Arial" w:cs="Arial" w:eastAsia="Arial" w:hAnsi="Arial"/>
                <w:sz w:val="14"/>
                <w:szCs w:val="14"/>
                <w:color w:val="231F20"/>
              </w:rPr>
              <w:t>—</w:t>
            </w:r>
          </w:p>
        </w:tc>
        <w:tc>
          <w:tcPr>
            <w:tcW w:w="1580" w:type="dxa"/>
            <w:vAlign w:val="bottom"/>
            <w:gridSpan w:val="2"/>
          </w:tcPr>
          <w:p>
            <w:pPr>
              <w:jc w:val="right"/>
              <w:ind w:right="500"/>
              <w:spacing w:after="0"/>
              <w:rPr>
                <w:sz w:val="20"/>
                <w:szCs w:val="20"/>
                <w:color w:val="auto"/>
              </w:rPr>
            </w:pPr>
            <w:r>
              <w:rPr>
                <w:rFonts w:ascii="Arial" w:cs="Arial" w:eastAsia="Arial" w:hAnsi="Arial"/>
                <w:sz w:val="14"/>
                <w:szCs w:val="14"/>
                <w:color w:val="231F20"/>
              </w:rPr>
              <w:t>6,789</w:t>
            </w:r>
          </w:p>
        </w:tc>
        <w:tc>
          <w:tcPr>
            <w:tcW w:w="940" w:type="dxa"/>
            <w:vAlign w:val="bottom"/>
          </w:tcPr>
          <w:p>
            <w:pPr>
              <w:jc w:val="right"/>
              <w:ind w:right="232"/>
              <w:spacing w:after="0"/>
              <w:rPr>
                <w:sz w:val="20"/>
                <w:szCs w:val="20"/>
                <w:color w:val="auto"/>
              </w:rPr>
            </w:pPr>
            <w:r>
              <w:rPr>
                <w:rFonts w:ascii="Arial" w:cs="Arial" w:eastAsia="Arial" w:hAnsi="Arial"/>
                <w:sz w:val="14"/>
                <w:szCs w:val="14"/>
                <w:color w:val="231F20"/>
              </w:rPr>
              <w:t>$ 30.47</w:t>
            </w:r>
          </w:p>
        </w:tc>
        <w:tc>
          <w:tcPr>
            <w:tcW w:w="1220" w:type="dxa"/>
            <w:vAlign w:val="bottom"/>
          </w:tcPr>
          <w:p>
            <w:pPr>
              <w:jc w:val="right"/>
              <w:ind w:right="232"/>
              <w:spacing w:after="0"/>
              <w:rPr>
                <w:sz w:val="20"/>
                <w:szCs w:val="20"/>
                <w:color w:val="auto"/>
              </w:rPr>
            </w:pPr>
            <w:r>
              <w:rPr>
                <w:rFonts w:ascii="Arial" w:cs="Arial" w:eastAsia="Arial" w:hAnsi="Arial"/>
                <w:sz w:val="14"/>
                <w:szCs w:val="14"/>
                <w:color w:val="231F20"/>
              </w:rPr>
              <w:t>2/22/2027</w:t>
            </w:r>
          </w:p>
        </w:tc>
        <w:tc>
          <w:tcPr>
            <w:tcW w:w="1180" w:type="dxa"/>
            <w:vAlign w:val="bottom"/>
          </w:tcPr>
          <w:p>
            <w:pPr>
              <w:jc w:val="right"/>
              <w:ind w:right="172"/>
              <w:spacing w:after="0"/>
              <w:rPr>
                <w:sz w:val="20"/>
                <w:szCs w:val="20"/>
                <w:color w:val="auto"/>
              </w:rPr>
            </w:pPr>
            <w:r>
              <w:rPr>
                <w:rFonts w:ascii="Arial" w:cs="Arial" w:eastAsia="Arial" w:hAnsi="Arial"/>
                <w:sz w:val="14"/>
                <w:szCs w:val="14"/>
                <w:color w:val="231F20"/>
              </w:rPr>
              <w:t>10,778</w:t>
            </w:r>
          </w:p>
        </w:tc>
        <w:tc>
          <w:tcPr>
            <w:tcW w:w="560" w:type="dxa"/>
            <w:vAlign w:val="bottom"/>
          </w:tcPr>
          <w:p>
            <w:pPr>
              <w:jc w:val="right"/>
              <w:spacing w:after="0"/>
              <w:rPr>
                <w:sz w:val="20"/>
                <w:szCs w:val="20"/>
                <w:color w:val="auto"/>
              </w:rPr>
            </w:pPr>
            <w:r>
              <w:rPr>
                <w:rFonts w:ascii="Arial" w:cs="Arial" w:eastAsia="Arial" w:hAnsi="Arial"/>
                <w:sz w:val="14"/>
                <w:szCs w:val="14"/>
                <w:color w:val="231F20"/>
              </w:rPr>
              <w:t>$</w:t>
            </w:r>
          </w:p>
        </w:tc>
        <w:tc>
          <w:tcPr>
            <w:tcW w:w="720" w:type="dxa"/>
            <w:vAlign w:val="bottom"/>
          </w:tcPr>
          <w:p>
            <w:pPr>
              <w:jc w:val="right"/>
              <w:ind w:right="112"/>
              <w:spacing w:after="0"/>
              <w:rPr>
                <w:sz w:val="20"/>
                <w:szCs w:val="20"/>
                <w:color w:val="auto"/>
              </w:rPr>
            </w:pPr>
            <w:r>
              <w:rPr>
                <w:rFonts w:ascii="Arial" w:cs="Arial" w:eastAsia="Arial" w:hAnsi="Arial"/>
                <w:sz w:val="14"/>
                <w:szCs w:val="14"/>
                <w:color w:val="231F20"/>
              </w:rPr>
              <w:t>526,576</w:t>
            </w:r>
          </w:p>
        </w:tc>
        <w:tc>
          <w:tcPr>
            <w:tcW w:w="1320" w:type="dxa"/>
            <w:vAlign w:val="bottom"/>
          </w:tcPr>
          <w:p>
            <w:pPr>
              <w:jc w:val="right"/>
              <w:ind w:right="93"/>
              <w:spacing w:after="0"/>
              <w:rPr>
                <w:sz w:val="20"/>
                <w:szCs w:val="20"/>
                <w:color w:val="auto"/>
              </w:rPr>
            </w:pPr>
            <w:r>
              <w:rPr>
                <w:rFonts w:ascii="Arial" w:cs="Arial" w:eastAsia="Arial" w:hAnsi="Arial"/>
                <w:sz w:val="14"/>
                <w:szCs w:val="14"/>
                <w:color w:val="231F20"/>
              </w:rPr>
              <w:t>15,298</w:t>
            </w:r>
          </w:p>
        </w:tc>
        <w:tc>
          <w:tcPr>
            <w:tcW w:w="580" w:type="dxa"/>
            <w:vAlign w:val="bottom"/>
          </w:tcPr>
          <w:p>
            <w:pPr>
              <w:jc w:val="right"/>
              <w:spacing w:after="0"/>
              <w:rPr>
                <w:sz w:val="20"/>
                <w:szCs w:val="20"/>
                <w:color w:val="auto"/>
              </w:rPr>
            </w:pPr>
            <w:r>
              <w:rPr>
                <w:rFonts w:ascii="Arial" w:cs="Arial" w:eastAsia="Arial" w:hAnsi="Arial"/>
                <w:sz w:val="14"/>
                <w:szCs w:val="14"/>
                <w:color w:val="231F20"/>
              </w:rPr>
              <w:t>$</w:t>
            </w:r>
          </w:p>
        </w:tc>
        <w:tc>
          <w:tcPr>
            <w:tcW w:w="620" w:type="dxa"/>
            <w:vAlign w:val="bottom"/>
            <w:gridSpan w:val="2"/>
          </w:tcPr>
          <w:p>
            <w:pPr>
              <w:jc w:val="right"/>
              <w:ind w:right="20"/>
              <w:spacing w:after="0"/>
              <w:rPr>
                <w:sz w:val="20"/>
                <w:szCs w:val="20"/>
                <w:color w:val="auto"/>
              </w:rPr>
            </w:pPr>
            <w:r>
              <w:rPr>
                <w:rFonts w:ascii="Arial" w:cs="Arial" w:eastAsia="Arial" w:hAnsi="Arial"/>
                <w:sz w:val="14"/>
                <w:szCs w:val="14"/>
                <w:color w:val="231F20"/>
              </w:rPr>
              <w:t>740,549</w:t>
            </w:r>
          </w:p>
        </w:tc>
      </w:tr>
      <w:tr>
        <w:trPr>
          <w:trHeight w:val="27"/>
        </w:trPr>
        <w:tc>
          <w:tcPr>
            <w:tcW w:w="1140" w:type="dxa"/>
            <w:vAlign w:val="bottom"/>
          </w:tcPr>
          <w:p>
            <w:pPr>
              <w:spacing w:after="0"/>
              <w:rPr>
                <w:sz w:val="2"/>
                <w:szCs w:val="2"/>
                <w:color w:val="auto"/>
              </w:rPr>
            </w:pPr>
          </w:p>
        </w:tc>
        <w:tc>
          <w:tcPr>
            <w:tcW w:w="1400" w:type="dxa"/>
            <w:vAlign w:val="bottom"/>
            <w:tcBorders>
              <w:bottom w:val="single" w:sz="8" w:color="231F20"/>
            </w:tcBorders>
          </w:tcPr>
          <w:p>
            <w:pPr>
              <w:spacing w:after="0"/>
              <w:rPr>
                <w:sz w:val="2"/>
                <w:szCs w:val="2"/>
                <w:color w:val="auto"/>
              </w:rPr>
            </w:pPr>
          </w:p>
        </w:tc>
        <w:tc>
          <w:tcPr>
            <w:tcW w:w="1080" w:type="dxa"/>
            <w:vAlign w:val="bottom"/>
            <w:tcBorders>
              <w:bottom w:val="single" w:sz="8" w:color="231F20"/>
            </w:tcBorders>
          </w:tcPr>
          <w:p>
            <w:pPr>
              <w:spacing w:after="0"/>
              <w:rPr>
                <w:sz w:val="2"/>
                <w:szCs w:val="2"/>
                <w:color w:val="auto"/>
              </w:rPr>
            </w:pPr>
          </w:p>
        </w:tc>
        <w:tc>
          <w:tcPr>
            <w:tcW w:w="500" w:type="dxa"/>
            <w:vAlign w:val="bottom"/>
            <w:tcBorders>
              <w:bottom w:val="single" w:sz="8" w:color="231F20"/>
            </w:tcBorders>
          </w:tcPr>
          <w:p>
            <w:pPr>
              <w:spacing w:after="0"/>
              <w:rPr>
                <w:sz w:val="2"/>
                <w:szCs w:val="2"/>
                <w:color w:val="auto"/>
              </w:rPr>
            </w:pPr>
          </w:p>
        </w:tc>
        <w:tc>
          <w:tcPr>
            <w:tcW w:w="940" w:type="dxa"/>
            <w:vAlign w:val="bottom"/>
            <w:tcBorders>
              <w:bottom w:val="single" w:sz="8" w:color="231F20"/>
            </w:tcBorders>
          </w:tcPr>
          <w:p>
            <w:pPr>
              <w:spacing w:after="0"/>
              <w:rPr>
                <w:sz w:val="2"/>
                <w:szCs w:val="2"/>
                <w:color w:val="auto"/>
              </w:rPr>
            </w:pPr>
          </w:p>
        </w:tc>
        <w:tc>
          <w:tcPr>
            <w:tcW w:w="1220" w:type="dxa"/>
            <w:vAlign w:val="bottom"/>
            <w:tcBorders>
              <w:bottom w:val="single" w:sz="8" w:color="231F20"/>
            </w:tcBorders>
          </w:tcPr>
          <w:p>
            <w:pPr>
              <w:spacing w:after="0"/>
              <w:rPr>
                <w:sz w:val="2"/>
                <w:szCs w:val="2"/>
                <w:color w:val="auto"/>
              </w:rPr>
            </w:pPr>
          </w:p>
        </w:tc>
        <w:tc>
          <w:tcPr>
            <w:tcW w:w="1180" w:type="dxa"/>
            <w:vAlign w:val="bottom"/>
            <w:tcBorders>
              <w:bottom w:val="single" w:sz="8" w:color="231F20"/>
            </w:tcBorders>
          </w:tcPr>
          <w:p>
            <w:pPr>
              <w:spacing w:after="0"/>
              <w:rPr>
                <w:sz w:val="2"/>
                <w:szCs w:val="2"/>
                <w:color w:val="auto"/>
              </w:rPr>
            </w:pPr>
          </w:p>
        </w:tc>
        <w:tc>
          <w:tcPr>
            <w:tcW w:w="560" w:type="dxa"/>
            <w:vAlign w:val="bottom"/>
            <w:tcBorders>
              <w:bottom w:val="single" w:sz="8" w:color="231F20"/>
            </w:tcBorders>
          </w:tcPr>
          <w:p>
            <w:pPr>
              <w:spacing w:after="0"/>
              <w:rPr>
                <w:sz w:val="2"/>
                <w:szCs w:val="2"/>
                <w:color w:val="auto"/>
              </w:rPr>
            </w:pPr>
          </w:p>
        </w:tc>
        <w:tc>
          <w:tcPr>
            <w:tcW w:w="720" w:type="dxa"/>
            <w:vAlign w:val="bottom"/>
            <w:tcBorders>
              <w:bottom w:val="single" w:sz="8" w:color="231F20"/>
            </w:tcBorders>
          </w:tcPr>
          <w:p>
            <w:pPr>
              <w:spacing w:after="0"/>
              <w:rPr>
                <w:sz w:val="2"/>
                <w:szCs w:val="2"/>
                <w:color w:val="auto"/>
              </w:rPr>
            </w:pPr>
          </w:p>
        </w:tc>
        <w:tc>
          <w:tcPr>
            <w:tcW w:w="1320" w:type="dxa"/>
            <w:vAlign w:val="bottom"/>
            <w:tcBorders>
              <w:bottom w:val="single" w:sz="8" w:color="231F20"/>
            </w:tcBorders>
          </w:tcPr>
          <w:p>
            <w:pPr>
              <w:spacing w:after="0"/>
              <w:rPr>
                <w:sz w:val="2"/>
                <w:szCs w:val="2"/>
                <w:color w:val="auto"/>
              </w:rPr>
            </w:pPr>
          </w:p>
        </w:tc>
        <w:tc>
          <w:tcPr>
            <w:tcW w:w="580" w:type="dxa"/>
            <w:vAlign w:val="bottom"/>
            <w:tcBorders>
              <w:bottom w:val="single" w:sz="8" w:color="231F20"/>
            </w:tcBorders>
          </w:tcPr>
          <w:p>
            <w:pPr>
              <w:spacing w:after="0"/>
              <w:rPr>
                <w:sz w:val="2"/>
                <w:szCs w:val="2"/>
                <w:color w:val="auto"/>
              </w:rPr>
            </w:pPr>
          </w:p>
        </w:tc>
        <w:tc>
          <w:tcPr>
            <w:tcW w:w="600" w:type="dxa"/>
            <w:vAlign w:val="bottom"/>
            <w:tcBorders>
              <w:bottom w:val="single" w:sz="8" w:color="231F20"/>
            </w:tcBorders>
          </w:tcPr>
          <w:p>
            <w:pPr>
              <w:spacing w:after="0"/>
              <w:rPr>
                <w:sz w:val="2"/>
                <w:szCs w:val="2"/>
                <w:color w:val="auto"/>
              </w:rPr>
            </w:pPr>
          </w:p>
        </w:tc>
        <w:tc>
          <w:tcPr>
            <w:tcW w:w="20" w:type="dxa"/>
            <w:vAlign w:val="bottom"/>
          </w:tcPr>
          <w:p>
            <w:pPr>
              <w:spacing w:after="0"/>
              <w:rPr>
                <w:sz w:val="2"/>
                <w:szCs w:val="2"/>
                <w:color w:val="auto"/>
              </w:rPr>
            </w:pPr>
          </w:p>
        </w:tc>
      </w:tr>
      <w:tr>
        <w:trPr>
          <w:trHeight w:val="215"/>
        </w:trPr>
        <w:tc>
          <w:tcPr>
            <w:tcW w:w="1140" w:type="dxa"/>
            <w:vAlign w:val="bottom"/>
          </w:tcPr>
          <w:p>
            <w:pPr>
              <w:spacing w:after="0"/>
              <w:rPr>
                <w:sz w:val="18"/>
                <w:szCs w:val="18"/>
                <w:color w:val="auto"/>
              </w:rPr>
            </w:pPr>
          </w:p>
        </w:tc>
        <w:tc>
          <w:tcPr>
            <w:tcW w:w="1400" w:type="dxa"/>
            <w:vAlign w:val="bottom"/>
          </w:tcPr>
          <w:p>
            <w:pPr>
              <w:jc w:val="right"/>
              <w:ind w:right="92"/>
              <w:spacing w:after="0"/>
              <w:rPr>
                <w:sz w:val="20"/>
                <w:szCs w:val="20"/>
                <w:color w:val="auto"/>
              </w:rPr>
            </w:pPr>
            <w:r>
              <w:rPr>
                <w:rFonts w:ascii="Arial" w:cs="Arial" w:eastAsia="Arial" w:hAnsi="Arial"/>
                <w:sz w:val="14"/>
                <w:szCs w:val="14"/>
                <w:color w:val="231F20"/>
              </w:rPr>
              <w:t>2,908</w:t>
            </w:r>
          </w:p>
        </w:tc>
        <w:tc>
          <w:tcPr>
            <w:tcW w:w="1580" w:type="dxa"/>
            <w:vAlign w:val="bottom"/>
            <w:gridSpan w:val="2"/>
          </w:tcPr>
          <w:p>
            <w:pPr>
              <w:jc w:val="right"/>
              <w:ind w:right="500"/>
              <w:spacing w:after="0"/>
              <w:rPr>
                <w:sz w:val="20"/>
                <w:szCs w:val="20"/>
                <w:color w:val="auto"/>
              </w:rPr>
            </w:pPr>
            <w:r>
              <w:rPr>
                <w:rFonts w:ascii="Arial" w:cs="Arial" w:eastAsia="Arial" w:hAnsi="Arial"/>
                <w:sz w:val="14"/>
                <w:szCs w:val="14"/>
                <w:color w:val="231F20"/>
              </w:rPr>
              <w:t>5,815</w:t>
            </w:r>
          </w:p>
        </w:tc>
        <w:tc>
          <w:tcPr>
            <w:tcW w:w="940" w:type="dxa"/>
            <w:vAlign w:val="bottom"/>
          </w:tcPr>
          <w:p>
            <w:pPr>
              <w:jc w:val="right"/>
              <w:ind w:right="232"/>
              <w:spacing w:after="0"/>
              <w:rPr>
                <w:sz w:val="20"/>
                <w:szCs w:val="20"/>
                <w:color w:val="auto"/>
              </w:rPr>
            </w:pPr>
            <w:r>
              <w:rPr>
                <w:rFonts w:ascii="Arial" w:cs="Arial" w:eastAsia="Arial" w:hAnsi="Arial"/>
                <w:sz w:val="14"/>
                <w:szCs w:val="14"/>
                <w:color w:val="231F20"/>
              </w:rPr>
              <w:t>$ 34.51</w:t>
            </w:r>
          </w:p>
        </w:tc>
        <w:tc>
          <w:tcPr>
            <w:tcW w:w="1220" w:type="dxa"/>
            <w:vAlign w:val="bottom"/>
          </w:tcPr>
          <w:p>
            <w:pPr>
              <w:jc w:val="right"/>
              <w:ind w:right="232"/>
              <w:spacing w:after="0"/>
              <w:rPr>
                <w:sz w:val="20"/>
                <w:szCs w:val="20"/>
                <w:color w:val="auto"/>
              </w:rPr>
            </w:pPr>
            <w:r>
              <w:rPr>
                <w:rFonts w:ascii="Arial" w:cs="Arial" w:eastAsia="Arial" w:hAnsi="Arial"/>
                <w:sz w:val="14"/>
                <w:szCs w:val="14"/>
                <w:color w:val="231F20"/>
              </w:rPr>
              <w:t>2/27/2028</w:t>
            </w:r>
          </w:p>
        </w:tc>
        <w:tc>
          <w:tcPr>
            <w:tcW w:w="1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33"/>
        </w:trPr>
        <w:tc>
          <w:tcPr>
            <w:tcW w:w="1140" w:type="dxa"/>
            <w:vAlign w:val="bottom"/>
          </w:tcPr>
          <w:p>
            <w:pPr>
              <w:spacing w:after="0"/>
              <w:rPr>
                <w:sz w:val="2"/>
                <w:szCs w:val="2"/>
                <w:color w:val="auto"/>
              </w:rPr>
            </w:pPr>
          </w:p>
        </w:tc>
        <w:tc>
          <w:tcPr>
            <w:tcW w:w="1400" w:type="dxa"/>
            <w:vAlign w:val="bottom"/>
            <w:tcBorders>
              <w:bottom w:val="single" w:sz="8" w:color="231F20"/>
            </w:tcBorders>
          </w:tcPr>
          <w:p>
            <w:pPr>
              <w:spacing w:after="0"/>
              <w:rPr>
                <w:sz w:val="2"/>
                <w:szCs w:val="2"/>
                <w:color w:val="auto"/>
              </w:rPr>
            </w:pPr>
          </w:p>
        </w:tc>
        <w:tc>
          <w:tcPr>
            <w:tcW w:w="1080" w:type="dxa"/>
            <w:vAlign w:val="bottom"/>
            <w:tcBorders>
              <w:bottom w:val="single" w:sz="8" w:color="231F20"/>
            </w:tcBorders>
          </w:tcPr>
          <w:p>
            <w:pPr>
              <w:spacing w:after="0"/>
              <w:rPr>
                <w:sz w:val="2"/>
                <w:szCs w:val="2"/>
                <w:color w:val="auto"/>
              </w:rPr>
            </w:pPr>
          </w:p>
        </w:tc>
        <w:tc>
          <w:tcPr>
            <w:tcW w:w="500" w:type="dxa"/>
            <w:vAlign w:val="bottom"/>
            <w:tcBorders>
              <w:bottom w:val="single" w:sz="8" w:color="231F20"/>
            </w:tcBorders>
          </w:tcPr>
          <w:p>
            <w:pPr>
              <w:spacing w:after="0"/>
              <w:rPr>
                <w:sz w:val="2"/>
                <w:szCs w:val="2"/>
                <w:color w:val="auto"/>
              </w:rPr>
            </w:pPr>
          </w:p>
        </w:tc>
        <w:tc>
          <w:tcPr>
            <w:tcW w:w="940" w:type="dxa"/>
            <w:vAlign w:val="bottom"/>
            <w:tcBorders>
              <w:bottom w:val="single" w:sz="8" w:color="231F20"/>
            </w:tcBorders>
          </w:tcPr>
          <w:p>
            <w:pPr>
              <w:spacing w:after="0"/>
              <w:rPr>
                <w:sz w:val="2"/>
                <w:szCs w:val="2"/>
                <w:color w:val="auto"/>
              </w:rPr>
            </w:pPr>
          </w:p>
        </w:tc>
        <w:tc>
          <w:tcPr>
            <w:tcW w:w="1220" w:type="dxa"/>
            <w:vAlign w:val="bottom"/>
            <w:tcBorders>
              <w:bottom w:val="single" w:sz="8" w:color="231F20"/>
            </w:tcBorders>
          </w:tcPr>
          <w:p>
            <w:pPr>
              <w:spacing w:after="0"/>
              <w:rPr>
                <w:sz w:val="2"/>
                <w:szCs w:val="2"/>
                <w:color w:val="auto"/>
              </w:rPr>
            </w:pPr>
          </w:p>
        </w:tc>
        <w:tc>
          <w:tcPr>
            <w:tcW w:w="1180" w:type="dxa"/>
            <w:vAlign w:val="bottom"/>
            <w:tcBorders>
              <w:bottom w:val="single" w:sz="8" w:color="231F20"/>
            </w:tcBorders>
          </w:tcPr>
          <w:p>
            <w:pPr>
              <w:spacing w:after="0"/>
              <w:rPr>
                <w:sz w:val="2"/>
                <w:szCs w:val="2"/>
                <w:color w:val="auto"/>
              </w:rPr>
            </w:pPr>
          </w:p>
        </w:tc>
        <w:tc>
          <w:tcPr>
            <w:tcW w:w="560" w:type="dxa"/>
            <w:vAlign w:val="bottom"/>
            <w:tcBorders>
              <w:bottom w:val="single" w:sz="8" w:color="231F20"/>
            </w:tcBorders>
          </w:tcPr>
          <w:p>
            <w:pPr>
              <w:spacing w:after="0"/>
              <w:rPr>
                <w:sz w:val="2"/>
                <w:szCs w:val="2"/>
                <w:color w:val="auto"/>
              </w:rPr>
            </w:pPr>
          </w:p>
        </w:tc>
        <w:tc>
          <w:tcPr>
            <w:tcW w:w="720" w:type="dxa"/>
            <w:vAlign w:val="bottom"/>
            <w:tcBorders>
              <w:bottom w:val="single" w:sz="8" w:color="231F20"/>
            </w:tcBorders>
          </w:tcPr>
          <w:p>
            <w:pPr>
              <w:spacing w:after="0"/>
              <w:rPr>
                <w:sz w:val="2"/>
                <w:szCs w:val="2"/>
                <w:color w:val="auto"/>
              </w:rPr>
            </w:pPr>
          </w:p>
        </w:tc>
        <w:tc>
          <w:tcPr>
            <w:tcW w:w="1320" w:type="dxa"/>
            <w:vAlign w:val="bottom"/>
            <w:tcBorders>
              <w:bottom w:val="single" w:sz="8" w:color="231F20"/>
            </w:tcBorders>
          </w:tcPr>
          <w:p>
            <w:pPr>
              <w:spacing w:after="0"/>
              <w:rPr>
                <w:sz w:val="2"/>
                <w:szCs w:val="2"/>
                <w:color w:val="auto"/>
              </w:rPr>
            </w:pPr>
          </w:p>
        </w:tc>
        <w:tc>
          <w:tcPr>
            <w:tcW w:w="580" w:type="dxa"/>
            <w:vAlign w:val="bottom"/>
            <w:tcBorders>
              <w:bottom w:val="single" w:sz="8" w:color="231F20"/>
            </w:tcBorders>
          </w:tcPr>
          <w:p>
            <w:pPr>
              <w:spacing w:after="0"/>
              <w:rPr>
                <w:sz w:val="2"/>
                <w:szCs w:val="2"/>
                <w:color w:val="auto"/>
              </w:rPr>
            </w:pPr>
          </w:p>
        </w:tc>
        <w:tc>
          <w:tcPr>
            <w:tcW w:w="600" w:type="dxa"/>
            <w:vAlign w:val="bottom"/>
            <w:tcBorders>
              <w:bottom w:val="single" w:sz="8" w:color="231F20"/>
            </w:tcBorders>
          </w:tcPr>
          <w:p>
            <w:pPr>
              <w:spacing w:after="0"/>
              <w:rPr>
                <w:sz w:val="2"/>
                <w:szCs w:val="2"/>
                <w:color w:val="auto"/>
              </w:rPr>
            </w:pPr>
          </w:p>
        </w:tc>
        <w:tc>
          <w:tcPr>
            <w:tcW w:w="20" w:type="dxa"/>
            <w:vAlign w:val="bottom"/>
          </w:tcPr>
          <w:p>
            <w:pPr>
              <w:spacing w:after="0"/>
              <w:rPr>
                <w:sz w:val="2"/>
                <w:szCs w:val="2"/>
                <w:color w:val="auto"/>
              </w:rPr>
            </w:pPr>
          </w:p>
        </w:tc>
      </w:tr>
      <w:tr>
        <w:trPr>
          <w:trHeight w:val="215"/>
        </w:trPr>
        <w:tc>
          <w:tcPr>
            <w:tcW w:w="1140" w:type="dxa"/>
            <w:vAlign w:val="bottom"/>
          </w:tcPr>
          <w:p>
            <w:pPr>
              <w:spacing w:after="0"/>
              <w:rPr>
                <w:sz w:val="18"/>
                <w:szCs w:val="18"/>
                <w:color w:val="auto"/>
              </w:rPr>
            </w:pPr>
          </w:p>
        </w:tc>
        <w:tc>
          <w:tcPr>
            <w:tcW w:w="1400" w:type="dxa"/>
            <w:vAlign w:val="bottom"/>
          </w:tcPr>
          <w:p>
            <w:pPr>
              <w:jc w:val="right"/>
              <w:ind w:right="92"/>
              <w:spacing w:after="0"/>
              <w:rPr>
                <w:sz w:val="20"/>
                <w:szCs w:val="20"/>
                <w:color w:val="auto"/>
              </w:rPr>
            </w:pPr>
            <w:r>
              <w:rPr>
                <w:rFonts w:ascii="Arial" w:cs="Arial" w:eastAsia="Arial" w:hAnsi="Arial"/>
                <w:sz w:val="14"/>
                <w:szCs w:val="14"/>
                <w:color w:val="231F20"/>
              </w:rPr>
              <w:t>36,805</w:t>
            </w:r>
          </w:p>
        </w:tc>
        <w:tc>
          <w:tcPr>
            <w:tcW w:w="1580" w:type="dxa"/>
            <w:vAlign w:val="bottom"/>
            <w:gridSpan w:val="2"/>
          </w:tcPr>
          <w:p>
            <w:pPr>
              <w:jc w:val="right"/>
              <w:ind w:right="500"/>
              <w:spacing w:after="0"/>
              <w:rPr>
                <w:sz w:val="20"/>
                <w:szCs w:val="20"/>
                <w:color w:val="auto"/>
              </w:rPr>
            </w:pPr>
            <w:r>
              <w:rPr>
                <w:rFonts w:ascii="Arial" w:cs="Arial" w:eastAsia="Arial" w:hAnsi="Arial"/>
                <w:sz w:val="14"/>
                <w:szCs w:val="14"/>
                <w:color w:val="231F20"/>
              </w:rPr>
              <w:t>18,403</w:t>
            </w:r>
          </w:p>
        </w:tc>
        <w:tc>
          <w:tcPr>
            <w:tcW w:w="940" w:type="dxa"/>
            <w:vAlign w:val="bottom"/>
          </w:tcPr>
          <w:p>
            <w:pPr>
              <w:jc w:val="right"/>
              <w:ind w:right="232"/>
              <w:spacing w:after="0"/>
              <w:rPr>
                <w:sz w:val="20"/>
                <w:szCs w:val="20"/>
                <w:color w:val="auto"/>
              </w:rPr>
            </w:pPr>
            <w:r>
              <w:rPr>
                <w:rFonts w:ascii="Arial" w:cs="Arial" w:eastAsia="Arial" w:hAnsi="Arial"/>
                <w:sz w:val="14"/>
                <w:szCs w:val="14"/>
                <w:color w:val="231F20"/>
              </w:rPr>
              <w:t>$ 35.94</w:t>
            </w:r>
          </w:p>
        </w:tc>
        <w:tc>
          <w:tcPr>
            <w:tcW w:w="1220" w:type="dxa"/>
            <w:vAlign w:val="bottom"/>
          </w:tcPr>
          <w:p>
            <w:pPr>
              <w:jc w:val="right"/>
              <w:ind w:right="232"/>
              <w:spacing w:after="0"/>
              <w:rPr>
                <w:sz w:val="20"/>
                <w:szCs w:val="20"/>
                <w:color w:val="auto"/>
              </w:rPr>
            </w:pPr>
            <w:r>
              <w:rPr>
                <w:rFonts w:ascii="Arial" w:cs="Arial" w:eastAsia="Arial" w:hAnsi="Arial"/>
                <w:sz w:val="14"/>
                <w:szCs w:val="14"/>
                <w:color w:val="231F20"/>
              </w:rPr>
              <w:t>2/28/2029</w:t>
            </w:r>
          </w:p>
        </w:tc>
        <w:tc>
          <w:tcPr>
            <w:tcW w:w="1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33"/>
        </w:trPr>
        <w:tc>
          <w:tcPr>
            <w:tcW w:w="1140" w:type="dxa"/>
            <w:vAlign w:val="bottom"/>
            <w:tcBorders>
              <w:bottom w:val="single" w:sz="8" w:color="231F20"/>
            </w:tcBorders>
          </w:tcPr>
          <w:p>
            <w:pPr>
              <w:spacing w:after="0"/>
              <w:rPr>
                <w:sz w:val="2"/>
                <w:szCs w:val="2"/>
                <w:color w:val="auto"/>
              </w:rPr>
            </w:pPr>
          </w:p>
        </w:tc>
        <w:tc>
          <w:tcPr>
            <w:tcW w:w="1400" w:type="dxa"/>
            <w:vAlign w:val="bottom"/>
            <w:tcBorders>
              <w:bottom w:val="single" w:sz="8" w:color="231F20"/>
            </w:tcBorders>
          </w:tcPr>
          <w:p>
            <w:pPr>
              <w:spacing w:after="0"/>
              <w:rPr>
                <w:sz w:val="2"/>
                <w:szCs w:val="2"/>
                <w:color w:val="auto"/>
              </w:rPr>
            </w:pPr>
          </w:p>
        </w:tc>
        <w:tc>
          <w:tcPr>
            <w:tcW w:w="1080" w:type="dxa"/>
            <w:vAlign w:val="bottom"/>
            <w:tcBorders>
              <w:bottom w:val="single" w:sz="8" w:color="231F20"/>
            </w:tcBorders>
          </w:tcPr>
          <w:p>
            <w:pPr>
              <w:spacing w:after="0"/>
              <w:rPr>
                <w:sz w:val="2"/>
                <w:szCs w:val="2"/>
                <w:color w:val="auto"/>
              </w:rPr>
            </w:pPr>
          </w:p>
        </w:tc>
        <w:tc>
          <w:tcPr>
            <w:tcW w:w="500" w:type="dxa"/>
            <w:vAlign w:val="bottom"/>
            <w:tcBorders>
              <w:bottom w:val="single" w:sz="8" w:color="231F20"/>
            </w:tcBorders>
          </w:tcPr>
          <w:p>
            <w:pPr>
              <w:spacing w:after="0"/>
              <w:rPr>
                <w:sz w:val="2"/>
                <w:szCs w:val="2"/>
                <w:color w:val="auto"/>
              </w:rPr>
            </w:pPr>
          </w:p>
        </w:tc>
        <w:tc>
          <w:tcPr>
            <w:tcW w:w="940" w:type="dxa"/>
            <w:vAlign w:val="bottom"/>
            <w:tcBorders>
              <w:bottom w:val="single" w:sz="8" w:color="231F20"/>
            </w:tcBorders>
          </w:tcPr>
          <w:p>
            <w:pPr>
              <w:spacing w:after="0"/>
              <w:rPr>
                <w:sz w:val="2"/>
                <w:szCs w:val="2"/>
                <w:color w:val="auto"/>
              </w:rPr>
            </w:pPr>
          </w:p>
        </w:tc>
        <w:tc>
          <w:tcPr>
            <w:tcW w:w="1220" w:type="dxa"/>
            <w:vAlign w:val="bottom"/>
            <w:tcBorders>
              <w:bottom w:val="single" w:sz="8" w:color="231F20"/>
            </w:tcBorders>
          </w:tcPr>
          <w:p>
            <w:pPr>
              <w:spacing w:after="0"/>
              <w:rPr>
                <w:sz w:val="2"/>
                <w:szCs w:val="2"/>
                <w:color w:val="auto"/>
              </w:rPr>
            </w:pPr>
          </w:p>
        </w:tc>
        <w:tc>
          <w:tcPr>
            <w:tcW w:w="1180" w:type="dxa"/>
            <w:vAlign w:val="bottom"/>
            <w:tcBorders>
              <w:bottom w:val="single" w:sz="8" w:color="231F20"/>
            </w:tcBorders>
          </w:tcPr>
          <w:p>
            <w:pPr>
              <w:spacing w:after="0"/>
              <w:rPr>
                <w:sz w:val="2"/>
                <w:szCs w:val="2"/>
                <w:color w:val="auto"/>
              </w:rPr>
            </w:pPr>
          </w:p>
        </w:tc>
        <w:tc>
          <w:tcPr>
            <w:tcW w:w="560" w:type="dxa"/>
            <w:vAlign w:val="bottom"/>
            <w:tcBorders>
              <w:bottom w:val="single" w:sz="8" w:color="231F20"/>
            </w:tcBorders>
          </w:tcPr>
          <w:p>
            <w:pPr>
              <w:spacing w:after="0"/>
              <w:rPr>
                <w:sz w:val="2"/>
                <w:szCs w:val="2"/>
                <w:color w:val="auto"/>
              </w:rPr>
            </w:pPr>
          </w:p>
        </w:tc>
        <w:tc>
          <w:tcPr>
            <w:tcW w:w="720" w:type="dxa"/>
            <w:vAlign w:val="bottom"/>
            <w:tcBorders>
              <w:bottom w:val="single" w:sz="8" w:color="231F20"/>
            </w:tcBorders>
          </w:tcPr>
          <w:p>
            <w:pPr>
              <w:spacing w:after="0"/>
              <w:rPr>
                <w:sz w:val="2"/>
                <w:szCs w:val="2"/>
                <w:color w:val="auto"/>
              </w:rPr>
            </w:pPr>
          </w:p>
        </w:tc>
        <w:tc>
          <w:tcPr>
            <w:tcW w:w="1320" w:type="dxa"/>
            <w:vAlign w:val="bottom"/>
            <w:tcBorders>
              <w:bottom w:val="single" w:sz="8" w:color="231F20"/>
            </w:tcBorders>
          </w:tcPr>
          <w:p>
            <w:pPr>
              <w:spacing w:after="0"/>
              <w:rPr>
                <w:sz w:val="2"/>
                <w:szCs w:val="2"/>
                <w:color w:val="auto"/>
              </w:rPr>
            </w:pPr>
          </w:p>
        </w:tc>
        <w:tc>
          <w:tcPr>
            <w:tcW w:w="580" w:type="dxa"/>
            <w:vAlign w:val="bottom"/>
            <w:tcBorders>
              <w:bottom w:val="single" w:sz="8" w:color="231F20"/>
            </w:tcBorders>
          </w:tcPr>
          <w:p>
            <w:pPr>
              <w:spacing w:after="0"/>
              <w:rPr>
                <w:sz w:val="2"/>
                <w:szCs w:val="2"/>
                <w:color w:val="auto"/>
              </w:rPr>
            </w:pPr>
          </w:p>
        </w:tc>
        <w:tc>
          <w:tcPr>
            <w:tcW w:w="600" w:type="dxa"/>
            <w:vAlign w:val="bottom"/>
            <w:tcBorders>
              <w:bottom w:val="single" w:sz="8" w:color="231F20"/>
            </w:tcBorders>
          </w:tcPr>
          <w:p>
            <w:pPr>
              <w:spacing w:after="0"/>
              <w:rPr>
                <w:sz w:val="2"/>
                <w:szCs w:val="2"/>
                <w:color w:val="auto"/>
              </w:rPr>
            </w:pPr>
          </w:p>
        </w:tc>
        <w:tc>
          <w:tcPr>
            <w:tcW w:w="20" w:type="dxa"/>
            <w:vAlign w:val="bottom"/>
          </w:tcPr>
          <w:p>
            <w:pPr>
              <w:spacing w:after="0"/>
              <w:rPr>
                <w:sz w:val="2"/>
                <w:szCs w:val="2"/>
                <w:color w:val="auto"/>
              </w:rPr>
            </w:pPr>
          </w:p>
        </w:tc>
      </w:tr>
      <w:tr>
        <w:trPr>
          <w:trHeight w:val="221"/>
        </w:trPr>
        <w:tc>
          <w:tcPr>
            <w:tcW w:w="1140" w:type="dxa"/>
            <w:vAlign w:val="bottom"/>
          </w:tcPr>
          <w:p>
            <w:pPr>
              <w:spacing w:after="0"/>
              <w:rPr>
                <w:sz w:val="20"/>
                <w:szCs w:val="20"/>
                <w:color w:val="auto"/>
              </w:rPr>
            </w:pPr>
            <w:r>
              <w:rPr>
                <w:rFonts w:ascii="Arial" w:cs="Arial" w:eastAsia="Arial" w:hAnsi="Arial"/>
                <w:sz w:val="14"/>
                <w:szCs w:val="14"/>
                <w:b w:val="1"/>
                <w:bCs w:val="1"/>
                <w:color w:val="455986"/>
              </w:rPr>
              <w:t>Fox</w:t>
            </w:r>
          </w:p>
        </w:tc>
        <w:tc>
          <w:tcPr>
            <w:tcW w:w="1400" w:type="dxa"/>
            <w:vAlign w:val="bottom"/>
          </w:tcPr>
          <w:p>
            <w:pPr>
              <w:jc w:val="right"/>
              <w:ind w:right="92"/>
              <w:spacing w:after="0"/>
              <w:rPr>
                <w:sz w:val="20"/>
                <w:szCs w:val="20"/>
                <w:color w:val="auto"/>
              </w:rPr>
            </w:pPr>
            <w:r>
              <w:rPr>
                <w:rFonts w:ascii="Arial" w:cs="Arial" w:eastAsia="Arial" w:hAnsi="Arial"/>
                <w:sz w:val="14"/>
                <w:szCs w:val="14"/>
                <w:color w:val="231F20"/>
              </w:rPr>
              <w:t>—</w:t>
            </w:r>
          </w:p>
        </w:tc>
        <w:tc>
          <w:tcPr>
            <w:tcW w:w="1580" w:type="dxa"/>
            <w:vAlign w:val="bottom"/>
            <w:gridSpan w:val="2"/>
          </w:tcPr>
          <w:p>
            <w:pPr>
              <w:jc w:val="right"/>
              <w:ind w:right="500"/>
              <w:spacing w:after="0"/>
              <w:rPr>
                <w:sz w:val="20"/>
                <w:szCs w:val="20"/>
                <w:color w:val="auto"/>
              </w:rPr>
            </w:pPr>
            <w:r>
              <w:rPr>
                <w:rFonts w:ascii="Arial" w:cs="Arial" w:eastAsia="Arial" w:hAnsi="Arial"/>
                <w:sz w:val="14"/>
                <w:szCs w:val="14"/>
                <w:color w:val="231F20"/>
              </w:rPr>
              <w:t>6,958</w:t>
            </w:r>
          </w:p>
        </w:tc>
        <w:tc>
          <w:tcPr>
            <w:tcW w:w="940" w:type="dxa"/>
            <w:vAlign w:val="bottom"/>
          </w:tcPr>
          <w:p>
            <w:pPr>
              <w:jc w:val="right"/>
              <w:ind w:right="232"/>
              <w:spacing w:after="0"/>
              <w:rPr>
                <w:sz w:val="20"/>
                <w:szCs w:val="20"/>
                <w:color w:val="auto"/>
              </w:rPr>
            </w:pPr>
            <w:r>
              <w:rPr>
                <w:rFonts w:ascii="Arial" w:cs="Arial" w:eastAsia="Arial" w:hAnsi="Arial"/>
                <w:sz w:val="14"/>
                <w:szCs w:val="14"/>
                <w:color w:val="231F20"/>
              </w:rPr>
              <w:t>$ 30.47</w:t>
            </w:r>
          </w:p>
        </w:tc>
        <w:tc>
          <w:tcPr>
            <w:tcW w:w="1220" w:type="dxa"/>
            <w:vAlign w:val="bottom"/>
          </w:tcPr>
          <w:p>
            <w:pPr>
              <w:jc w:val="right"/>
              <w:ind w:right="232"/>
              <w:spacing w:after="0"/>
              <w:rPr>
                <w:sz w:val="20"/>
                <w:szCs w:val="20"/>
                <w:color w:val="auto"/>
              </w:rPr>
            </w:pPr>
            <w:r>
              <w:rPr>
                <w:rFonts w:ascii="Arial" w:cs="Arial" w:eastAsia="Arial" w:hAnsi="Arial"/>
                <w:sz w:val="14"/>
                <w:szCs w:val="14"/>
                <w:color w:val="231F20"/>
              </w:rPr>
              <w:t>2/22/2027</w:t>
            </w:r>
          </w:p>
        </w:tc>
        <w:tc>
          <w:tcPr>
            <w:tcW w:w="1180" w:type="dxa"/>
            <w:vAlign w:val="bottom"/>
          </w:tcPr>
          <w:p>
            <w:pPr>
              <w:jc w:val="right"/>
              <w:ind w:right="172"/>
              <w:spacing w:after="0"/>
              <w:rPr>
                <w:sz w:val="20"/>
                <w:szCs w:val="20"/>
                <w:color w:val="auto"/>
              </w:rPr>
            </w:pPr>
            <w:r>
              <w:rPr>
                <w:rFonts w:ascii="Arial" w:cs="Arial" w:eastAsia="Arial" w:hAnsi="Arial"/>
                <w:sz w:val="14"/>
                <w:szCs w:val="14"/>
                <w:color w:val="231F20"/>
              </w:rPr>
              <w:t>10,963</w:t>
            </w:r>
          </w:p>
        </w:tc>
        <w:tc>
          <w:tcPr>
            <w:tcW w:w="560" w:type="dxa"/>
            <w:vAlign w:val="bottom"/>
          </w:tcPr>
          <w:p>
            <w:pPr>
              <w:jc w:val="right"/>
              <w:spacing w:after="0"/>
              <w:rPr>
                <w:sz w:val="20"/>
                <w:szCs w:val="20"/>
                <w:color w:val="auto"/>
              </w:rPr>
            </w:pPr>
            <w:r>
              <w:rPr>
                <w:rFonts w:ascii="Arial" w:cs="Arial" w:eastAsia="Arial" w:hAnsi="Arial"/>
                <w:sz w:val="14"/>
                <w:szCs w:val="14"/>
                <w:color w:val="231F20"/>
              </w:rPr>
              <w:t>$</w:t>
            </w:r>
          </w:p>
        </w:tc>
        <w:tc>
          <w:tcPr>
            <w:tcW w:w="720" w:type="dxa"/>
            <w:vAlign w:val="bottom"/>
          </w:tcPr>
          <w:p>
            <w:pPr>
              <w:jc w:val="right"/>
              <w:ind w:right="112"/>
              <w:spacing w:after="0"/>
              <w:rPr>
                <w:sz w:val="20"/>
                <w:szCs w:val="20"/>
                <w:color w:val="auto"/>
              </w:rPr>
            </w:pPr>
            <w:r>
              <w:rPr>
                <w:rFonts w:ascii="Arial" w:cs="Arial" w:eastAsia="Arial" w:hAnsi="Arial"/>
                <w:sz w:val="14"/>
                <w:szCs w:val="14"/>
                <w:color w:val="231F20"/>
              </w:rPr>
              <w:t>535,666</w:t>
            </w:r>
          </w:p>
        </w:tc>
        <w:tc>
          <w:tcPr>
            <w:tcW w:w="1320" w:type="dxa"/>
            <w:vAlign w:val="bottom"/>
          </w:tcPr>
          <w:p>
            <w:pPr>
              <w:jc w:val="right"/>
              <w:ind w:right="93"/>
              <w:spacing w:after="0"/>
              <w:rPr>
                <w:sz w:val="20"/>
                <w:szCs w:val="20"/>
                <w:color w:val="auto"/>
              </w:rPr>
            </w:pPr>
            <w:r>
              <w:rPr>
                <w:rFonts w:ascii="Arial" w:cs="Arial" w:eastAsia="Arial" w:hAnsi="Arial"/>
                <w:sz w:val="14"/>
                <w:szCs w:val="14"/>
                <w:color w:val="231F20"/>
              </w:rPr>
              <w:t>15,569</w:t>
            </w:r>
          </w:p>
        </w:tc>
        <w:tc>
          <w:tcPr>
            <w:tcW w:w="580" w:type="dxa"/>
            <w:vAlign w:val="bottom"/>
          </w:tcPr>
          <w:p>
            <w:pPr>
              <w:jc w:val="right"/>
              <w:spacing w:after="0"/>
              <w:rPr>
                <w:sz w:val="20"/>
                <w:szCs w:val="20"/>
                <w:color w:val="auto"/>
              </w:rPr>
            </w:pPr>
            <w:r>
              <w:rPr>
                <w:rFonts w:ascii="Arial" w:cs="Arial" w:eastAsia="Arial" w:hAnsi="Arial"/>
                <w:sz w:val="14"/>
                <w:szCs w:val="14"/>
                <w:color w:val="231F20"/>
              </w:rPr>
              <w:t>$</w:t>
            </w:r>
          </w:p>
        </w:tc>
        <w:tc>
          <w:tcPr>
            <w:tcW w:w="620" w:type="dxa"/>
            <w:vAlign w:val="bottom"/>
            <w:gridSpan w:val="2"/>
          </w:tcPr>
          <w:p>
            <w:pPr>
              <w:jc w:val="right"/>
              <w:ind w:right="20"/>
              <w:spacing w:after="0"/>
              <w:rPr>
                <w:sz w:val="20"/>
                <w:szCs w:val="20"/>
                <w:color w:val="auto"/>
              </w:rPr>
            </w:pPr>
            <w:r>
              <w:rPr>
                <w:rFonts w:ascii="Arial" w:cs="Arial" w:eastAsia="Arial" w:hAnsi="Arial"/>
                <w:sz w:val="14"/>
                <w:szCs w:val="14"/>
                <w:color w:val="231F20"/>
              </w:rPr>
              <w:t>753,710</w:t>
            </w:r>
          </w:p>
        </w:tc>
      </w:tr>
      <w:tr>
        <w:trPr>
          <w:trHeight w:val="27"/>
        </w:trPr>
        <w:tc>
          <w:tcPr>
            <w:tcW w:w="1140" w:type="dxa"/>
            <w:vAlign w:val="bottom"/>
          </w:tcPr>
          <w:p>
            <w:pPr>
              <w:spacing w:after="0"/>
              <w:rPr>
                <w:sz w:val="2"/>
                <w:szCs w:val="2"/>
                <w:color w:val="auto"/>
              </w:rPr>
            </w:pPr>
          </w:p>
        </w:tc>
        <w:tc>
          <w:tcPr>
            <w:tcW w:w="1400" w:type="dxa"/>
            <w:vAlign w:val="bottom"/>
            <w:tcBorders>
              <w:bottom w:val="single" w:sz="8" w:color="231F20"/>
            </w:tcBorders>
          </w:tcPr>
          <w:p>
            <w:pPr>
              <w:spacing w:after="0"/>
              <w:rPr>
                <w:sz w:val="2"/>
                <w:szCs w:val="2"/>
                <w:color w:val="auto"/>
              </w:rPr>
            </w:pPr>
          </w:p>
        </w:tc>
        <w:tc>
          <w:tcPr>
            <w:tcW w:w="1080" w:type="dxa"/>
            <w:vAlign w:val="bottom"/>
            <w:tcBorders>
              <w:bottom w:val="single" w:sz="8" w:color="231F20"/>
            </w:tcBorders>
          </w:tcPr>
          <w:p>
            <w:pPr>
              <w:spacing w:after="0"/>
              <w:rPr>
                <w:sz w:val="2"/>
                <w:szCs w:val="2"/>
                <w:color w:val="auto"/>
              </w:rPr>
            </w:pPr>
          </w:p>
        </w:tc>
        <w:tc>
          <w:tcPr>
            <w:tcW w:w="500" w:type="dxa"/>
            <w:vAlign w:val="bottom"/>
            <w:tcBorders>
              <w:bottom w:val="single" w:sz="8" w:color="231F20"/>
            </w:tcBorders>
          </w:tcPr>
          <w:p>
            <w:pPr>
              <w:spacing w:after="0"/>
              <w:rPr>
                <w:sz w:val="2"/>
                <w:szCs w:val="2"/>
                <w:color w:val="auto"/>
              </w:rPr>
            </w:pPr>
          </w:p>
        </w:tc>
        <w:tc>
          <w:tcPr>
            <w:tcW w:w="940" w:type="dxa"/>
            <w:vAlign w:val="bottom"/>
            <w:tcBorders>
              <w:bottom w:val="single" w:sz="8" w:color="231F20"/>
            </w:tcBorders>
          </w:tcPr>
          <w:p>
            <w:pPr>
              <w:spacing w:after="0"/>
              <w:rPr>
                <w:sz w:val="2"/>
                <w:szCs w:val="2"/>
                <w:color w:val="auto"/>
              </w:rPr>
            </w:pPr>
          </w:p>
        </w:tc>
        <w:tc>
          <w:tcPr>
            <w:tcW w:w="1220" w:type="dxa"/>
            <w:vAlign w:val="bottom"/>
            <w:tcBorders>
              <w:bottom w:val="single" w:sz="8" w:color="231F20"/>
            </w:tcBorders>
          </w:tcPr>
          <w:p>
            <w:pPr>
              <w:spacing w:after="0"/>
              <w:rPr>
                <w:sz w:val="2"/>
                <w:szCs w:val="2"/>
                <w:color w:val="auto"/>
              </w:rPr>
            </w:pPr>
          </w:p>
        </w:tc>
        <w:tc>
          <w:tcPr>
            <w:tcW w:w="1180" w:type="dxa"/>
            <w:vAlign w:val="bottom"/>
            <w:tcBorders>
              <w:bottom w:val="single" w:sz="8" w:color="231F20"/>
            </w:tcBorders>
          </w:tcPr>
          <w:p>
            <w:pPr>
              <w:spacing w:after="0"/>
              <w:rPr>
                <w:sz w:val="2"/>
                <w:szCs w:val="2"/>
                <w:color w:val="auto"/>
              </w:rPr>
            </w:pPr>
          </w:p>
        </w:tc>
        <w:tc>
          <w:tcPr>
            <w:tcW w:w="560" w:type="dxa"/>
            <w:vAlign w:val="bottom"/>
            <w:tcBorders>
              <w:bottom w:val="single" w:sz="8" w:color="231F20"/>
            </w:tcBorders>
          </w:tcPr>
          <w:p>
            <w:pPr>
              <w:spacing w:after="0"/>
              <w:rPr>
                <w:sz w:val="2"/>
                <w:szCs w:val="2"/>
                <w:color w:val="auto"/>
              </w:rPr>
            </w:pPr>
          </w:p>
        </w:tc>
        <w:tc>
          <w:tcPr>
            <w:tcW w:w="720" w:type="dxa"/>
            <w:vAlign w:val="bottom"/>
            <w:tcBorders>
              <w:bottom w:val="single" w:sz="8" w:color="231F20"/>
            </w:tcBorders>
          </w:tcPr>
          <w:p>
            <w:pPr>
              <w:spacing w:after="0"/>
              <w:rPr>
                <w:sz w:val="2"/>
                <w:szCs w:val="2"/>
                <w:color w:val="auto"/>
              </w:rPr>
            </w:pPr>
          </w:p>
        </w:tc>
        <w:tc>
          <w:tcPr>
            <w:tcW w:w="1320" w:type="dxa"/>
            <w:vAlign w:val="bottom"/>
            <w:tcBorders>
              <w:bottom w:val="single" w:sz="8" w:color="231F20"/>
            </w:tcBorders>
          </w:tcPr>
          <w:p>
            <w:pPr>
              <w:spacing w:after="0"/>
              <w:rPr>
                <w:sz w:val="2"/>
                <w:szCs w:val="2"/>
                <w:color w:val="auto"/>
              </w:rPr>
            </w:pPr>
          </w:p>
        </w:tc>
        <w:tc>
          <w:tcPr>
            <w:tcW w:w="580" w:type="dxa"/>
            <w:vAlign w:val="bottom"/>
            <w:tcBorders>
              <w:bottom w:val="single" w:sz="8" w:color="231F20"/>
            </w:tcBorders>
          </w:tcPr>
          <w:p>
            <w:pPr>
              <w:spacing w:after="0"/>
              <w:rPr>
                <w:sz w:val="2"/>
                <w:szCs w:val="2"/>
                <w:color w:val="auto"/>
              </w:rPr>
            </w:pPr>
          </w:p>
        </w:tc>
        <w:tc>
          <w:tcPr>
            <w:tcW w:w="600" w:type="dxa"/>
            <w:vAlign w:val="bottom"/>
            <w:tcBorders>
              <w:bottom w:val="single" w:sz="8" w:color="231F20"/>
            </w:tcBorders>
          </w:tcPr>
          <w:p>
            <w:pPr>
              <w:spacing w:after="0"/>
              <w:rPr>
                <w:sz w:val="2"/>
                <w:szCs w:val="2"/>
                <w:color w:val="auto"/>
              </w:rPr>
            </w:pPr>
          </w:p>
        </w:tc>
        <w:tc>
          <w:tcPr>
            <w:tcW w:w="20" w:type="dxa"/>
            <w:vAlign w:val="bottom"/>
          </w:tcPr>
          <w:p>
            <w:pPr>
              <w:spacing w:after="0"/>
              <w:rPr>
                <w:sz w:val="2"/>
                <w:szCs w:val="2"/>
                <w:color w:val="auto"/>
              </w:rPr>
            </w:pPr>
          </w:p>
        </w:tc>
      </w:tr>
      <w:tr>
        <w:trPr>
          <w:trHeight w:val="215"/>
        </w:trPr>
        <w:tc>
          <w:tcPr>
            <w:tcW w:w="1140" w:type="dxa"/>
            <w:vAlign w:val="bottom"/>
          </w:tcPr>
          <w:p>
            <w:pPr>
              <w:spacing w:after="0"/>
              <w:rPr>
                <w:sz w:val="18"/>
                <w:szCs w:val="18"/>
                <w:color w:val="auto"/>
              </w:rPr>
            </w:pPr>
          </w:p>
        </w:tc>
        <w:tc>
          <w:tcPr>
            <w:tcW w:w="1400" w:type="dxa"/>
            <w:vAlign w:val="bottom"/>
          </w:tcPr>
          <w:p>
            <w:pPr>
              <w:jc w:val="right"/>
              <w:ind w:right="92"/>
              <w:spacing w:after="0"/>
              <w:rPr>
                <w:sz w:val="20"/>
                <w:szCs w:val="20"/>
                <w:color w:val="auto"/>
              </w:rPr>
            </w:pPr>
            <w:r>
              <w:rPr>
                <w:rFonts w:ascii="Arial" w:cs="Arial" w:eastAsia="Arial" w:hAnsi="Arial"/>
                <w:sz w:val="14"/>
                <w:szCs w:val="14"/>
                <w:color w:val="231F20"/>
              </w:rPr>
              <w:t>2,980</w:t>
            </w:r>
          </w:p>
        </w:tc>
        <w:tc>
          <w:tcPr>
            <w:tcW w:w="1580" w:type="dxa"/>
            <w:vAlign w:val="bottom"/>
            <w:gridSpan w:val="2"/>
          </w:tcPr>
          <w:p>
            <w:pPr>
              <w:jc w:val="right"/>
              <w:ind w:right="500"/>
              <w:spacing w:after="0"/>
              <w:rPr>
                <w:sz w:val="20"/>
                <w:szCs w:val="20"/>
                <w:color w:val="auto"/>
              </w:rPr>
            </w:pPr>
            <w:r>
              <w:rPr>
                <w:rFonts w:ascii="Arial" w:cs="Arial" w:eastAsia="Arial" w:hAnsi="Arial"/>
                <w:sz w:val="14"/>
                <w:szCs w:val="14"/>
                <w:color w:val="231F20"/>
              </w:rPr>
              <w:t>5,960</w:t>
            </w:r>
          </w:p>
        </w:tc>
        <w:tc>
          <w:tcPr>
            <w:tcW w:w="940" w:type="dxa"/>
            <w:vAlign w:val="bottom"/>
          </w:tcPr>
          <w:p>
            <w:pPr>
              <w:jc w:val="right"/>
              <w:ind w:right="232"/>
              <w:spacing w:after="0"/>
              <w:rPr>
                <w:sz w:val="20"/>
                <w:szCs w:val="20"/>
                <w:color w:val="auto"/>
              </w:rPr>
            </w:pPr>
            <w:r>
              <w:rPr>
                <w:rFonts w:ascii="Arial" w:cs="Arial" w:eastAsia="Arial" w:hAnsi="Arial"/>
                <w:sz w:val="14"/>
                <w:szCs w:val="14"/>
                <w:color w:val="231F20"/>
              </w:rPr>
              <w:t>$ 34.51</w:t>
            </w:r>
          </w:p>
        </w:tc>
        <w:tc>
          <w:tcPr>
            <w:tcW w:w="1220" w:type="dxa"/>
            <w:vAlign w:val="bottom"/>
          </w:tcPr>
          <w:p>
            <w:pPr>
              <w:jc w:val="right"/>
              <w:ind w:right="232"/>
              <w:spacing w:after="0"/>
              <w:rPr>
                <w:sz w:val="20"/>
                <w:szCs w:val="20"/>
                <w:color w:val="auto"/>
              </w:rPr>
            </w:pPr>
            <w:r>
              <w:rPr>
                <w:rFonts w:ascii="Arial" w:cs="Arial" w:eastAsia="Arial" w:hAnsi="Arial"/>
                <w:sz w:val="14"/>
                <w:szCs w:val="14"/>
                <w:color w:val="231F20"/>
              </w:rPr>
              <w:t>2/27/2028</w:t>
            </w:r>
          </w:p>
        </w:tc>
        <w:tc>
          <w:tcPr>
            <w:tcW w:w="1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33"/>
        </w:trPr>
        <w:tc>
          <w:tcPr>
            <w:tcW w:w="1140" w:type="dxa"/>
            <w:vAlign w:val="bottom"/>
          </w:tcPr>
          <w:p>
            <w:pPr>
              <w:spacing w:after="0"/>
              <w:rPr>
                <w:sz w:val="2"/>
                <w:szCs w:val="2"/>
                <w:color w:val="auto"/>
              </w:rPr>
            </w:pPr>
          </w:p>
        </w:tc>
        <w:tc>
          <w:tcPr>
            <w:tcW w:w="1400" w:type="dxa"/>
            <w:vAlign w:val="bottom"/>
            <w:tcBorders>
              <w:bottom w:val="single" w:sz="8" w:color="231F20"/>
            </w:tcBorders>
          </w:tcPr>
          <w:p>
            <w:pPr>
              <w:spacing w:after="0"/>
              <w:rPr>
                <w:sz w:val="2"/>
                <w:szCs w:val="2"/>
                <w:color w:val="auto"/>
              </w:rPr>
            </w:pPr>
          </w:p>
        </w:tc>
        <w:tc>
          <w:tcPr>
            <w:tcW w:w="1080" w:type="dxa"/>
            <w:vAlign w:val="bottom"/>
            <w:tcBorders>
              <w:bottom w:val="single" w:sz="8" w:color="231F20"/>
            </w:tcBorders>
          </w:tcPr>
          <w:p>
            <w:pPr>
              <w:spacing w:after="0"/>
              <w:rPr>
                <w:sz w:val="2"/>
                <w:szCs w:val="2"/>
                <w:color w:val="auto"/>
              </w:rPr>
            </w:pPr>
          </w:p>
        </w:tc>
        <w:tc>
          <w:tcPr>
            <w:tcW w:w="500" w:type="dxa"/>
            <w:vAlign w:val="bottom"/>
            <w:tcBorders>
              <w:bottom w:val="single" w:sz="8" w:color="231F20"/>
            </w:tcBorders>
          </w:tcPr>
          <w:p>
            <w:pPr>
              <w:spacing w:after="0"/>
              <w:rPr>
                <w:sz w:val="2"/>
                <w:szCs w:val="2"/>
                <w:color w:val="auto"/>
              </w:rPr>
            </w:pPr>
          </w:p>
        </w:tc>
        <w:tc>
          <w:tcPr>
            <w:tcW w:w="940" w:type="dxa"/>
            <w:vAlign w:val="bottom"/>
            <w:tcBorders>
              <w:bottom w:val="single" w:sz="8" w:color="231F20"/>
            </w:tcBorders>
          </w:tcPr>
          <w:p>
            <w:pPr>
              <w:spacing w:after="0"/>
              <w:rPr>
                <w:sz w:val="2"/>
                <w:szCs w:val="2"/>
                <w:color w:val="auto"/>
              </w:rPr>
            </w:pPr>
          </w:p>
        </w:tc>
        <w:tc>
          <w:tcPr>
            <w:tcW w:w="1220" w:type="dxa"/>
            <w:vAlign w:val="bottom"/>
            <w:tcBorders>
              <w:bottom w:val="single" w:sz="8" w:color="231F20"/>
            </w:tcBorders>
          </w:tcPr>
          <w:p>
            <w:pPr>
              <w:spacing w:after="0"/>
              <w:rPr>
                <w:sz w:val="2"/>
                <w:szCs w:val="2"/>
                <w:color w:val="auto"/>
              </w:rPr>
            </w:pPr>
          </w:p>
        </w:tc>
        <w:tc>
          <w:tcPr>
            <w:tcW w:w="1180" w:type="dxa"/>
            <w:vAlign w:val="bottom"/>
            <w:tcBorders>
              <w:bottom w:val="single" w:sz="8" w:color="231F20"/>
            </w:tcBorders>
          </w:tcPr>
          <w:p>
            <w:pPr>
              <w:spacing w:after="0"/>
              <w:rPr>
                <w:sz w:val="2"/>
                <w:szCs w:val="2"/>
                <w:color w:val="auto"/>
              </w:rPr>
            </w:pPr>
          </w:p>
        </w:tc>
        <w:tc>
          <w:tcPr>
            <w:tcW w:w="560" w:type="dxa"/>
            <w:vAlign w:val="bottom"/>
            <w:tcBorders>
              <w:bottom w:val="single" w:sz="8" w:color="231F20"/>
            </w:tcBorders>
          </w:tcPr>
          <w:p>
            <w:pPr>
              <w:spacing w:after="0"/>
              <w:rPr>
                <w:sz w:val="2"/>
                <w:szCs w:val="2"/>
                <w:color w:val="auto"/>
              </w:rPr>
            </w:pPr>
          </w:p>
        </w:tc>
        <w:tc>
          <w:tcPr>
            <w:tcW w:w="720" w:type="dxa"/>
            <w:vAlign w:val="bottom"/>
            <w:tcBorders>
              <w:bottom w:val="single" w:sz="8" w:color="231F20"/>
            </w:tcBorders>
          </w:tcPr>
          <w:p>
            <w:pPr>
              <w:spacing w:after="0"/>
              <w:rPr>
                <w:sz w:val="2"/>
                <w:szCs w:val="2"/>
                <w:color w:val="auto"/>
              </w:rPr>
            </w:pPr>
          </w:p>
        </w:tc>
        <w:tc>
          <w:tcPr>
            <w:tcW w:w="1320" w:type="dxa"/>
            <w:vAlign w:val="bottom"/>
            <w:tcBorders>
              <w:bottom w:val="single" w:sz="8" w:color="231F20"/>
            </w:tcBorders>
          </w:tcPr>
          <w:p>
            <w:pPr>
              <w:spacing w:after="0"/>
              <w:rPr>
                <w:sz w:val="2"/>
                <w:szCs w:val="2"/>
                <w:color w:val="auto"/>
              </w:rPr>
            </w:pPr>
          </w:p>
        </w:tc>
        <w:tc>
          <w:tcPr>
            <w:tcW w:w="580" w:type="dxa"/>
            <w:vAlign w:val="bottom"/>
            <w:tcBorders>
              <w:bottom w:val="single" w:sz="8" w:color="231F20"/>
            </w:tcBorders>
          </w:tcPr>
          <w:p>
            <w:pPr>
              <w:spacing w:after="0"/>
              <w:rPr>
                <w:sz w:val="2"/>
                <w:szCs w:val="2"/>
                <w:color w:val="auto"/>
              </w:rPr>
            </w:pPr>
          </w:p>
        </w:tc>
        <w:tc>
          <w:tcPr>
            <w:tcW w:w="600" w:type="dxa"/>
            <w:vAlign w:val="bottom"/>
            <w:tcBorders>
              <w:bottom w:val="single" w:sz="8" w:color="231F20"/>
            </w:tcBorders>
          </w:tcPr>
          <w:p>
            <w:pPr>
              <w:spacing w:after="0"/>
              <w:rPr>
                <w:sz w:val="2"/>
                <w:szCs w:val="2"/>
                <w:color w:val="auto"/>
              </w:rPr>
            </w:pPr>
          </w:p>
        </w:tc>
        <w:tc>
          <w:tcPr>
            <w:tcW w:w="20" w:type="dxa"/>
            <w:vAlign w:val="bottom"/>
          </w:tcPr>
          <w:p>
            <w:pPr>
              <w:spacing w:after="0"/>
              <w:rPr>
                <w:sz w:val="2"/>
                <w:szCs w:val="2"/>
                <w:color w:val="auto"/>
              </w:rPr>
            </w:pPr>
          </w:p>
        </w:tc>
      </w:tr>
      <w:tr>
        <w:trPr>
          <w:trHeight w:val="215"/>
        </w:trPr>
        <w:tc>
          <w:tcPr>
            <w:tcW w:w="1140" w:type="dxa"/>
            <w:vAlign w:val="bottom"/>
          </w:tcPr>
          <w:p>
            <w:pPr>
              <w:spacing w:after="0"/>
              <w:rPr>
                <w:sz w:val="18"/>
                <w:szCs w:val="18"/>
                <w:color w:val="auto"/>
              </w:rPr>
            </w:pPr>
          </w:p>
        </w:tc>
        <w:tc>
          <w:tcPr>
            <w:tcW w:w="1400" w:type="dxa"/>
            <w:vAlign w:val="bottom"/>
          </w:tcPr>
          <w:p>
            <w:pPr>
              <w:jc w:val="right"/>
              <w:ind w:right="92"/>
              <w:spacing w:after="0"/>
              <w:rPr>
                <w:sz w:val="20"/>
                <w:szCs w:val="20"/>
                <w:color w:val="auto"/>
              </w:rPr>
            </w:pPr>
            <w:r>
              <w:rPr>
                <w:rFonts w:ascii="Arial" w:cs="Arial" w:eastAsia="Arial" w:hAnsi="Arial"/>
                <w:sz w:val="14"/>
                <w:szCs w:val="14"/>
                <w:color w:val="231F20"/>
              </w:rPr>
              <w:t>37,515</w:t>
            </w:r>
          </w:p>
        </w:tc>
        <w:tc>
          <w:tcPr>
            <w:tcW w:w="1580" w:type="dxa"/>
            <w:vAlign w:val="bottom"/>
            <w:gridSpan w:val="2"/>
          </w:tcPr>
          <w:p>
            <w:pPr>
              <w:jc w:val="right"/>
              <w:ind w:right="500"/>
              <w:spacing w:after="0"/>
              <w:rPr>
                <w:sz w:val="20"/>
                <w:szCs w:val="20"/>
                <w:color w:val="auto"/>
              </w:rPr>
            </w:pPr>
            <w:r>
              <w:rPr>
                <w:rFonts w:ascii="Arial" w:cs="Arial" w:eastAsia="Arial" w:hAnsi="Arial"/>
                <w:sz w:val="14"/>
                <w:szCs w:val="14"/>
                <w:color w:val="231F20"/>
              </w:rPr>
              <w:t>18,758</w:t>
            </w:r>
          </w:p>
        </w:tc>
        <w:tc>
          <w:tcPr>
            <w:tcW w:w="940" w:type="dxa"/>
            <w:vAlign w:val="bottom"/>
          </w:tcPr>
          <w:p>
            <w:pPr>
              <w:jc w:val="right"/>
              <w:ind w:right="232"/>
              <w:spacing w:after="0"/>
              <w:rPr>
                <w:sz w:val="20"/>
                <w:szCs w:val="20"/>
                <w:color w:val="auto"/>
              </w:rPr>
            </w:pPr>
            <w:r>
              <w:rPr>
                <w:rFonts w:ascii="Arial" w:cs="Arial" w:eastAsia="Arial" w:hAnsi="Arial"/>
                <w:sz w:val="14"/>
                <w:szCs w:val="14"/>
                <w:color w:val="231F20"/>
              </w:rPr>
              <w:t>$ 35.94</w:t>
            </w:r>
          </w:p>
        </w:tc>
        <w:tc>
          <w:tcPr>
            <w:tcW w:w="1220" w:type="dxa"/>
            <w:vAlign w:val="bottom"/>
          </w:tcPr>
          <w:p>
            <w:pPr>
              <w:jc w:val="right"/>
              <w:ind w:right="232"/>
              <w:spacing w:after="0"/>
              <w:rPr>
                <w:sz w:val="20"/>
                <w:szCs w:val="20"/>
                <w:color w:val="auto"/>
              </w:rPr>
            </w:pPr>
            <w:r>
              <w:rPr>
                <w:rFonts w:ascii="Arial" w:cs="Arial" w:eastAsia="Arial" w:hAnsi="Arial"/>
                <w:sz w:val="14"/>
                <w:szCs w:val="14"/>
                <w:color w:val="231F20"/>
              </w:rPr>
              <w:t>2/28/2029</w:t>
            </w:r>
          </w:p>
        </w:tc>
        <w:tc>
          <w:tcPr>
            <w:tcW w:w="1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33"/>
        </w:trPr>
        <w:tc>
          <w:tcPr>
            <w:tcW w:w="1140" w:type="dxa"/>
            <w:vAlign w:val="bottom"/>
            <w:tcBorders>
              <w:bottom w:val="single" w:sz="8" w:color="231F20"/>
            </w:tcBorders>
          </w:tcPr>
          <w:p>
            <w:pPr>
              <w:spacing w:after="0"/>
              <w:rPr>
                <w:sz w:val="2"/>
                <w:szCs w:val="2"/>
                <w:color w:val="auto"/>
              </w:rPr>
            </w:pPr>
          </w:p>
        </w:tc>
        <w:tc>
          <w:tcPr>
            <w:tcW w:w="1400" w:type="dxa"/>
            <w:vAlign w:val="bottom"/>
            <w:tcBorders>
              <w:bottom w:val="single" w:sz="8" w:color="231F20"/>
            </w:tcBorders>
          </w:tcPr>
          <w:p>
            <w:pPr>
              <w:spacing w:after="0"/>
              <w:rPr>
                <w:sz w:val="2"/>
                <w:szCs w:val="2"/>
                <w:color w:val="auto"/>
              </w:rPr>
            </w:pPr>
          </w:p>
        </w:tc>
        <w:tc>
          <w:tcPr>
            <w:tcW w:w="1080" w:type="dxa"/>
            <w:vAlign w:val="bottom"/>
            <w:tcBorders>
              <w:bottom w:val="single" w:sz="8" w:color="231F20"/>
            </w:tcBorders>
          </w:tcPr>
          <w:p>
            <w:pPr>
              <w:spacing w:after="0"/>
              <w:rPr>
                <w:sz w:val="2"/>
                <w:szCs w:val="2"/>
                <w:color w:val="auto"/>
              </w:rPr>
            </w:pPr>
          </w:p>
        </w:tc>
        <w:tc>
          <w:tcPr>
            <w:tcW w:w="500" w:type="dxa"/>
            <w:vAlign w:val="bottom"/>
            <w:tcBorders>
              <w:bottom w:val="single" w:sz="8" w:color="231F20"/>
            </w:tcBorders>
          </w:tcPr>
          <w:p>
            <w:pPr>
              <w:spacing w:after="0"/>
              <w:rPr>
                <w:sz w:val="2"/>
                <w:szCs w:val="2"/>
                <w:color w:val="auto"/>
              </w:rPr>
            </w:pPr>
          </w:p>
        </w:tc>
        <w:tc>
          <w:tcPr>
            <w:tcW w:w="940" w:type="dxa"/>
            <w:vAlign w:val="bottom"/>
            <w:tcBorders>
              <w:bottom w:val="single" w:sz="8" w:color="231F20"/>
            </w:tcBorders>
          </w:tcPr>
          <w:p>
            <w:pPr>
              <w:spacing w:after="0"/>
              <w:rPr>
                <w:sz w:val="2"/>
                <w:szCs w:val="2"/>
                <w:color w:val="auto"/>
              </w:rPr>
            </w:pPr>
          </w:p>
        </w:tc>
        <w:tc>
          <w:tcPr>
            <w:tcW w:w="1220" w:type="dxa"/>
            <w:vAlign w:val="bottom"/>
            <w:tcBorders>
              <w:bottom w:val="single" w:sz="8" w:color="231F20"/>
            </w:tcBorders>
          </w:tcPr>
          <w:p>
            <w:pPr>
              <w:spacing w:after="0"/>
              <w:rPr>
                <w:sz w:val="2"/>
                <w:szCs w:val="2"/>
                <w:color w:val="auto"/>
              </w:rPr>
            </w:pPr>
          </w:p>
        </w:tc>
        <w:tc>
          <w:tcPr>
            <w:tcW w:w="1180" w:type="dxa"/>
            <w:vAlign w:val="bottom"/>
            <w:tcBorders>
              <w:bottom w:val="single" w:sz="8" w:color="231F20"/>
            </w:tcBorders>
          </w:tcPr>
          <w:p>
            <w:pPr>
              <w:spacing w:after="0"/>
              <w:rPr>
                <w:sz w:val="2"/>
                <w:szCs w:val="2"/>
                <w:color w:val="auto"/>
              </w:rPr>
            </w:pPr>
          </w:p>
        </w:tc>
        <w:tc>
          <w:tcPr>
            <w:tcW w:w="560" w:type="dxa"/>
            <w:vAlign w:val="bottom"/>
            <w:tcBorders>
              <w:bottom w:val="single" w:sz="8" w:color="231F20"/>
            </w:tcBorders>
          </w:tcPr>
          <w:p>
            <w:pPr>
              <w:spacing w:after="0"/>
              <w:rPr>
                <w:sz w:val="2"/>
                <w:szCs w:val="2"/>
                <w:color w:val="auto"/>
              </w:rPr>
            </w:pPr>
          </w:p>
        </w:tc>
        <w:tc>
          <w:tcPr>
            <w:tcW w:w="720" w:type="dxa"/>
            <w:vAlign w:val="bottom"/>
            <w:tcBorders>
              <w:bottom w:val="single" w:sz="8" w:color="231F20"/>
            </w:tcBorders>
          </w:tcPr>
          <w:p>
            <w:pPr>
              <w:spacing w:after="0"/>
              <w:rPr>
                <w:sz w:val="2"/>
                <w:szCs w:val="2"/>
                <w:color w:val="auto"/>
              </w:rPr>
            </w:pPr>
          </w:p>
        </w:tc>
        <w:tc>
          <w:tcPr>
            <w:tcW w:w="1320" w:type="dxa"/>
            <w:vAlign w:val="bottom"/>
            <w:tcBorders>
              <w:bottom w:val="single" w:sz="8" w:color="231F20"/>
            </w:tcBorders>
          </w:tcPr>
          <w:p>
            <w:pPr>
              <w:spacing w:after="0"/>
              <w:rPr>
                <w:sz w:val="2"/>
                <w:szCs w:val="2"/>
                <w:color w:val="auto"/>
              </w:rPr>
            </w:pPr>
          </w:p>
        </w:tc>
        <w:tc>
          <w:tcPr>
            <w:tcW w:w="580" w:type="dxa"/>
            <w:vAlign w:val="bottom"/>
            <w:tcBorders>
              <w:bottom w:val="single" w:sz="8" w:color="231F20"/>
            </w:tcBorders>
          </w:tcPr>
          <w:p>
            <w:pPr>
              <w:spacing w:after="0"/>
              <w:rPr>
                <w:sz w:val="2"/>
                <w:szCs w:val="2"/>
                <w:color w:val="auto"/>
              </w:rPr>
            </w:pPr>
          </w:p>
        </w:tc>
        <w:tc>
          <w:tcPr>
            <w:tcW w:w="600" w:type="dxa"/>
            <w:vAlign w:val="bottom"/>
            <w:tcBorders>
              <w:bottom w:val="single" w:sz="8" w:color="231F20"/>
            </w:tcBorders>
          </w:tcPr>
          <w:p>
            <w:pPr>
              <w:spacing w:after="0"/>
              <w:rPr>
                <w:sz w:val="2"/>
                <w:szCs w:val="2"/>
                <w:color w:val="auto"/>
              </w:rPr>
            </w:pPr>
          </w:p>
        </w:tc>
        <w:tc>
          <w:tcPr>
            <w:tcW w:w="20" w:type="dxa"/>
            <w:vAlign w:val="bottom"/>
          </w:tcPr>
          <w:p>
            <w:pPr>
              <w:spacing w:after="0"/>
              <w:rPr>
                <w:sz w:val="2"/>
                <w:szCs w:val="2"/>
                <w:color w:val="auto"/>
              </w:rPr>
            </w:pPr>
          </w:p>
        </w:tc>
      </w:tr>
      <w:tr>
        <w:trPr>
          <w:trHeight w:val="221"/>
        </w:trPr>
        <w:tc>
          <w:tcPr>
            <w:tcW w:w="1140" w:type="dxa"/>
            <w:vAlign w:val="bottom"/>
          </w:tcPr>
          <w:p>
            <w:pPr>
              <w:spacing w:after="0"/>
              <w:rPr>
                <w:sz w:val="20"/>
                <w:szCs w:val="20"/>
                <w:color w:val="auto"/>
              </w:rPr>
            </w:pPr>
            <w:r>
              <w:rPr>
                <w:rFonts w:ascii="Arial" w:cs="Arial" w:eastAsia="Arial" w:hAnsi="Arial"/>
                <w:sz w:val="14"/>
                <w:szCs w:val="14"/>
                <w:b w:val="1"/>
                <w:bCs w:val="1"/>
                <w:color w:val="455986"/>
              </w:rPr>
              <w:t>Rhodes</w:t>
            </w:r>
          </w:p>
        </w:tc>
        <w:tc>
          <w:tcPr>
            <w:tcW w:w="1400" w:type="dxa"/>
            <w:vAlign w:val="bottom"/>
          </w:tcPr>
          <w:p>
            <w:pPr>
              <w:jc w:val="right"/>
              <w:ind w:right="92"/>
              <w:spacing w:after="0"/>
              <w:rPr>
                <w:sz w:val="20"/>
                <w:szCs w:val="20"/>
                <w:color w:val="auto"/>
              </w:rPr>
            </w:pPr>
            <w:r>
              <w:rPr>
                <w:rFonts w:ascii="Arial" w:cs="Arial" w:eastAsia="Arial" w:hAnsi="Arial"/>
                <w:sz w:val="14"/>
                <w:szCs w:val="14"/>
                <w:color w:val="231F20"/>
              </w:rPr>
              <w:t>2,285</w:t>
            </w:r>
          </w:p>
        </w:tc>
        <w:tc>
          <w:tcPr>
            <w:tcW w:w="1580" w:type="dxa"/>
            <w:vAlign w:val="bottom"/>
            <w:gridSpan w:val="2"/>
          </w:tcPr>
          <w:p>
            <w:pPr>
              <w:jc w:val="right"/>
              <w:ind w:right="500"/>
              <w:spacing w:after="0"/>
              <w:rPr>
                <w:sz w:val="20"/>
                <w:szCs w:val="20"/>
                <w:color w:val="auto"/>
              </w:rPr>
            </w:pPr>
            <w:r>
              <w:rPr>
                <w:rFonts w:ascii="Arial" w:cs="Arial" w:eastAsia="Arial" w:hAnsi="Arial"/>
                <w:sz w:val="14"/>
                <w:szCs w:val="14"/>
                <w:color w:val="231F20"/>
              </w:rPr>
              <w:t>4,571</w:t>
            </w:r>
          </w:p>
        </w:tc>
        <w:tc>
          <w:tcPr>
            <w:tcW w:w="940" w:type="dxa"/>
            <w:vAlign w:val="bottom"/>
          </w:tcPr>
          <w:p>
            <w:pPr>
              <w:jc w:val="right"/>
              <w:ind w:right="232"/>
              <w:spacing w:after="0"/>
              <w:rPr>
                <w:sz w:val="20"/>
                <w:szCs w:val="20"/>
                <w:color w:val="auto"/>
              </w:rPr>
            </w:pPr>
            <w:r>
              <w:rPr>
                <w:rFonts w:ascii="Arial" w:cs="Arial" w:eastAsia="Arial" w:hAnsi="Arial"/>
                <w:sz w:val="14"/>
                <w:szCs w:val="14"/>
                <w:color w:val="231F20"/>
              </w:rPr>
              <w:t>$ 35.44</w:t>
            </w:r>
          </w:p>
        </w:tc>
        <w:tc>
          <w:tcPr>
            <w:tcW w:w="1220" w:type="dxa"/>
            <w:vAlign w:val="bottom"/>
          </w:tcPr>
          <w:p>
            <w:pPr>
              <w:jc w:val="right"/>
              <w:ind w:right="232"/>
              <w:spacing w:after="0"/>
              <w:rPr>
                <w:sz w:val="20"/>
                <w:szCs w:val="20"/>
                <w:color w:val="auto"/>
              </w:rPr>
            </w:pPr>
            <w:r>
              <w:rPr>
                <w:rFonts w:ascii="Arial" w:cs="Arial" w:eastAsia="Arial" w:hAnsi="Arial"/>
                <w:sz w:val="14"/>
                <w:szCs w:val="14"/>
                <w:color w:val="231F20"/>
              </w:rPr>
              <w:t>2/27/2028</w:t>
            </w:r>
          </w:p>
        </w:tc>
        <w:tc>
          <w:tcPr>
            <w:tcW w:w="1180" w:type="dxa"/>
            <w:vAlign w:val="bottom"/>
          </w:tcPr>
          <w:p>
            <w:pPr>
              <w:jc w:val="right"/>
              <w:ind w:right="172"/>
              <w:spacing w:after="0"/>
              <w:rPr>
                <w:sz w:val="20"/>
                <w:szCs w:val="20"/>
                <w:color w:val="auto"/>
              </w:rPr>
            </w:pPr>
            <w:r>
              <w:rPr>
                <w:rFonts w:ascii="Arial" w:cs="Arial" w:eastAsia="Arial" w:hAnsi="Arial"/>
                <w:sz w:val="14"/>
                <w:szCs w:val="14"/>
                <w:color w:val="231F20"/>
              </w:rPr>
              <w:t>8,591</w:t>
            </w:r>
          </w:p>
        </w:tc>
        <w:tc>
          <w:tcPr>
            <w:tcW w:w="560" w:type="dxa"/>
            <w:vAlign w:val="bottom"/>
          </w:tcPr>
          <w:p>
            <w:pPr>
              <w:jc w:val="right"/>
              <w:spacing w:after="0"/>
              <w:rPr>
                <w:sz w:val="20"/>
                <w:szCs w:val="20"/>
                <w:color w:val="auto"/>
              </w:rPr>
            </w:pPr>
            <w:r>
              <w:rPr>
                <w:rFonts w:ascii="Arial" w:cs="Arial" w:eastAsia="Arial" w:hAnsi="Arial"/>
                <w:sz w:val="14"/>
                <w:szCs w:val="14"/>
                <w:color w:val="231F20"/>
              </w:rPr>
              <w:t>$</w:t>
            </w:r>
          </w:p>
        </w:tc>
        <w:tc>
          <w:tcPr>
            <w:tcW w:w="720" w:type="dxa"/>
            <w:vAlign w:val="bottom"/>
          </w:tcPr>
          <w:p>
            <w:pPr>
              <w:jc w:val="right"/>
              <w:ind w:right="112"/>
              <w:spacing w:after="0"/>
              <w:rPr>
                <w:sz w:val="20"/>
                <w:szCs w:val="20"/>
                <w:color w:val="auto"/>
              </w:rPr>
            </w:pPr>
            <w:r>
              <w:rPr>
                <w:rFonts w:ascii="Arial" w:cs="Arial" w:eastAsia="Arial" w:hAnsi="Arial"/>
                <w:sz w:val="14"/>
                <w:szCs w:val="14"/>
                <w:color w:val="231F20"/>
              </w:rPr>
              <w:t>419,326</w:t>
            </w:r>
          </w:p>
        </w:tc>
        <w:tc>
          <w:tcPr>
            <w:tcW w:w="1320" w:type="dxa"/>
            <w:vAlign w:val="bottom"/>
          </w:tcPr>
          <w:p>
            <w:pPr>
              <w:jc w:val="right"/>
              <w:ind w:right="93"/>
              <w:spacing w:after="0"/>
              <w:rPr>
                <w:sz w:val="20"/>
                <w:szCs w:val="20"/>
                <w:color w:val="auto"/>
              </w:rPr>
            </w:pPr>
            <w:r>
              <w:rPr>
                <w:rFonts w:ascii="Arial" w:cs="Arial" w:eastAsia="Arial" w:hAnsi="Arial"/>
                <w:sz w:val="14"/>
                <w:szCs w:val="14"/>
                <w:color w:val="231F20"/>
              </w:rPr>
              <w:t>13,478</w:t>
            </w:r>
          </w:p>
        </w:tc>
        <w:tc>
          <w:tcPr>
            <w:tcW w:w="580" w:type="dxa"/>
            <w:vAlign w:val="bottom"/>
          </w:tcPr>
          <w:p>
            <w:pPr>
              <w:jc w:val="right"/>
              <w:spacing w:after="0"/>
              <w:rPr>
                <w:sz w:val="20"/>
                <w:szCs w:val="20"/>
                <w:color w:val="auto"/>
              </w:rPr>
            </w:pPr>
            <w:r>
              <w:rPr>
                <w:rFonts w:ascii="Arial" w:cs="Arial" w:eastAsia="Arial" w:hAnsi="Arial"/>
                <w:sz w:val="14"/>
                <w:szCs w:val="14"/>
                <w:color w:val="231F20"/>
              </w:rPr>
              <w:t>$</w:t>
            </w:r>
          </w:p>
        </w:tc>
        <w:tc>
          <w:tcPr>
            <w:tcW w:w="620" w:type="dxa"/>
            <w:vAlign w:val="bottom"/>
            <w:gridSpan w:val="2"/>
          </w:tcPr>
          <w:p>
            <w:pPr>
              <w:jc w:val="right"/>
              <w:ind w:right="20"/>
              <w:spacing w:after="0"/>
              <w:rPr>
                <w:sz w:val="20"/>
                <w:szCs w:val="20"/>
                <w:color w:val="auto"/>
              </w:rPr>
            </w:pPr>
            <w:r>
              <w:rPr>
                <w:rFonts w:ascii="Arial" w:cs="Arial" w:eastAsia="Arial" w:hAnsi="Arial"/>
                <w:sz w:val="14"/>
                <w:szCs w:val="14"/>
                <w:color w:val="231F20"/>
              </w:rPr>
              <w:t>652,936</w:t>
            </w:r>
          </w:p>
        </w:tc>
      </w:tr>
      <w:tr>
        <w:trPr>
          <w:trHeight w:val="27"/>
        </w:trPr>
        <w:tc>
          <w:tcPr>
            <w:tcW w:w="1140" w:type="dxa"/>
            <w:vAlign w:val="bottom"/>
          </w:tcPr>
          <w:p>
            <w:pPr>
              <w:spacing w:after="0"/>
              <w:rPr>
                <w:sz w:val="2"/>
                <w:szCs w:val="2"/>
                <w:color w:val="auto"/>
              </w:rPr>
            </w:pPr>
          </w:p>
        </w:tc>
        <w:tc>
          <w:tcPr>
            <w:tcW w:w="1400" w:type="dxa"/>
            <w:vAlign w:val="bottom"/>
            <w:tcBorders>
              <w:bottom w:val="single" w:sz="8" w:color="231F20"/>
            </w:tcBorders>
          </w:tcPr>
          <w:p>
            <w:pPr>
              <w:spacing w:after="0"/>
              <w:rPr>
                <w:sz w:val="2"/>
                <w:szCs w:val="2"/>
                <w:color w:val="auto"/>
              </w:rPr>
            </w:pPr>
          </w:p>
        </w:tc>
        <w:tc>
          <w:tcPr>
            <w:tcW w:w="1080" w:type="dxa"/>
            <w:vAlign w:val="bottom"/>
            <w:tcBorders>
              <w:bottom w:val="single" w:sz="8" w:color="231F20"/>
            </w:tcBorders>
          </w:tcPr>
          <w:p>
            <w:pPr>
              <w:spacing w:after="0"/>
              <w:rPr>
                <w:sz w:val="2"/>
                <w:szCs w:val="2"/>
                <w:color w:val="auto"/>
              </w:rPr>
            </w:pPr>
          </w:p>
        </w:tc>
        <w:tc>
          <w:tcPr>
            <w:tcW w:w="500" w:type="dxa"/>
            <w:vAlign w:val="bottom"/>
            <w:tcBorders>
              <w:bottom w:val="single" w:sz="8" w:color="231F20"/>
            </w:tcBorders>
          </w:tcPr>
          <w:p>
            <w:pPr>
              <w:spacing w:after="0"/>
              <w:rPr>
                <w:sz w:val="2"/>
                <w:szCs w:val="2"/>
                <w:color w:val="auto"/>
              </w:rPr>
            </w:pPr>
          </w:p>
        </w:tc>
        <w:tc>
          <w:tcPr>
            <w:tcW w:w="940" w:type="dxa"/>
            <w:vAlign w:val="bottom"/>
            <w:tcBorders>
              <w:bottom w:val="single" w:sz="8" w:color="231F20"/>
            </w:tcBorders>
          </w:tcPr>
          <w:p>
            <w:pPr>
              <w:spacing w:after="0"/>
              <w:rPr>
                <w:sz w:val="2"/>
                <w:szCs w:val="2"/>
                <w:color w:val="auto"/>
              </w:rPr>
            </w:pPr>
          </w:p>
        </w:tc>
        <w:tc>
          <w:tcPr>
            <w:tcW w:w="1220" w:type="dxa"/>
            <w:vAlign w:val="bottom"/>
            <w:tcBorders>
              <w:bottom w:val="single" w:sz="8" w:color="231F20"/>
            </w:tcBorders>
          </w:tcPr>
          <w:p>
            <w:pPr>
              <w:spacing w:after="0"/>
              <w:rPr>
                <w:sz w:val="2"/>
                <w:szCs w:val="2"/>
                <w:color w:val="auto"/>
              </w:rPr>
            </w:pPr>
          </w:p>
        </w:tc>
        <w:tc>
          <w:tcPr>
            <w:tcW w:w="1180" w:type="dxa"/>
            <w:vAlign w:val="bottom"/>
            <w:tcBorders>
              <w:bottom w:val="single" w:sz="8" w:color="231F20"/>
            </w:tcBorders>
          </w:tcPr>
          <w:p>
            <w:pPr>
              <w:spacing w:after="0"/>
              <w:rPr>
                <w:sz w:val="2"/>
                <w:szCs w:val="2"/>
                <w:color w:val="auto"/>
              </w:rPr>
            </w:pPr>
          </w:p>
        </w:tc>
        <w:tc>
          <w:tcPr>
            <w:tcW w:w="560" w:type="dxa"/>
            <w:vAlign w:val="bottom"/>
            <w:tcBorders>
              <w:bottom w:val="single" w:sz="8" w:color="231F20"/>
            </w:tcBorders>
          </w:tcPr>
          <w:p>
            <w:pPr>
              <w:spacing w:after="0"/>
              <w:rPr>
                <w:sz w:val="2"/>
                <w:szCs w:val="2"/>
                <w:color w:val="auto"/>
              </w:rPr>
            </w:pPr>
          </w:p>
        </w:tc>
        <w:tc>
          <w:tcPr>
            <w:tcW w:w="720" w:type="dxa"/>
            <w:vAlign w:val="bottom"/>
            <w:tcBorders>
              <w:bottom w:val="single" w:sz="8" w:color="231F20"/>
            </w:tcBorders>
          </w:tcPr>
          <w:p>
            <w:pPr>
              <w:spacing w:after="0"/>
              <w:rPr>
                <w:sz w:val="2"/>
                <w:szCs w:val="2"/>
                <w:color w:val="auto"/>
              </w:rPr>
            </w:pPr>
          </w:p>
        </w:tc>
        <w:tc>
          <w:tcPr>
            <w:tcW w:w="1320" w:type="dxa"/>
            <w:vAlign w:val="bottom"/>
            <w:tcBorders>
              <w:bottom w:val="single" w:sz="8" w:color="231F20"/>
            </w:tcBorders>
          </w:tcPr>
          <w:p>
            <w:pPr>
              <w:spacing w:after="0"/>
              <w:rPr>
                <w:sz w:val="2"/>
                <w:szCs w:val="2"/>
                <w:color w:val="auto"/>
              </w:rPr>
            </w:pPr>
          </w:p>
        </w:tc>
        <w:tc>
          <w:tcPr>
            <w:tcW w:w="580" w:type="dxa"/>
            <w:vAlign w:val="bottom"/>
            <w:tcBorders>
              <w:bottom w:val="single" w:sz="8" w:color="231F20"/>
            </w:tcBorders>
          </w:tcPr>
          <w:p>
            <w:pPr>
              <w:spacing w:after="0"/>
              <w:rPr>
                <w:sz w:val="2"/>
                <w:szCs w:val="2"/>
                <w:color w:val="auto"/>
              </w:rPr>
            </w:pPr>
          </w:p>
        </w:tc>
        <w:tc>
          <w:tcPr>
            <w:tcW w:w="600" w:type="dxa"/>
            <w:vAlign w:val="bottom"/>
            <w:tcBorders>
              <w:bottom w:val="single" w:sz="8" w:color="231F20"/>
            </w:tcBorders>
          </w:tcPr>
          <w:p>
            <w:pPr>
              <w:spacing w:after="0"/>
              <w:rPr>
                <w:sz w:val="2"/>
                <w:szCs w:val="2"/>
                <w:color w:val="auto"/>
              </w:rPr>
            </w:pPr>
          </w:p>
        </w:tc>
        <w:tc>
          <w:tcPr>
            <w:tcW w:w="20" w:type="dxa"/>
            <w:vAlign w:val="bottom"/>
          </w:tcPr>
          <w:p>
            <w:pPr>
              <w:spacing w:after="0"/>
              <w:rPr>
                <w:sz w:val="2"/>
                <w:szCs w:val="2"/>
                <w:color w:val="auto"/>
              </w:rPr>
            </w:pPr>
          </w:p>
        </w:tc>
      </w:tr>
      <w:tr>
        <w:trPr>
          <w:trHeight w:val="215"/>
        </w:trPr>
        <w:tc>
          <w:tcPr>
            <w:tcW w:w="1140" w:type="dxa"/>
            <w:vAlign w:val="bottom"/>
          </w:tcPr>
          <w:p>
            <w:pPr>
              <w:spacing w:after="0"/>
              <w:rPr>
                <w:sz w:val="18"/>
                <w:szCs w:val="18"/>
                <w:color w:val="auto"/>
              </w:rPr>
            </w:pPr>
          </w:p>
        </w:tc>
        <w:tc>
          <w:tcPr>
            <w:tcW w:w="1400" w:type="dxa"/>
            <w:vAlign w:val="bottom"/>
          </w:tcPr>
          <w:p>
            <w:pPr>
              <w:jc w:val="right"/>
              <w:ind w:right="92"/>
              <w:spacing w:after="0"/>
              <w:rPr>
                <w:sz w:val="20"/>
                <w:szCs w:val="20"/>
                <w:color w:val="auto"/>
              </w:rPr>
            </w:pPr>
            <w:r>
              <w:rPr>
                <w:rFonts w:ascii="Arial" w:cs="Arial" w:eastAsia="Arial" w:hAnsi="Arial"/>
                <w:sz w:val="14"/>
                <w:szCs w:val="14"/>
                <w:color w:val="231F20"/>
              </w:rPr>
              <w:t>29,129</w:t>
            </w:r>
          </w:p>
        </w:tc>
        <w:tc>
          <w:tcPr>
            <w:tcW w:w="1580" w:type="dxa"/>
            <w:vAlign w:val="bottom"/>
            <w:gridSpan w:val="2"/>
          </w:tcPr>
          <w:p>
            <w:pPr>
              <w:jc w:val="right"/>
              <w:ind w:right="500"/>
              <w:spacing w:after="0"/>
              <w:rPr>
                <w:sz w:val="20"/>
                <w:szCs w:val="20"/>
                <w:color w:val="auto"/>
              </w:rPr>
            </w:pPr>
            <w:r>
              <w:rPr>
                <w:rFonts w:ascii="Arial" w:cs="Arial" w:eastAsia="Arial" w:hAnsi="Arial"/>
                <w:sz w:val="14"/>
                <w:szCs w:val="14"/>
                <w:color w:val="231F20"/>
              </w:rPr>
              <w:t>14,565</w:t>
            </w:r>
          </w:p>
        </w:tc>
        <w:tc>
          <w:tcPr>
            <w:tcW w:w="940" w:type="dxa"/>
            <w:vAlign w:val="bottom"/>
          </w:tcPr>
          <w:p>
            <w:pPr>
              <w:jc w:val="right"/>
              <w:ind w:right="232"/>
              <w:spacing w:after="0"/>
              <w:rPr>
                <w:sz w:val="20"/>
                <w:szCs w:val="20"/>
                <w:color w:val="auto"/>
              </w:rPr>
            </w:pPr>
            <w:r>
              <w:rPr>
                <w:rFonts w:ascii="Arial" w:cs="Arial" w:eastAsia="Arial" w:hAnsi="Arial"/>
                <w:sz w:val="14"/>
                <w:szCs w:val="14"/>
                <w:color w:val="231F20"/>
              </w:rPr>
              <w:t>$ 35.94</w:t>
            </w:r>
          </w:p>
        </w:tc>
        <w:tc>
          <w:tcPr>
            <w:tcW w:w="1220" w:type="dxa"/>
            <w:vAlign w:val="bottom"/>
          </w:tcPr>
          <w:p>
            <w:pPr>
              <w:jc w:val="right"/>
              <w:ind w:right="232"/>
              <w:spacing w:after="0"/>
              <w:rPr>
                <w:sz w:val="20"/>
                <w:szCs w:val="20"/>
                <w:color w:val="auto"/>
              </w:rPr>
            </w:pPr>
            <w:r>
              <w:rPr>
                <w:rFonts w:ascii="Arial" w:cs="Arial" w:eastAsia="Arial" w:hAnsi="Arial"/>
                <w:sz w:val="14"/>
                <w:szCs w:val="14"/>
                <w:color w:val="231F20"/>
              </w:rPr>
              <w:t>2/28/2029</w:t>
            </w:r>
          </w:p>
        </w:tc>
        <w:tc>
          <w:tcPr>
            <w:tcW w:w="1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33"/>
        </w:trPr>
        <w:tc>
          <w:tcPr>
            <w:tcW w:w="1140" w:type="dxa"/>
            <w:vAlign w:val="bottom"/>
            <w:tcBorders>
              <w:bottom w:val="single" w:sz="8" w:color="231F20"/>
            </w:tcBorders>
          </w:tcPr>
          <w:p>
            <w:pPr>
              <w:spacing w:after="0"/>
              <w:rPr>
                <w:sz w:val="2"/>
                <w:szCs w:val="2"/>
                <w:color w:val="auto"/>
              </w:rPr>
            </w:pPr>
          </w:p>
        </w:tc>
        <w:tc>
          <w:tcPr>
            <w:tcW w:w="1400" w:type="dxa"/>
            <w:vAlign w:val="bottom"/>
            <w:tcBorders>
              <w:bottom w:val="single" w:sz="8" w:color="231F20"/>
            </w:tcBorders>
          </w:tcPr>
          <w:p>
            <w:pPr>
              <w:spacing w:after="0"/>
              <w:rPr>
                <w:sz w:val="2"/>
                <w:szCs w:val="2"/>
                <w:color w:val="auto"/>
              </w:rPr>
            </w:pPr>
          </w:p>
        </w:tc>
        <w:tc>
          <w:tcPr>
            <w:tcW w:w="1080" w:type="dxa"/>
            <w:vAlign w:val="bottom"/>
            <w:tcBorders>
              <w:bottom w:val="single" w:sz="8" w:color="231F20"/>
            </w:tcBorders>
          </w:tcPr>
          <w:p>
            <w:pPr>
              <w:spacing w:after="0"/>
              <w:rPr>
                <w:sz w:val="2"/>
                <w:szCs w:val="2"/>
                <w:color w:val="auto"/>
              </w:rPr>
            </w:pPr>
          </w:p>
        </w:tc>
        <w:tc>
          <w:tcPr>
            <w:tcW w:w="500" w:type="dxa"/>
            <w:vAlign w:val="bottom"/>
            <w:tcBorders>
              <w:bottom w:val="single" w:sz="8" w:color="231F20"/>
            </w:tcBorders>
          </w:tcPr>
          <w:p>
            <w:pPr>
              <w:spacing w:after="0"/>
              <w:rPr>
                <w:sz w:val="2"/>
                <w:szCs w:val="2"/>
                <w:color w:val="auto"/>
              </w:rPr>
            </w:pPr>
          </w:p>
        </w:tc>
        <w:tc>
          <w:tcPr>
            <w:tcW w:w="940" w:type="dxa"/>
            <w:vAlign w:val="bottom"/>
            <w:tcBorders>
              <w:bottom w:val="single" w:sz="8" w:color="231F20"/>
            </w:tcBorders>
          </w:tcPr>
          <w:p>
            <w:pPr>
              <w:spacing w:after="0"/>
              <w:rPr>
                <w:sz w:val="2"/>
                <w:szCs w:val="2"/>
                <w:color w:val="auto"/>
              </w:rPr>
            </w:pPr>
          </w:p>
        </w:tc>
        <w:tc>
          <w:tcPr>
            <w:tcW w:w="1220" w:type="dxa"/>
            <w:vAlign w:val="bottom"/>
            <w:tcBorders>
              <w:bottom w:val="single" w:sz="8" w:color="231F20"/>
            </w:tcBorders>
          </w:tcPr>
          <w:p>
            <w:pPr>
              <w:spacing w:after="0"/>
              <w:rPr>
                <w:sz w:val="2"/>
                <w:szCs w:val="2"/>
                <w:color w:val="auto"/>
              </w:rPr>
            </w:pPr>
          </w:p>
        </w:tc>
        <w:tc>
          <w:tcPr>
            <w:tcW w:w="1180" w:type="dxa"/>
            <w:vAlign w:val="bottom"/>
            <w:tcBorders>
              <w:bottom w:val="single" w:sz="8" w:color="231F20"/>
            </w:tcBorders>
          </w:tcPr>
          <w:p>
            <w:pPr>
              <w:spacing w:after="0"/>
              <w:rPr>
                <w:sz w:val="2"/>
                <w:szCs w:val="2"/>
                <w:color w:val="auto"/>
              </w:rPr>
            </w:pPr>
          </w:p>
        </w:tc>
        <w:tc>
          <w:tcPr>
            <w:tcW w:w="560" w:type="dxa"/>
            <w:vAlign w:val="bottom"/>
            <w:tcBorders>
              <w:bottom w:val="single" w:sz="8" w:color="231F20"/>
            </w:tcBorders>
          </w:tcPr>
          <w:p>
            <w:pPr>
              <w:spacing w:after="0"/>
              <w:rPr>
                <w:sz w:val="2"/>
                <w:szCs w:val="2"/>
                <w:color w:val="auto"/>
              </w:rPr>
            </w:pPr>
          </w:p>
        </w:tc>
        <w:tc>
          <w:tcPr>
            <w:tcW w:w="720" w:type="dxa"/>
            <w:vAlign w:val="bottom"/>
            <w:tcBorders>
              <w:bottom w:val="single" w:sz="8" w:color="231F20"/>
            </w:tcBorders>
          </w:tcPr>
          <w:p>
            <w:pPr>
              <w:spacing w:after="0"/>
              <w:rPr>
                <w:sz w:val="2"/>
                <w:szCs w:val="2"/>
                <w:color w:val="auto"/>
              </w:rPr>
            </w:pPr>
          </w:p>
        </w:tc>
        <w:tc>
          <w:tcPr>
            <w:tcW w:w="1320" w:type="dxa"/>
            <w:vAlign w:val="bottom"/>
            <w:tcBorders>
              <w:bottom w:val="single" w:sz="8" w:color="231F20"/>
            </w:tcBorders>
          </w:tcPr>
          <w:p>
            <w:pPr>
              <w:spacing w:after="0"/>
              <w:rPr>
                <w:sz w:val="2"/>
                <w:szCs w:val="2"/>
                <w:color w:val="auto"/>
              </w:rPr>
            </w:pPr>
          </w:p>
        </w:tc>
        <w:tc>
          <w:tcPr>
            <w:tcW w:w="580" w:type="dxa"/>
            <w:vAlign w:val="bottom"/>
            <w:tcBorders>
              <w:bottom w:val="single" w:sz="8" w:color="231F20"/>
            </w:tcBorders>
          </w:tcPr>
          <w:p>
            <w:pPr>
              <w:spacing w:after="0"/>
              <w:rPr>
                <w:sz w:val="2"/>
                <w:szCs w:val="2"/>
                <w:color w:val="auto"/>
              </w:rPr>
            </w:pPr>
          </w:p>
        </w:tc>
        <w:tc>
          <w:tcPr>
            <w:tcW w:w="600" w:type="dxa"/>
            <w:vAlign w:val="bottom"/>
            <w:tcBorders>
              <w:bottom w:val="single" w:sz="8" w:color="231F20"/>
            </w:tcBorders>
          </w:tcPr>
          <w:p>
            <w:pPr>
              <w:spacing w:after="0"/>
              <w:rPr>
                <w:sz w:val="2"/>
                <w:szCs w:val="2"/>
                <w:color w:val="auto"/>
              </w:rPr>
            </w:pPr>
          </w:p>
        </w:tc>
        <w:tc>
          <w:tcPr>
            <w:tcW w:w="20" w:type="dxa"/>
            <w:vAlign w:val="bottom"/>
          </w:tcPr>
          <w:p>
            <w:pPr>
              <w:spacing w:after="0"/>
              <w:rPr>
                <w:sz w:val="2"/>
                <w:szCs w:val="2"/>
                <w:color w:val="auto"/>
              </w:rPr>
            </w:pPr>
          </w:p>
        </w:tc>
      </w:tr>
      <w:tr>
        <w:trPr>
          <w:trHeight w:val="221"/>
        </w:trPr>
        <w:tc>
          <w:tcPr>
            <w:tcW w:w="1140" w:type="dxa"/>
            <w:vAlign w:val="bottom"/>
          </w:tcPr>
          <w:p>
            <w:pPr>
              <w:spacing w:after="0"/>
              <w:rPr>
                <w:sz w:val="20"/>
                <w:szCs w:val="20"/>
                <w:color w:val="auto"/>
              </w:rPr>
            </w:pPr>
            <w:r>
              <w:rPr>
                <w:rFonts w:ascii="Arial" w:cs="Arial" w:eastAsia="Arial" w:hAnsi="Arial"/>
                <w:sz w:val="14"/>
                <w:szCs w:val="14"/>
                <w:b w:val="1"/>
                <w:bCs w:val="1"/>
                <w:color w:val="455986"/>
              </w:rPr>
              <w:t>Luning</w:t>
            </w:r>
          </w:p>
        </w:tc>
        <w:tc>
          <w:tcPr>
            <w:tcW w:w="1400" w:type="dxa"/>
            <w:vAlign w:val="bottom"/>
          </w:tcPr>
          <w:p>
            <w:pPr>
              <w:jc w:val="right"/>
              <w:ind w:right="92"/>
              <w:spacing w:after="0"/>
              <w:rPr>
                <w:sz w:val="20"/>
                <w:szCs w:val="20"/>
                <w:color w:val="auto"/>
              </w:rPr>
            </w:pPr>
            <w:r>
              <w:rPr>
                <w:rFonts w:ascii="Arial" w:cs="Arial" w:eastAsia="Arial" w:hAnsi="Arial"/>
                <w:sz w:val="14"/>
                <w:szCs w:val="14"/>
                <w:color w:val="231F20"/>
              </w:rPr>
              <w:t>—</w:t>
            </w:r>
          </w:p>
        </w:tc>
        <w:tc>
          <w:tcPr>
            <w:tcW w:w="1580" w:type="dxa"/>
            <w:vAlign w:val="bottom"/>
            <w:gridSpan w:val="2"/>
          </w:tcPr>
          <w:p>
            <w:pPr>
              <w:jc w:val="right"/>
              <w:ind w:right="500"/>
              <w:spacing w:after="0"/>
              <w:rPr>
                <w:sz w:val="20"/>
                <w:szCs w:val="20"/>
                <w:color w:val="auto"/>
              </w:rPr>
            </w:pPr>
            <w:r>
              <w:rPr>
                <w:rFonts w:ascii="Arial" w:cs="Arial" w:eastAsia="Arial" w:hAnsi="Arial"/>
                <w:sz w:val="14"/>
                <w:szCs w:val="14"/>
                <w:color w:val="231F20"/>
              </w:rPr>
              <w:t>5,670</w:t>
            </w:r>
          </w:p>
        </w:tc>
        <w:tc>
          <w:tcPr>
            <w:tcW w:w="940" w:type="dxa"/>
            <w:vAlign w:val="bottom"/>
          </w:tcPr>
          <w:p>
            <w:pPr>
              <w:jc w:val="right"/>
              <w:ind w:right="232"/>
              <w:spacing w:after="0"/>
              <w:rPr>
                <w:sz w:val="20"/>
                <w:szCs w:val="20"/>
                <w:color w:val="auto"/>
              </w:rPr>
            </w:pPr>
            <w:r>
              <w:rPr>
                <w:rFonts w:ascii="Arial" w:cs="Arial" w:eastAsia="Arial" w:hAnsi="Arial"/>
                <w:sz w:val="14"/>
                <w:szCs w:val="14"/>
                <w:color w:val="231F20"/>
              </w:rPr>
              <w:t>$ 30.47</w:t>
            </w:r>
          </w:p>
        </w:tc>
        <w:tc>
          <w:tcPr>
            <w:tcW w:w="1220" w:type="dxa"/>
            <w:vAlign w:val="bottom"/>
          </w:tcPr>
          <w:p>
            <w:pPr>
              <w:jc w:val="right"/>
              <w:ind w:right="232"/>
              <w:spacing w:after="0"/>
              <w:rPr>
                <w:sz w:val="20"/>
                <w:szCs w:val="20"/>
                <w:color w:val="auto"/>
              </w:rPr>
            </w:pPr>
            <w:r>
              <w:rPr>
                <w:rFonts w:ascii="Arial" w:cs="Arial" w:eastAsia="Arial" w:hAnsi="Arial"/>
                <w:sz w:val="14"/>
                <w:szCs w:val="14"/>
                <w:color w:val="231F20"/>
              </w:rPr>
              <w:t>2/22/2027</w:t>
            </w:r>
          </w:p>
        </w:tc>
        <w:tc>
          <w:tcPr>
            <w:tcW w:w="1180" w:type="dxa"/>
            <w:vAlign w:val="bottom"/>
          </w:tcPr>
          <w:p>
            <w:pPr>
              <w:jc w:val="right"/>
              <w:ind w:right="172"/>
              <w:spacing w:after="0"/>
              <w:rPr>
                <w:sz w:val="20"/>
                <w:szCs w:val="20"/>
                <w:color w:val="auto"/>
              </w:rPr>
            </w:pPr>
            <w:r>
              <w:rPr>
                <w:rFonts w:ascii="Arial" w:cs="Arial" w:eastAsia="Arial" w:hAnsi="Arial"/>
                <w:sz w:val="14"/>
                <w:szCs w:val="14"/>
                <w:color w:val="231F20"/>
              </w:rPr>
              <w:t>7,975</w:t>
            </w:r>
          </w:p>
        </w:tc>
        <w:tc>
          <w:tcPr>
            <w:tcW w:w="560" w:type="dxa"/>
            <w:vAlign w:val="bottom"/>
          </w:tcPr>
          <w:p>
            <w:pPr>
              <w:jc w:val="right"/>
              <w:spacing w:after="0"/>
              <w:rPr>
                <w:sz w:val="20"/>
                <w:szCs w:val="20"/>
                <w:color w:val="auto"/>
              </w:rPr>
            </w:pPr>
            <w:r>
              <w:rPr>
                <w:rFonts w:ascii="Arial" w:cs="Arial" w:eastAsia="Arial" w:hAnsi="Arial"/>
                <w:sz w:val="14"/>
                <w:szCs w:val="14"/>
                <w:color w:val="231F20"/>
              </w:rPr>
              <w:t>$</w:t>
            </w:r>
          </w:p>
        </w:tc>
        <w:tc>
          <w:tcPr>
            <w:tcW w:w="720" w:type="dxa"/>
            <w:vAlign w:val="bottom"/>
          </w:tcPr>
          <w:p>
            <w:pPr>
              <w:jc w:val="right"/>
              <w:ind w:right="112"/>
              <w:spacing w:after="0"/>
              <w:rPr>
                <w:sz w:val="20"/>
                <w:szCs w:val="20"/>
                <w:color w:val="auto"/>
              </w:rPr>
            </w:pPr>
            <w:r>
              <w:rPr>
                <w:rFonts w:ascii="Arial" w:cs="Arial" w:eastAsia="Arial" w:hAnsi="Arial"/>
                <w:sz w:val="14"/>
                <w:szCs w:val="14"/>
                <w:color w:val="231F20"/>
              </w:rPr>
              <w:t>390,020</w:t>
            </w:r>
          </w:p>
        </w:tc>
        <w:tc>
          <w:tcPr>
            <w:tcW w:w="1320" w:type="dxa"/>
            <w:vAlign w:val="bottom"/>
          </w:tcPr>
          <w:p>
            <w:pPr>
              <w:jc w:val="right"/>
              <w:ind w:right="93"/>
              <w:spacing w:after="0"/>
              <w:rPr>
                <w:sz w:val="20"/>
                <w:szCs w:val="20"/>
                <w:color w:val="auto"/>
              </w:rPr>
            </w:pPr>
            <w:r>
              <w:rPr>
                <w:rFonts w:ascii="Arial" w:cs="Arial" w:eastAsia="Arial" w:hAnsi="Arial"/>
                <w:sz w:val="14"/>
                <w:szCs w:val="14"/>
                <w:color w:val="231F20"/>
              </w:rPr>
              <w:t>11,760</w:t>
            </w:r>
          </w:p>
        </w:tc>
        <w:tc>
          <w:tcPr>
            <w:tcW w:w="580" w:type="dxa"/>
            <w:vAlign w:val="bottom"/>
          </w:tcPr>
          <w:p>
            <w:pPr>
              <w:jc w:val="right"/>
              <w:spacing w:after="0"/>
              <w:rPr>
                <w:sz w:val="20"/>
                <w:szCs w:val="20"/>
                <w:color w:val="auto"/>
              </w:rPr>
            </w:pPr>
            <w:r>
              <w:rPr>
                <w:rFonts w:ascii="Arial" w:cs="Arial" w:eastAsia="Arial" w:hAnsi="Arial"/>
                <w:sz w:val="14"/>
                <w:szCs w:val="14"/>
                <w:color w:val="231F20"/>
              </w:rPr>
              <w:t>$</w:t>
            </w:r>
          </w:p>
        </w:tc>
        <w:tc>
          <w:tcPr>
            <w:tcW w:w="620" w:type="dxa"/>
            <w:vAlign w:val="bottom"/>
            <w:gridSpan w:val="2"/>
          </w:tcPr>
          <w:p>
            <w:pPr>
              <w:jc w:val="right"/>
              <w:ind w:right="20"/>
              <w:spacing w:after="0"/>
              <w:rPr>
                <w:sz w:val="20"/>
                <w:szCs w:val="20"/>
                <w:color w:val="auto"/>
              </w:rPr>
            </w:pPr>
            <w:r>
              <w:rPr>
                <w:rFonts w:ascii="Arial" w:cs="Arial" w:eastAsia="Arial" w:hAnsi="Arial"/>
                <w:sz w:val="14"/>
                <w:szCs w:val="14"/>
                <w:color w:val="231F20"/>
              </w:rPr>
              <w:t>569,623</w:t>
            </w:r>
          </w:p>
        </w:tc>
      </w:tr>
      <w:tr>
        <w:trPr>
          <w:trHeight w:val="27"/>
        </w:trPr>
        <w:tc>
          <w:tcPr>
            <w:tcW w:w="1140" w:type="dxa"/>
            <w:vAlign w:val="bottom"/>
          </w:tcPr>
          <w:p>
            <w:pPr>
              <w:spacing w:after="0"/>
              <w:rPr>
                <w:sz w:val="2"/>
                <w:szCs w:val="2"/>
                <w:color w:val="auto"/>
              </w:rPr>
            </w:pPr>
          </w:p>
        </w:tc>
        <w:tc>
          <w:tcPr>
            <w:tcW w:w="1400" w:type="dxa"/>
            <w:vAlign w:val="bottom"/>
            <w:tcBorders>
              <w:bottom w:val="single" w:sz="8" w:color="231F20"/>
            </w:tcBorders>
          </w:tcPr>
          <w:p>
            <w:pPr>
              <w:spacing w:after="0"/>
              <w:rPr>
                <w:sz w:val="2"/>
                <w:szCs w:val="2"/>
                <w:color w:val="auto"/>
              </w:rPr>
            </w:pPr>
          </w:p>
        </w:tc>
        <w:tc>
          <w:tcPr>
            <w:tcW w:w="1080" w:type="dxa"/>
            <w:vAlign w:val="bottom"/>
            <w:tcBorders>
              <w:bottom w:val="single" w:sz="8" w:color="231F20"/>
            </w:tcBorders>
          </w:tcPr>
          <w:p>
            <w:pPr>
              <w:spacing w:after="0"/>
              <w:rPr>
                <w:sz w:val="2"/>
                <w:szCs w:val="2"/>
                <w:color w:val="auto"/>
              </w:rPr>
            </w:pPr>
          </w:p>
        </w:tc>
        <w:tc>
          <w:tcPr>
            <w:tcW w:w="500" w:type="dxa"/>
            <w:vAlign w:val="bottom"/>
            <w:tcBorders>
              <w:bottom w:val="single" w:sz="8" w:color="231F20"/>
            </w:tcBorders>
          </w:tcPr>
          <w:p>
            <w:pPr>
              <w:spacing w:after="0"/>
              <w:rPr>
                <w:sz w:val="2"/>
                <w:szCs w:val="2"/>
                <w:color w:val="auto"/>
              </w:rPr>
            </w:pPr>
          </w:p>
        </w:tc>
        <w:tc>
          <w:tcPr>
            <w:tcW w:w="940" w:type="dxa"/>
            <w:vAlign w:val="bottom"/>
            <w:tcBorders>
              <w:bottom w:val="single" w:sz="8" w:color="231F20"/>
            </w:tcBorders>
          </w:tcPr>
          <w:p>
            <w:pPr>
              <w:spacing w:after="0"/>
              <w:rPr>
                <w:sz w:val="2"/>
                <w:szCs w:val="2"/>
                <w:color w:val="auto"/>
              </w:rPr>
            </w:pPr>
          </w:p>
        </w:tc>
        <w:tc>
          <w:tcPr>
            <w:tcW w:w="1220" w:type="dxa"/>
            <w:vAlign w:val="bottom"/>
            <w:tcBorders>
              <w:bottom w:val="single" w:sz="8" w:color="231F20"/>
            </w:tcBorders>
          </w:tcPr>
          <w:p>
            <w:pPr>
              <w:spacing w:after="0"/>
              <w:rPr>
                <w:sz w:val="2"/>
                <w:szCs w:val="2"/>
                <w:color w:val="auto"/>
              </w:rPr>
            </w:pPr>
          </w:p>
        </w:tc>
        <w:tc>
          <w:tcPr>
            <w:tcW w:w="1180" w:type="dxa"/>
            <w:vAlign w:val="bottom"/>
            <w:tcBorders>
              <w:bottom w:val="single" w:sz="8" w:color="231F20"/>
            </w:tcBorders>
          </w:tcPr>
          <w:p>
            <w:pPr>
              <w:spacing w:after="0"/>
              <w:rPr>
                <w:sz w:val="2"/>
                <w:szCs w:val="2"/>
                <w:color w:val="auto"/>
              </w:rPr>
            </w:pPr>
          </w:p>
        </w:tc>
        <w:tc>
          <w:tcPr>
            <w:tcW w:w="560" w:type="dxa"/>
            <w:vAlign w:val="bottom"/>
            <w:tcBorders>
              <w:bottom w:val="single" w:sz="8" w:color="231F20"/>
            </w:tcBorders>
          </w:tcPr>
          <w:p>
            <w:pPr>
              <w:spacing w:after="0"/>
              <w:rPr>
                <w:sz w:val="2"/>
                <w:szCs w:val="2"/>
                <w:color w:val="auto"/>
              </w:rPr>
            </w:pPr>
          </w:p>
        </w:tc>
        <w:tc>
          <w:tcPr>
            <w:tcW w:w="720" w:type="dxa"/>
            <w:vAlign w:val="bottom"/>
            <w:tcBorders>
              <w:bottom w:val="single" w:sz="8" w:color="231F20"/>
            </w:tcBorders>
          </w:tcPr>
          <w:p>
            <w:pPr>
              <w:spacing w:after="0"/>
              <w:rPr>
                <w:sz w:val="2"/>
                <w:szCs w:val="2"/>
                <w:color w:val="auto"/>
              </w:rPr>
            </w:pPr>
          </w:p>
        </w:tc>
        <w:tc>
          <w:tcPr>
            <w:tcW w:w="1320" w:type="dxa"/>
            <w:vAlign w:val="bottom"/>
            <w:tcBorders>
              <w:bottom w:val="single" w:sz="8" w:color="231F20"/>
            </w:tcBorders>
          </w:tcPr>
          <w:p>
            <w:pPr>
              <w:spacing w:after="0"/>
              <w:rPr>
                <w:sz w:val="2"/>
                <w:szCs w:val="2"/>
                <w:color w:val="auto"/>
              </w:rPr>
            </w:pPr>
          </w:p>
        </w:tc>
        <w:tc>
          <w:tcPr>
            <w:tcW w:w="580" w:type="dxa"/>
            <w:vAlign w:val="bottom"/>
            <w:tcBorders>
              <w:bottom w:val="single" w:sz="8" w:color="231F20"/>
            </w:tcBorders>
          </w:tcPr>
          <w:p>
            <w:pPr>
              <w:spacing w:after="0"/>
              <w:rPr>
                <w:sz w:val="2"/>
                <w:szCs w:val="2"/>
                <w:color w:val="auto"/>
              </w:rPr>
            </w:pPr>
          </w:p>
        </w:tc>
        <w:tc>
          <w:tcPr>
            <w:tcW w:w="600" w:type="dxa"/>
            <w:vAlign w:val="bottom"/>
            <w:tcBorders>
              <w:bottom w:val="single" w:sz="8" w:color="231F20"/>
            </w:tcBorders>
          </w:tcPr>
          <w:p>
            <w:pPr>
              <w:spacing w:after="0"/>
              <w:rPr>
                <w:sz w:val="2"/>
                <w:szCs w:val="2"/>
                <w:color w:val="auto"/>
              </w:rPr>
            </w:pPr>
          </w:p>
        </w:tc>
        <w:tc>
          <w:tcPr>
            <w:tcW w:w="20" w:type="dxa"/>
            <w:vAlign w:val="bottom"/>
          </w:tcPr>
          <w:p>
            <w:pPr>
              <w:spacing w:after="0"/>
              <w:rPr>
                <w:sz w:val="2"/>
                <w:szCs w:val="2"/>
                <w:color w:val="auto"/>
              </w:rPr>
            </w:pPr>
          </w:p>
        </w:tc>
      </w:tr>
      <w:tr>
        <w:trPr>
          <w:trHeight w:val="215"/>
        </w:trPr>
        <w:tc>
          <w:tcPr>
            <w:tcW w:w="1140" w:type="dxa"/>
            <w:vAlign w:val="bottom"/>
          </w:tcPr>
          <w:p>
            <w:pPr>
              <w:spacing w:after="0"/>
              <w:rPr>
                <w:sz w:val="18"/>
                <w:szCs w:val="18"/>
                <w:color w:val="auto"/>
              </w:rPr>
            </w:pPr>
          </w:p>
        </w:tc>
        <w:tc>
          <w:tcPr>
            <w:tcW w:w="1400" w:type="dxa"/>
            <w:vAlign w:val="bottom"/>
          </w:tcPr>
          <w:p>
            <w:pPr>
              <w:jc w:val="right"/>
              <w:ind w:right="92"/>
              <w:spacing w:after="0"/>
              <w:rPr>
                <w:sz w:val="20"/>
                <w:szCs w:val="20"/>
                <w:color w:val="auto"/>
              </w:rPr>
            </w:pPr>
            <w:r>
              <w:rPr>
                <w:rFonts w:ascii="Arial" w:cs="Arial" w:eastAsia="Arial" w:hAnsi="Arial"/>
                <w:sz w:val="14"/>
                <w:szCs w:val="14"/>
                <w:color w:val="231F20"/>
              </w:rPr>
              <w:t>2,405</w:t>
            </w:r>
          </w:p>
        </w:tc>
        <w:tc>
          <w:tcPr>
            <w:tcW w:w="1580" w:type="dxa"/>
            <w:vAlign w:val="bottom"/>
            <w:gridSpan w:val="2"/>
          </w:tcPr>
          <w:p>
            <w:pPr>
              <w:jc w:val="right"/>
              <w:ind w:right="500"/>
              <w:spacing w:after="0"/>
              <w:rPr>
                <w:sz w:val="20"/>
                <w:szCs w:val="20"/>
                <w:color w:val="auto"/>
              </w:rPr>
            </w:pPr>
            <w:r>
              <w:rPr>
                <w:rFonts w:ascii="Arial" w:cs="Arial" w:eastAsia="Arial" w:hAnsi="Arial"/>
                <w:sz w:val="14"/>
                <w:szCs w:val="14"/>
                <w:color w:val="231F20"/>
              </w:rPr>
              <w:t>4,810</w:t>
            </w:r>
          </w:p>
        </w:tc>
        <w:tc>
          <w:tcPr>
            <w:tcW w:w="940" w:type="dxa"/>
            <w:vAlign w:val="bottom"/>
          </w:tcPr>
          <w:p>
            <w:pPr>
              <w:jc w:val="right"/>
              <w:ind w:right="232"/>
              <w:spacing w:after="0"/>
              <w:rPr>
                <w:sz w:val="20"/>
                <w:szCs w:val="20"/>
                <w:color w:val="auto"/>
              </w:rPr>
            </w:pPr>
            <w:r>
              <w:rPr>
                <w:rFonts w:ascii="Arial" w:cs="Arial" w:eastAsia="Arial" w:hAnsi="Arial"/>
                <w:sz w:val="14"/>
                <w:szCs w:val="14"/>
                <w:color w:val="231F20"/>
              </w:rPr>
              <w:t>$ 34.51</w:t>
            </w:r>
          </w:p>
        </w:tc>
        <w:tc>
          <w:tcPr>
            <w:tcW w:w="1220" w:type="dxa"/>
            <w:vAlign w:val="bottom"/>
          </w:tcPr>
          <w:p>
            <w:pPr>
              <w:jc w:val="right"/>
              <w:ind w:right="232"/>
              <w:spacing w:after="0"/>
              <w:rPr>
                <w:sz w:val="20"/>
                <w:szCs w:val="20"/>
                <w:color w:val="auto"/>
              </w:rPr>
            </w:pPr>
            <w:r>
              <w:rPr>
                <w:rFonts w:ascii="Arial" w:cs="Arial" w:eastAsia="Arial" w:hAnsi="Arial"/>
                <w:sz w:val="14"/>
                <w:szCs w:val="14"/>
                <w:color w:val="231F20"/>
              </w:rPr>
              <w:t>2/27/2028</w:t>
            </w:r>
          </w:p>
        </w:tc>
        <w:tc>
          <w:tcPr>
            <w:tcW w:w="1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33"/>
        </w:trPr>
        <w:tc>
          <w:tcPr>
            <w:tcW w:w="1140" w:type="dxa"/>
            <w:vAlign w:val="bottom"/>
          </w:tcPr>
          <w:p>
            <w:pPr>
              <w:spacing w:after="0"/>
              <w:rPr>
                <w:sz w:val="2"/>
                <w:szCs w:val="2"/>
                <w:color w:val="auto"/>
              </w:rPr>
            </w:pPr>
          </w:p>
        </w:tc>
        <w:tc>
          <w:tcPr>
            <w:tcW w:w="1400" w:type="dxa"/>
            <w:vAlign w:val="bottom"/>
            <w:tcBorders>
              <w:bottom w:val="single" w:sz="8" w:color="231F20"/>
            </w:tcBorders>
          </w:tcPr>
          <w:p>
            <w:pPr>
              <w:spacing w:after="0"/>
              <w:rPr>
                <w:sz w:val="2"/>
                <w:szCs w:val="2"/>
                <w:color w:val="auto"/>
              </w:rPr>
            </w:pPr>
          </w:p>
        </w:tc>
        <w:tc>
          <w:tcPr>
            <w:tcW w:w="1080" w:type="dxa"/>
            <w:vAlign w:val="bottom"/>
            <w:tcBorders>
              <w:bottom w:val="single" w:sz="8" w:color="231F20"/>
            </w:tcBorders>
          </w:tcPr>
          <w:p>
            <w:pPr>
              <w:spacing w:after="0"/>
              <w:rPr>
                <w:sz w:val="2"/>
                <w:szCs w:val="2"/>
                <w:color w:val="auto"/>
              </w:rPr>
            </w:pPr>
          </w:p>
        </w:tc>
        <w:tc>
          <w:tcPr>
            <w:tcW w:w="500" w:type="dxa"/>
            <w:vAlign w:val="bottom"/>
            <w:tcBorders>
              <w:bottom w:val="single" w:sz="8" w:color="231F20"/>
            </w:tcBorders>
          </w:tcPr>
          <w:p>
            <w:pPr>
              <w:spacing w:after="0"/>
              <w:rPr>
                <w:sz w:val="2"/>
                <w:szCs w:val="2"/>
                <w:color w:val="auto"/>
              </w:rPr>
            </w:pPr>
          </w:p>
        </w:tc>
        <w:tc>
          <w:tcPr>
            <w:tcW w:w="940" w:type="dxa"/>
            <w:vAlign w:val="bottom"/>
            <w:tcBorders>
              <w:bottom w:val="single" w:sz="8" w:color="231F20"/>
            </w:tcBorders>
          </w:tcPr>
          <w:p>
            <w:pPr>
              <w:spacing w:after="0"/>
              <w:rPr>
                <w:sz w:val="2"/>
                <w:szCs w:val="2"/>
                <w:color w:val="auto"/>
              </w:rPr>
            </w:pPr>
          </w:p>
        </w:tc>
        <w:tc>
          <w:tcPr>
            <w:tcW w:w="1220" w:type="dxa"/>
            <w:vAlign w:val="bottom"/>
            <w:tcBorders>
              <w:bottom w:val="single" w:sz="8" w:color="231F20"/>
            </w:tcBorders>
          </w:tcPr>
          <w:p>
            <w:pPr>
              <w:spacing w:after="0"/>
              <w:rPr>
                <w:sz w:val="2"/>
                <w:szCs w:val="2"/>
                <w:color w:val="auto"/>
              </w:rPr>
            </w:pPr>
          </w:p>
        </w:tc>
        <w:tc>
          <w:tcPr>
            <w:tcW w:w="1180" w:type="dxa"/>
            <w:vAlign w:val="bottom"/>
            <w:tcBorders>
              <w:bottom w:val="single" w:sz="8" w:color="231F20"/>
            </w:tcBorders>
          </w:tcPr>
          <w:p>
            <w:pPr>
              <w:spacing w:after="0"/>
              <w:rPr>
                <w:sz w:val="2"/>
                <w:szCs w:val="2"/>
                <w:color w:val="auto"/>
              </w:rPr>
            </w:pPr>
          </w:p>
        </w:tc>
        <w:tc>
          <w:tcPr>
            <w:tcW w:w="560" w:type="dxa"/>
            <w:vAlign w:val="bottom"/>
            <w:tcBorders>
              <w:bottom w:val="single" w:sz="8" w:color="231F20"/>
            </w:tcBorders>
          </w:tcPr>
          <w:p>
            <w:pPr>
              <w:spacing w:after="0"/>
              <w:rPr>
                <w:sz w:val="2"/>
                <w:szCs w:val="2"/>
                <w:color w:val="auto"/>
              </w:rPr>
            </w:pPr>
          </w:p>
        </w:tc>
        <w:tc>
          <w:tcPr>
            <w:tcW w:w="720" w:type="dxa"/>
            <w:vAlign w:val="bottom"/>
            <w:tcBorders>
              <w:bottom w:val="single" w:sz="8" w:color="231F20"/>
            </w:tcBorders>
          </w:tcPr>
          <w:p>
            <w:pPr>
              <w:spacing w:after="0"/>
              <w:rPr>
                <w:sz w:val="2"/>
                <w:szCs w:val="2"/>
                <w:color w:val="auto"/>
              </w:rPr>
            </w:pPr>
          </w:p>
        </w:tc>
        <w:tc>
          <w:tcPr>
            <w:tcW w:w="1320" w:type="dxa"/>
            <w:vAlign w:val="bottom"/>
            <w:tcBorders>
              <w:bottom w:val="single" w:sz="8" w:color="231F20"/>
            </w:tcBorders>
          </w:tcPr>
          <w:p>
            <w:pPr>
              <w:spacing w:after="0"/>
              <w:rPr>
                <w:sz w:val="2"/>
                <w:szCs w:val="2"/>
                <w:color w:val="auto"/>
              </w:rPr>
            </w:pPr>
          </w:p>
        </w:tc>
        <w:tc>
          <w:tcPr>
            <w:tcW w:w="580" w:type="dxa"/>
            <w:vAlign w:val="bottom"/>
            <w:tcBorders>
              <w:bottom w:val="single" w:sz="8" w:color="231F20"/>
            </w:tcBorders>
          </w:tcPr>
          <w:p>
            <w:pPr>
              <w:spacing w:after="0"/>
              <w:rPr>
                <w:sz w:val="2"/>
                <w:szCs w:val="2"/>
                <w:color w:val="auto"/>
              </w:rPr>
            </w:pPr>
          </w:p>
        </w:tc>
        <w:tc>
          <w:tcPr>
            <w:tcW w:w="600" w:type="dxa"/>
            <w:vAlign w:val="bottom"/>
            <w:tcBorders>
              <w:bottom w:val="single" w:sz="8" w:color="231F20"/>
            </w:tcBorders>
          </w:tcPr>
          <w:p>
            <w:pPr>
              <w:spacing w:after="0"/>
              <w:rPr>
                <w:sz w:val="2"/>
                <w:szCs w:val="2"/>
                <w:color w:val="auto"/>
              </w:rPr>
            </w:pPr>
          </w:p>
        </w:tc>
        <w:tc>
          <w:tcPr>
            <w:tcW w:w="20" w:type="dxa"/>
            <w:vAlign w:val="bottom"/>
          </w:tcPr>
          <w:p>
            <w:pPr>
              <w:spacing w:after="0"/>
              <w:rPr>
                <w:sz w:val="2"/>
                <w:szCs w:val="2"/>
                <w:color w:val="auto"/>
              </w:rPr>
            </w:pPr>
          </w:p>
        </w:tc>
      </w:tr>
      <w:tr>
        <w:trPr>
          <w:trHeight w:val="215"/>
        </w:trPr>
        <w:tc>
          <w:tcPr>
            <w:tcW w:w="1140" w:type="dxa"/>
            <w:vAlign w:val="bottom"/>
          </w:tcPr>
          <w:p>
            <w:pPr>
              <w:spacing w:after="0"/>
              <w:rPr>
                <w:sz w:val="18"/>
                <w:szCs w:val="18"/>
                <w:color w:val="auto"/>
              </w:rPr>
            </w:pPr>
          </w:p>
        </w:tc>
        <w:tc>
          <w:tcPr>
            <w:tcW w:w="1400" w:type="dxa"/>
            <w:vAlign w:val="bottom"/>
          </w:tcPr>
          <w:p>
            <w:pPr>
              <w:jc w:val="right"/>
              <w:ind w:right="92"/>
              <w:spacing w:after="0"/>
              <w:rPr>
                <w:sz w:val="20"/>
                <w:szCs w:val="20"/>
                <w:color w:val="auto"/>
              </w:rPr>
            </w:pPr>
            <w:r>
              <w:rPr>
                <w:rFonts w:ascii="Arial" w:cs="Arial" w:eastAsia="Arial" w:hAnsi="Arial"/>
                <w:sz w:val="14"/>
                <w:szCs w:val="14"/>
                <w:color w:val="231F20"/>
              </w:rPr>
              <w:t>26,071</w:t>
            </w:r>
          </w:p>
        </w:tc>
        <w:tc>
          <w:tcPr>
            <w:tcW w:w="1580" w:type="dxa"/>
            <w:vAlign w:val="bottom"/>
            <w:gridSpan w:val="2"/>
          </w:tcPr>
          <w:p>
            <w:pPr>
              <w:jc w:val="right"/>
              <w:ind w:right="500"/>
              <w:spacing w:after="0"/>
              <w:rPr>
                <w:sz w:val="20"/>
                <w:szCs w:val="20"/>
                <w:color w:val="auto"/>
              </w:rPr>
            </w:pPr>
            <w:r>
              <w:rPr>
                <w:rFonts w:ascii="Arial" w:cs="Arial" w:eastAsia="Arial" w:hAnsi="Arial"/>
                <w:sz w:val="14"/>
                <w:szCs w:val="14"/>
                <w:color w:val="231F20"/>
              </w:rPr>
              <w:t>13,036</w:t>
            </w:r>
          </w:p>
        </w:tc>
        <w:tc>
          <w:tcPr>
            <w:tcW w:w="940" w:type="dxa"/>
            <w:vAlign w:val="bottom"/>
          </w:tcPr>
          <w:p>
            <w:pPr>
              <w:jc w:val="right"/>
              <w:ind w:right="232"/>
              <w:spacing w:after="0"/>
              <w:rPr>
                <w:sz w:val="20"/>
                <w:szCs w:val="20"/>
                <w:color w:val="auto"/>
              </w:rPr>
            </w:pPr>
            <w:r>
              <w:rPr>
                <w:rFonts w:ascii="Arial" w:cs="Arial" w:eastAsia="Arial" w:hAnsi="Arial"/>
                <w:sz w:val="14"/>
                <w:szCs w:val="14"/>
                <w:color w:val="231F20"/>
              </w:rPr>
              <w:t>$ 35.94</w:t>
            </w:r>
          </w:p>
        </w:tc>
        <w:tc>
          <w:tcPr>
            <w:tcW w:w="1220" w:type="dxa"/>
            <w:vAlign w:val="bottom"/>
          </w:tcPr>
          <w:p>
            <w:pPr>
              <w:jc w:val="right"/>
              <w:ind w:right="232"/>
              <w:spacing w:after="0"/>
              <w:rPr>
                <w:sz w:val="20"/>
                <w:szCs w:val="20"/>
                <w:color w:val="auto"/>
              </w:rPr>
            </w:pPr>
            <w:r>
              <w:rPr>
                <w:rFonts w:ascii="Arial" w:cs="Arial" w:eastAsia="Arial" w:hAnsi="Arial"/>
                <w:sz w:val="14"/>
                <w:szCs w:val="14"/>
                <w:color w:val="231F20"/>
              </w:rPr>
              <w:t>2/28/2029</w:t>
            </w:r>
          </w:p>
        </w:tc>
        <w:tc>
          <w:tcPr>
            <w:tcW w:w="1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33"/>
        </w:trPr>
        <w:tc>
          <w:tcPr>
            <w:tcW w:w="1140" w:type="dxa"/>
            <w:vAlign w:val="bottom"/>
            <w:tcBorders>
              <w:bottom w:val="single" w:sz="8" w:color="231F20"/>
            </w:tcBorders>
          </w:tcPr>
          <w:p>
            <w:pPr>
              <w:spacing w:after="0"/>
              <w:rPr>
                <w:sz w:val="2"/>
                <w:szCs w:val="2"/>
                <w:color w:val="auto"/>
              </w:rPr>
            </w:pPr>
          </w:p>
        </w:tc>
        <w:tc>
          <w:tcPr>
            <w:tcW w:w="1400" w:type="dxa"/>
            <w:vAlign w:val="bottom"/>
            <w:tcBorders>
              <w:bottom w:val="single" w:sz="8" w:color="231F20"/>
            </w:tcBorders>
          </w:tcPr>
          <w:p>
            <w:pPr>
              <w:spacing w:after="0"/>
              <w:rPr>
                <w:sz w:val="2"/>
                <w:szCs w:val="2"/>
                <w:color w:val="auto"/>
              </w:rPr>
            </w:pPr>
          </w:p>
        </w:tc>
        <w:tc>
          <w:tcPr>
            <w:tcW w:w="1080" w:type="dxa"/>
            <w:vAlign w:val="bottom"/>
            <w:tcBorders>
              <w:bottom w:val="single" w:sz="8" w:color="231F20"/>
            </w:tcBorders>
          </w:tcPr>
          <w:p>
            <w:pPr>
              <w:spacing w:after="0"/>
              <w:rPr>
                <w:sz w:val="2"/>
                <w:szCs w:val="2"/>
                <w:color w:val="auto"/>
              </w:rPr>
            </w:pPr>
          </w:p>
        </w:tc>
        <w:tc>
          <w:tcPr>
            <w:tcW w:w="500" w:type="dxa"/>
            <w:vAlign w:val="bottom"/>
            <w:tcBorders>
              <w:bottom w:val="single" w:sz="8" w:color="231F20"/>
            </w:tcBorders>
          </w:tcPr>
          <w:p>
            <w:pPr>
              <w:spacing w:after="0"/>
              <w:rPr>
                <w:sz w:val="2"/>
                <w:szCs w:val="2"/>
                <w:color w:val="auto"/>
              </w:rPr>
            </w:pPr>
          </w:p>
        </w:tc>
        <w:tc>
          <w:tcPr>
            <w:tcW w:w="940" w:type="dxa"/>
            <w:vAlign w:val="bottom"/>
            <w:tcBorders>
              <w:bottom w:val="single" w:sz="8" w:color="231F20"/>
            </w:tcBorders>
          </w:tcPr>
          <w:p>
            <w:pPr>
              <w:spacing w:after="0"/>
              <w:rPr>
                <w:sz w:val="2"/>
                <w:szCs w:val="2"/>
                <w:color w:val="auto"/>
              </w:rPr>
            </w:pPr>
          </w:p>
        </w:tc>
        <w:tc>
          <w:tcPr>
            <w:tcW w:w="1220" w:type="dxa"/>
            <w:vAlign w:val="bottom"/>
            <w:tcBorders>
              <w:bottom w:val="single" w:sz="8" w:color="231F20"/>
            </w:tcBorders>
          </w:tcPr>
          <w:p>
            <w:pPr>
              <w:spacing w:after="0"/>
              <w:rPr>
                <w:sz w:val="2"/>
                <w:szCs w:val="2"/>
                <w:color w:val="auto"/>
              </w:rPr>
            </w:pPr>
          </w:p>
        </w:tc>
        <w:tc>
          <w:tcPr>
            <w:tcW w:w="1180" w:type="dxa"/>
            <w:vAlign w:val="bottom"/>
            <w:tcBorders>
              <w:bottom w:val="single" w:sz="8" w:color="231F20"/>
            </w:tcBorders>
          </w:tcPr>
          <w:p>
            <w:pPr>
              <w:spacing w:after="0"/>
              <w:rPr>
                <w:sz w:val="2"/>
                <w:szCs w:val="2"/>
                <w:color w:val="auto"/>
              </w:rPr>
            </w:pPr>
          </w:p>
        </w:tc>
        <w:tc>
          <w:tcPr>
            <w:tcW w:w="560" w:type="dxa"/>
            <w:vAlign w:val="bottom"/>
            <w:tcBorders>
              <w:bottom w:val="single" w:sz="8" w:color="231F20"/>
            </w:tcBorders>
          </w:tcPr>
          <w:p>
            <w:pPr>
              <w:spacing w:after="0"/>
              <w:rPr>
                <w:sz w:val="2"/>
                <w:szCs w:val="2"/>
                <w:color w:val="auto"/>
              </w:rPr>
            </w:pPr>
          </w:p>
        </w:tc>
        <w:tc>
          <w:tcPr>
            <w:tcW w:w="720" w:type="dxa"/>
            <w:vAlign w:val="bottom"/>
            <w:tcBorders>
              <w:bottom w:val="single" w:sz="8" w:color="231F20"/>
            </w:tcBorders>
          </w:tcPr>
          <w:p>
            <w:pPr>
              <w:spacing w:after="0"/>
              <w:rPr>
                <w:sz w:val="2"/>
                <w:szCs w:val="2"/>
                <w:color w:val="auto"/>
              </w:rPr>
            </w:pPr>
          </w:p>
        </w:tc>
        <w:tc>
          <w:tcPr>
            <w:tcW w:w="1320" w:type="dxa"/>
            <w:vAlign w:val="bottom"/>
            <w:tcBorders>
              <w:bottom w:val="single" w:sz="8" w:color="231F20"/>
            </w:tcBorders>
          </w:tcPr>
          <w:p>
            <w:pPr>
              <w:spacing w:after="0"/>
              <w:rPr>
                <w:sz w:val="2"/>
                <w:szCs w:val="2"/>
                <w:color w:val="auto"/>
              </w:rPr>
            </w:pPr>
          </w:p>
        </w:tc>
        <w:tc>
          <w:tcPr>
            <w:tcW w:w="580" w:type="dxa"/>
            <w:vAlign w:val="bottom"/>
            <w:tcBorders>
              <w:bottom w:val="single" w:sz="8" w:color="231F20"/>
            </w:tcBorders>
          </w:tcPr>
          <w:p>
            <w:pPr>
              <w:spacing w:after="0"/>
              <w:rPr>
                <w:sz w:val="2"/>
                <w:szCs w:val="2"/>
                <w:color w:val="auto"/>
              </w:rPr>
            </w:pPr>
          </w:p>
        </w:tc>
        <w:tc>
          <w:tcPr>
            <w:tcW w:w="600" w:type="dxa"/>
            <w:vAlign w:val="bottom"/>
            <w:tcBorders>
              <w:bottom w:val="single" w:sz="8" w:color="231F20"/>
            </w:tcBorders>
          </w:tcPr>
          <w:p>
            <w:pPr>
              <w:spacing w:after="0"/>
              <w:rPr>
                <w:sz w:val="2"/>
                <w:szCs w:val="2"/>
                <w:color w:val="auto"/>
              </w:rPr>
            </w:pPr>
          </w:p>
        </w:tc>
        <w:tc>
          <w:tcPr>
            <w:tcW w:w="20" w:type="dxa"/>
            <w:vAlign w:val="bottom"/>
          </w:tcPr>
          <w:p>
            <w:pPr>
              <w:spacing w:after="0"/>
              <w:rPr>
                <w:sz w:val="2"/>
                <w:szCs w:val="2"/>
                <w:color w:val="auto"/>
              </w:rPr>
            </w:pPr>
          </w:p>
        </w:tc>
      </w:tr>
    </w:tbl>
    <w:p>
      <w:pPr>
        <w:spacing w:after="0" w:line="60" w:lineRule="exact"/>
        <w:rPr>
          <w:sz w:val="20"/>
          <w:szCs w:val="20"/>
          <w:color w:val="auto"/>
        </w:rPr>
      </w:pPr>
    </w:p>
    <w:p>
      <w:pPr>
        <w:ind w:left="200" w:right="160" w:hanging="198"/>
        <w:spacing w:after="0" w:line="237" w:lineRule="auto"/>
        <w:tabs>
          <w:tab w:leader="none" w:pos="200" w:val="left"/>
        </w:tabs>
        <w:numPr>
          <w:ilvl w:val="0"/>
          <w:numId w:val="134"/>
        </w:numPr>
        <w:rPr>
          <w:rFonts w:ascii="Arial" w:cs="Arial" w:eastAsia="Arial" w:hAnsi="Arial"/>
          <w:sz w:val="13"/>
          <w:szCs w:val="13"/>
          <w:color w:val="231F20"/>
        </w:rPr>
      </w:pPr>
      <w:r>
        <w:rPr>
          <w:rFonts w:ascii="Arial" w:cs="Arial" w:eastAsia="Arial" w:hAnsi="Arial"/>
          <w:sz w:val="13"/>
          <w:szCs w:val="13"/>
          <w:color w:val="231F20"/>
        </w:rPr>
        <w:t>All PSUs are subject to the achievement of the applicable performance criteria for the designated performance period, and continued service with the Company to the vesting date; actual results could vary materially at the end of the performance period. All RSUs for Mr. Franklin are subject to the achievement of the applicable performance criteria and his continued service with the Company to the vesting date. All RSUs for the other NEOs are subject to the individual’s continued service with the Company to the vesting date. The following table contains information on outstanding stock option and stock awards held by the named executive officers at December 31, 2020.</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3840" w:type="dxa"/>
            <w:vAlign w:val="bottom"/>
          </w:tcPr>
          <w:p>
            <w:pPr>
              <w:spacing w:after="0"/>
              <w:rPr>
                <w:sz w:val="14"/>
                <w:szCs w:val="14"/>
                <w:color w:val="auto"/>
              </w:rPr>
            </w:pPr>
          </w:p>
        </w:tc>
        <w:tc>
          <w:tcPr>
            <w:tcW w:w="2720" w:type="dxa"/>
            <w:vAlign w:val="bottom"/>
            <w:tcBorders>
              <w:bottom w:val="single" w:sz="8" w:color="4395D4"/>
            </w:tcBorders>
            <w:gridSpan w:val="2"/>
          </w:tcPr>
          <w:p>
            <w:pPr>
              <w:jc w:val="right"/>
              <w:ind w:right="152"/>
              <w:spacing w:after="0"/>
              <w:rPr>
                <w:sz w:val="20"/>
                <w:szCs w:val="20"/>
                <w:color w:val="auto"/>
              </w:rPr>
            </w:pPr>
            <w:r>
              <w:rPr>
                <w:rFonts w:ascii="Arial" w:cs="Arial" w:eastAsia="Arial" w:hAnsi="Arial"/>
                <w:sz w:val="14"/>
                <w:szCs w:val="14"/>
                <w:color w:val="455986"/>
              </w:rPr>
              <w:t>Performance Share Units</w:t>
            </w:r>
          </w:p>
        </w:tc>
        <w:tc>
          <w:tcPr>
            <w:tcW w:w="760" w:type="dxa"/>
            <w:vAlign w:val="bottom"/>
            <w:tcBorders>
              <w:bottom w:val="single" w:sz="8" w:color="4395D4"/>
            </w:tcBorders>
          </w:tcPr>
          <w:p>
            <w:pPr>
              <w:spacing w:after="0"/>
              <w:rPr>
                <w:sz w:val="14"/>
                <w:szCs w:val="14"/>
                <w:color w:val="auto"/>
              </w:rPr>
            </w:pPr>
          </w:p>
        </w:tc>
        <w:tc>
          <w:tcPr>
            <w:tcW w:w="240" w:type="dxa"/>
            <w:vAlign w:val="bottom"/>
          </w:tcPr>
          <w:p>
            <w:pPr>
              <w:spacing w:after="0"/>
              <w:rPr>
                <w:sz w:val="14"/>
                <w:szCs w:val="14"/>
                <w:color w:val="auto"/>
              </w:rPr>
            </w:pPr>
          </w:p>
        </w:tc>
        <w:tc>
          <w:tcPr>
            <w:tcW w:w="2900" w:type="dxa"/>
            <w:vAlign w:val="bottom"/>
            <w:tcBorders>
              <w:bottom w:val="single" w:sz="8" w:color="4395D4"/>
            </w:tcBorders>
            <w:gridSpan w:val="2"/>
          </w:tcPr>
          <w:p>
            <w:pPr>
              <w:jc w:val="right"/>
              <w:ind w:right="312"/>
              <w:spacing w:after="0"/>
              <w:rPr>
                <w:sz w:val="20"/>
                <w:szCs w:val="20"/>
                <w:color w:val="auto"/>
              </w:rPr>
            </w:pPr>
            <w:r>
              <w:rPr>
                <w:rFonts w:ascii="Arial" w:cs="Arial" w:eastAsia="Arial" w:hAnsi="Arial"/>
                <w:sz w:val="14"/>
                <w:szCs w:val="14"/>
                <w:color w:val="455986"/>
              </w:rPr>
              <w:t>Restricted Share Units</w:t>
            </w:r>
          </w:p>
        </w:tc>
        <w:tc>
          <w:tcPr>
            <w:tcW w:w="780" w:type="dxa"/>
            <w:vAlign w:val="bottom"/>
            <w:tcBorders>
              <w:bottom w:val="single" w:sz="8" w:color="4395D4"/>
            </w:tcBorders>
          </w:tcPr>
          <w:p>
            <w:pPr>
              <w:spacing w:after="0"/>
              <w:rPr>
                <w:sz w:val="14"/>
                <w:szCs w:val="14"/>
                <w:color w:val="auto"/>
              </w:rPr>
            </w:pPr>
          </w:p>
        </w:tc>
      </w:tr>
      <w:tr>
        <w:trPr>
          <w:trHeight w:val="134"/>
        </w:trPr>
        <w:tc>
          <w:tcPr>
            <w:tcW w:w="384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1220" w:type="dxa"/>
            <w:vAlign w:val="bottom"/>
          </w:tcPr>
          <w:p>
            <w:pPr>
              <w:jc w:val="right"/>
              <w:ind w:right="192"/>
              <w:spacing w:after="0" w:line="135" w:lineRule="exact"/>
              <w:rPr>
                <w:sz w:val="20"/>
                <w:szCs w:val="20"/>
                <w:color w:val="auto"/>
              </w:rPr>
            </w:pPr>
            <w:r>
              <w:rPr>
                <w:rFonts w:ascii="Arial" w:cs="Arial" w:eastAsia="Arial" w:hAnsi="Arial"/>
                <w:sz w:val="14"/>
                <w:szCs w:val="14"/>
                <w:color w:val="455986"/>
              </w:rPr>
              <w:t>Date to</w:t>
            </w:r>
          </w:p>
        </w:tc>
        <w:tc>
          <w:tcPr>
            <w:tcW w:w="7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7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53"/>
        </w:trPr>
        <w:tc>
          <w:tcPr>
            <w:tcW w:w="384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1220" w:type="dxa"/>
            <w:vAlign w:val="bottom"/>
          </w:tcPr>
          <w:p>
            <w:pPr>
              <w:jc w:val="right"/>
              <w:ind w:right="192"/>
              <w:spacing w:after="0" w:line="153" w:lineRule="exact"/>
              <w:rPr>
                <w:sz w:val="20"/>
                <w:szCs w:val="20"/>
                <w:color w:val="auto"/>
              </w:rPr>
            </w:pPr>
            <w:r>
              <w:rPr>
                <w:rFonts w:ascii="Arial" w:cs="Arial" w:eastAsia="Arial" w:hAnsi="Arial"/>
                <w:sz w:val="14"/>
                <w:szCs w:val="14"/>
                <w:color w:val="455986"/>
              </w:rPr>
              <w:t>be Vested,</w:t>
            </w:r>
          </w:p>
        </w:tc>
        <w:tc>
          <w:tcPr>
            <w:tcW w:w="7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1200" w:type="dxa"/>
            <w:vAlign w:val="bottom"/>
          </w:tcPr>
          <w:p>
            <w:pPr>
              <w:jc w:val="right"/>
              <w:ind w:right="152"/>
              <w:spacing w:after="0" w:line="153" w:lineRule="exact"/>
              <w:rPr>
                <w:sz w:val="20"/>
                <w:szCs w:val="20"/>
                <w:color w:val="auto"/>
              </w:rPr>
            </w:pPr>
            <w:r>
              <w:rPr>
                <w:rFonts w:ascii="Arial" w:cs="Arial" w:eastAsia="Arial" w:hAnsi="Arial"/>
                <w:sz w:val="14"/>
                <w:szCs w:val="14"/>
                <w:color w:val="455986"/>
              </w:rPr>
              <w:t>Date to</w:t>
            </w:r>
          </w:p>
        </w:tc>
        <w:tc>
          <w:tcPr>
            <w:tcW w:w="780" w:type="dxa"/>
            <w:vAlign w:val="bottom"/>
          </w:tcPr>
          <w:p>
            <w:pPr>
              <w:jc w:val="right"/>
              <w:spacing w:after="0" w:line="153" w:lineRule="exact"/>
              <w:rPr>
                <w:sz w:val="20"/>
                <w:szCs w:val="20"/>
                <w:color w:val="auto"/>
              </w:rPr>
            </w:pPr>
            <w:r>
              <w:rPr>
                <w:rFonts w:ascii="Arial" w:cs="Arial" w:eastAsia="Arial" w:hAnsi="Arial"/>
                <w:sz w:val="14"/>
                <w:szCs w:val="14"/>
                <w:color w:val="455986"/>
              </w:rPr>
              <w:t>Number</w:t>
            </w:r>
          </w:p>
        </w:tc>
      </w:tr>
      <w:tr>
        <w:trPr>
          <w:trHeight w:val="153"/>
        </w:trPr>
        <w:tc>
          <w:tcPr>
            <w:tcW w:w="3840" w:type="dxa"/>
            <w:vAlign w:val="bottom"/>
          </w:tcPr>
          <w:p>
            <w:pPr>
              <w:spacing w:after="0"/>
              <w:rPr>
                <w:sz w:val="13"/>
                <w:szCs w:val="13"/>
                <w:color w:val="auto"/>
              </w:rPr>
            </w:pPr>
          </w:p>
        </w:tc>
        <w:tc>
          <w:tcPr>
            <w:tcW w:w="1500" w:type="dxa"/>
            <w:vAlign w:val="bottom"/>
          </w:tcPr>
          <w:p>
            <w:pPr>
              <w:jc w:val="right"/>
              <w:ind w:right="212"/>
              <w:spacing w:after="0" w:line="153" w:lineRule="exact"/>
              <w:rPr>
                <w:sz w:val="20"/>
                <w:szCs w:val="20"/>
                <w:color w:val="auto"/>
              </w:rPr>
            </w:pPr>
            <w:r>
              <w:rPr>
                <w:rFonts w:ascii="Arial" w:cs="Arial" w:eastAsia="Arial" w:hAnsi="Arial"/>
                <w:sz w:val="14"/>
                <w:szCs w:val="14"/>
                <w:color w:val="455986"/>
              </w:rPr>
              <w:t>Performance</w:t>
            </w:r>
          </w:p>
        </w:tc>
        <w:tc>
          <w:tcPr>
            <w:tcW w:w="1220" w:type="dxa"/>
            <w:vAlign w:val="bottom"/>
          </w:tcPr>
          <w:p>
            <w:pPr>
              <w:jc w:val="right"/>
              <w:ind w:right="192"/>
              <w:spacing w:after="0" w:line="153" w:lineRule="exact"/>
              <w:rPr>
                <w:sz w:val="20"/>
                <w:szCs w:val="20"/>
                <w:color w:val="auto"/>
              </w:rPr>
            </w:pPr>
            <w:r>
              <w:rPr>
                <w:rFonts w:ascii="Arial" w:cs="Arial" w:eastAsia="Arial" w:hAnsi="Arial"/>
                <w:sz w:val="14"/>
                <w:szCs w:val="14"/>
                <w:color w:val="455986"/>
              </w:rPr>
              <w:t>Earned and</w:t>
            </w:r>
          </w:p>
        </w:tc>
        <w:tc>
          <w:tcPr>
            <w:tcW w:w="1000" w:type="dxa"/>
            <w:vAlign w:val="bottom"/>
            <w:gridSpan w:val="2"/>
          </w:tcPr>
          <w:p>
            <w:pPr>
              <w:jc w:val="right"/>
              <w:ind w:right="240"/>
              <w:spacing w:after="0" w:line="153" w:lineRule="exact"/>
              <w:rPr>
                <w:sz w:val="20"/>
                <w:szCs w:val="20"/>
                <w:color w:val="auto"/>
              </w:rPr>
            </w:pPr>
            <w:r>
              <w:rPr>
                <w:rFonts w:ascii="Arial" w:cs="Arial" w:eastAsia="Arial" w:hAnsi="Arial"/>
                <w:sz w:val="14"/>
                <w:szCs w:val="14"/>
                <w:color w:val="455986"/>
              </w:rPr>
              <w:t>Number</w:t>
            </w:r>
          </w:p>
        </w:tc>
        <w:tc>
          <w:tcPr>
            <w:tcW w:w="1700" w:type="dxa"/>
            <w:vAlign w:val="bottom"/>
          </w:tcPr>
          <w:p>
            <w:pPr>
              <w:jc w:val="right"/>
              <w:ind w:right="172"/>
              <w:spacing w:after="0" w:line="153" w:lineRule="exact"/>
              <w:rPr>
                <w:sz w:val="20"/>
                <w:szCs w:val="20"/>
                <w:color w:val="auto"/>
              </w:rPr>
            </w:pPr>
            <w:r>
              <w:rPr>
                <w:rFonts w:ascii="Arial" w:cs="Arial" w:eastAsia="Arial" w:hAnsi="Arial"/>
                <w:sz w:val="14"/>
                <w:szCs w:val="14"/>
                <w:color w:val="455986"/>
              </w:rPr>
              <w:t>Vesting</w:t>
            </w:r>
          </w:p>
        </w:tc>
        <w:tc>
          <w:tcPr>
            <w:tcW w:w="1200" w:type="dxa"/>
            <w:vAlign w:val="bottom"/>
          </w:tcPr>
          <w:p>
            <w:pPr>
              <w:jc w:val="right"/>
              <w:ind w:right="152"/>
              <w:spacing w:after="0" w:line="153" w:lineRule="exact"/>
              <w:rPr>
                <w:sz w:val="20"/>
                <w:szCs w:val="20"/>
                <w:color w:val="auto"/>
              </w:rPr>
            </w:pPr>
            <w:r>
              <w:rPr>
                <w:rFonts w:ascii="Arial" w:cs="Arial" w:eastAsia="Arial" w:hAnsi="Arial"/>
                <w:sz w:val="14"/>
                <w:szCs w:val="14"/>
                <w:color w:val="455986"/>
              </w:rPr>
              <w:t>be Earned</w:t>
            </w:r>
          </w:p>
        </w:tc>
        <w:tc>
          <w:tcPr>
            <w:tcW w:w="780" w:type="dxa"/>
            <w:vAlign w:val="bottom"/>
          </w:tcPr>
          <w:p>
            <w:pPr>
              <w:jc w:val="right"/>
              <w:spacing w:after="0" w:line="153" w:lineRule="exact"/>
              <w:rPr>
                <w:sz w:val="20"/>
                <w:szCs w:val="20"/>
                <w:color w:val="auto"/>
              </w:rPr>
            </w:pPr>
            <w:r>
              <w:rPr>
                <w:rFonts w:ascii="Arial" w:cs="Arial" w:eastAsia="Arial" w:hAnsi="Arial"/>
                <w:sz w:val="14"/>
                <w:szCs w:val="14"/>
                <w:color w:val="455986"/>
              </w:rPr>
              <w:t>of Units</w:t>
            </w:r>
          </w:p>
        </w:tc>
      </w:tr>
      <w:tr>
        <w:trPr>
          <w:trHeight w:val="150"/>
        </w:trPr>
        <w:tc>
          <w:tcPr>
            <w:tcW w:w="3840" w:type="dxa"/>
            <w:vAlign w:val="bottom"/>
          </w:tcPr>
          <w:p>
            <w:pPr>
              <w:spacing w:after="0"/>
              <w:rPr>
                <w:sz w:val="13"/>
                <w:szCs w:val="13"/>
                <w:color w:val="auto"/>
              </w:rPr>
            </w:pPr>
          </w:p>
        </w:tc>
        <w:tc>
          <w:tcPr>
            <w:tcW w:w="1500" w:type="dxa"/>
            <w:vAlign w:val="bottom"/>
          </w:tcPr>
          <w:p>
            <w:pPr>
              <w:jc w:val="right"/>
              <w:ind w:right="212"/>
              <w:spacing w:after="0" w:line="150" w:lineRule="exact"/>
              <w:rPr>
                <w:sz w:val="20"/>
                <w:szCs w:val="20"/>
                <w:color w:val="auto"/>
              </w:rPr>
            </w:pPr>
            <w:r>
              <w:rPr>
                <w:rFonts w:ascii="Arial" w:cs="Arial" w:eastAsia="Arial" w:hAnsi="Arial"/>
                <w:sz w:val="14"/>
                <w:szCs w:val="14"/>
                <w:color w:val="455986"/>
              </w:rPr>
              <w:t>Period</w:t>
            </w:r>
          </w:p>
        </w:tc>
        <w:tc>
          <w:tcPr>
            <w:tcW w:w="1220" w:type="dxa"/>
            <w:vAlign w:val="bottom"/>
          </w:tcPr>
          <w:p>
            <w:pPr>
              <w:jc w:val="right"/>
              <w:ind w:right="192"/>
              <w:spacing w:after="0" w:line="150" w:lineRule="exact"/>
              <w:rPr>
                <w:sz w:val="20"/>
                <w:szCs w:val="20"/>
                <w:color w:val="auto"/>
              </w:rPr>
            </w:pPr>
            <w:r>
              <w:rPr>
                <w:rFonts w:ascii="Arial" w:cs="Arial" w:eastAsia="Arial" w:hAnsi="Arial"/>
                <w:sz w:val="14"/>
                <w:szCs w:val="14"/>
                <w:color w:val="455986"/>
              </w:rPr>
              <w:t>Paid if</w:t>
            </w:r>
          </w:p>
        </w:tc>
        <w:tc>
          <w:tcPr>
            <w:tcW w:w="1000" w:type="dxa"/>
            <w:vAlign w:val="bottom"/>
            <w:gridSpan w:val="2"/>
          </w:tcPr>
          <w:p>
            <w:pPr>
              <w:jc w:val="right"/>
              <w:ind w:right="240"/>
              <w:spacing w:after="0" w:line="150" w:lineRule="exact"/>
              <w:rPr>
                <w:sz w:val="20"/>
                <w:szCs w:val="20"/>
                <w:color w:val="auto"/>
              </w:rPr>
            </w:pPr>
            <w:r>
              <w:rPr>
                <w:rFonts w:ascii="Arial" w:cs="Arial" w:eastAsia="Arial" w:hAnsi="Arial"/>
                <w:sz w:val="14"/>
                <w:szCs w:val="14"/>
                <w:color w:val="455986"/>
              </w:rPr>
              <w:t>of Units</w:t>
            </w:r>
          </w:p>
        </w:tc>
        <w:tc>
          <w:tcPr>
            <w:tcW w:w="1700" w:type="dxa"/>
            <w:vAlign w:val="bottom"/>
          </w:tcPr>
          <w:p>
            <w:pPr>
              <w:jc w:val="right"/>
              <w:ind w:right="172"/>
              <w:spacing w:after="0" w:line="150" w:lineRule="exact"/>
              <w:rPr>
                <w:sz w:val="20"/>
                <w:szCs w:val="20"/>
                <w:color w:val="auto"/>
              </w:rPr>
            </w:pPr>
            <w:r>
              <w:rPr>
                <w:rFonts w:ascii="Arial" w:cs="Arial" w:eastAsia="Arial" w:hAnsi="Arial"/>
                <w:sz w:val="14"/>
                <w:szCs w:val="14"/>
                <w:color w:val="455986"/>
              </w:rPr>
              <w:t>Period</w:t>
            </w:r>
          </w:p>
        </w:tc>
        <w:tc>
          <w:tcPr>
            <w:tcW w:w="1200" w:type="dxa"/>
            <w:vAlign w:val="bottom"/>
          </w:tcPr>
          <w:p>
            <w:pPr>
              <w:jc w:val="right"/>
              <w:ind w:right="152"/>
              <w:spacing w:after="0" w:line="150" w:lineRule="exact"/>
              <w:rPr>
                <w:sz w:val="20"/>
                <w:szCs w:val="20"/>
                <w:color w:val="auto"/>
              </w:rPr>
            </w:pPr>
            <w:r>
              <w:rPr>
                <w:rFonts w:ascii="Arial" w:cs="Arial" w:eastAsia="Arial" w:hAnsi="Arial"/>
                <w:sz w:val="14"/>
                <w:szCs w:val="14"/>
                <w:color w:val="455986"/>
              </w:rPr>
              <w:t>And Paid</w:t>
            </w:r>
          </w:p>
        </w:tc>
        <w:tc>
          <w:tcPr>
            <w:tcW w:w="780" w:type="dxa"/>
            <w:vAlign w:val="bottom"/>
          </w:tcPr>
          <w:p>
            <w:pPr>
              <w:jc w:val="right"/>
              <w:spacing w:after="0" w:line="150" w:lineRule="exact"/>
              <w:rPr>
                <w:sz w:val="20"/>
                <w:szCs w:val="20"/>
                <w:color w:val="auto"/>
              </w:rPr>
            </w:pPr>
            <w:r>
              <w:rPr>
                <w:rFonts w:ascii="Arial" w:cs="Arial" w:eastAsia="Arial" w:hAnsi="Arial"/>
                <w:sz w:val="14"/>
                <w:szCs w:val="14"/>
                <w:color w:val="455986"/>
              </w:rPr>
              <w:t>Issued at</w:t>
            </w:r>
          </w:p>
        </w:tc>
      </w:tr>
      <w:tr>
        <w:trPr>
          <w:trHeight w:val="193"/>
        </w:trPr>
        <w:tc>
          <w:tcPr>
            <w:tcW w:w="3840" w:type="dxa"/>
            <w:vAlign w:val="bottom"/>
            <w:tcBorders>
              <w:bottom w:val="single" w:sz="8" w:color="4395D4"/>
            </w:tcBorders>
          </w:tcPr>
          <w:p>
            <w:pPr>
              <w:spacing w:after="0"/>
              <w:rPr>
                <w:sz w:val="20"/>
                <w:szCs w:val="20"/>
                <w:color w:val="auto"/>
              </w:rPr>
            </w:pPr>
            <w:r>
              <w:rPr>
                <w:rFonts w:ascii="Arial" w:cs="Arial" w:eastAsia="Arial" w:hAnsi="Arial"/>
                <w:sz w:val="14"/>
                <w:szCs w:val="14"/>
                <w:color w:val="455986"/>
              </w:rPr>
              <w:t>Named Executive Officer</w:t>
            </w:r>
          </w:p>
        </w:tc>
        <w:tc>
          <w:tcPr>
            <w:tcW w:w="1500" w:type="dxa"/>
            <w:vAlign w:val="bottom"/>
            <w:tcBorders>
              <w:bottom w:val="single" w:sz="8" w:color="4395D4"/>
            </w:tcBorders>
          </w:tcPr>
          <w:p>
            <w:pPr>
              <w:jc w:val="right"/>
              <w:ind w:right="212"/>
              <w:spacing w:after="0"/>
              <w:rPr>
                <w:sz w:val="20"/>
                <w:szCs w:val="20"/>
                <w:color w:val="auto"/>
              </w:rPr>
            </w:pPr>
            <w:r>
              <w:rPr>
                <w:rFonts w:ascii="Arial" w:cs="Arial" w:eastAsia="Arial" w:hAnsi="Arial"/>
                <w:sz w:val="14"/>
                <w:szCs w:val="14"/>
                <w:color w:val="455986"/>
              </w:rPr>
              <w:t>Ends</w:t>
            </w:r>
          </w:p>
        </w:tc>
        <w:tc>
          <w:tcPr>
            <w:tcW w:w="1220" w:type="dxa"/>
            <w:vAlign w:val="bottom"/>
            <w:tcBorders>
              <w:bottom w:val="single" w:sz="8" w:color="4395D4"/>
            </w:tcBorders>
          </w:tcPr>
          <w:p>
            <w:pPr>
              <w:jc w:val="right"/>
              <w:ind w:right="192"/>
              <w:spacing w:after="0"/>
              <w:rPr>
                <w:sz w:val="20"/>
                <w:szCs w:val="20"/>
                <w:color w:val="auto"/>
              </w:rPr>
            </w:pPr>
            <w:r>
              <w:rPr>
                <w:rFonts w:ascii="Arial" w:cs="Arial" w:eastAsia="Arial" w:hAnsi="Arial"/>
                <w:sz w:val="14"/>
                <w:szCs w:val="14"/>
                <w:color w:val="455986"/>
              </w:rPr>
              <w:t>Applicable</w:t>
            </w:r>
          </w:p>
        </w:tc>
        <w:tc>
          <w:tcPr>
            <w:tcW w:w="1000" w:type="dxa"/>
            <w:vAlign w:val="bottom"/>
            <w:tcBorders>
              <w:bottom w:val="single" w:sz="8" w:color="4395D4"/>
            </w:tcBorders>
            <w:gridSpan w:val="2"/>
          </w:tcPr>
          <w:p>
            <w:pPr>
              <w:jc w:val="right"/>
              <w:ind w:right="240"/>
              <w:spacing w:after="0" w:line="193" w:lineRule="exact"/>
              <w:rPr>
                <w:sz w:val="20"/>
                <w:szCs w:val="20"/>
                <w:color w:val="auto"/>
              </w:rPr>
            </w:pPr>
            <w:r>
              <w:rPr>
                <w:rFonts w:ascii="Arial" w:cs="Arial" w:eastAsia="Arial" w:hAnsi="Arial"/>
                <w:sz w:val="14"/>
                <w:szCs w:val="14"/>
                <w:color w:val="455986"/>
              </w:rPr>
              <w:t>Issued</w:t>
            </w:r>
            <w:r>
              <w:rPr>
                <w:rFonts w:ascii="Arial" w:cs="Arial" w:eastAsia="Arial" w:hAnsi="Arial"/>
                <w:sz w:val="22"/>
                <w:szCs w:val="22"/>
                <w:color w:val="455986"/>
                <w:vertAlign w:val="superscript"/>
              </w:rPr>
              <w:t>(4)</w:t>
            </w:r>
          </w:p>
        </w:tc>
        <w:tc>
          <w:tcPr>
            <w:tcW w:w="1700" w:type="dxa"/>
            <w:vAlign w:val="bottom"/>
            <w:tcBorders>
              <w:bottom w:val="single" w:sz="8" w:color="4395D4"/>
            </w:tcBorders>
          </w:tcPr>
          <w:p>
            <w:pPr>
              <w:jc w:val="right"/>
              <w:ind w:right="172"/>
              <w:spacing w:after="0"/>
              <w:rPr>
                <w:sz w:val="20"/>
                <w:szCs w:val="20"/>
                <w:color w:val="auto"/>
              </w:rPr>
            </w:pPr>
            <w:r>
              <w:rPr>
                <w:rFonts w:ascii="Arial" w:cs="Arial" w:eastAsia="Arial" w:hAnsi="Arial"/>
                <w:sz w:val="14"/>
                <w:szCs w:val="14"/>
                <w:color w:val="455986"/>
              </w:rPr>
              <w:t>Ends</w:t>
            </w:r>
          </w:p>
        </w:tc>
        <w:tc>
          <w:tcPr>
            <w:tcW w:w="1200" w:type="dxa"/>
            <w:vAlign w:val="bottom"/>
            <w:tcBorders>
              <w:bottom w:val="single" w:sz="8" w:color="4395D4"/>
            </w:tcBorders>
          </w:tcPr>
          <w:p>
            <w:pPr>
              <w:jc w:val="right"/>
              <w:ind w:right="152"/>
              <w:spacing w:after="0"/>
              <w:rPr>
                <w:sz w:val="20"/>
                <w:szCs w:val="20"/>
                <w:color w:val="auto"/>
              </w:rPr>
            </w:pPr>
            <w:r>
              <w:rPr>
                <w:rFonts w:ascii="Arial" w:cs="Arial" w:eastAsia="Arial" w:hAnsi="Arial"/>
                <w:sz w:val="14"/>
                <w:szCs w:val="14"/>
                <w:color w:val="455986"/>
              </w:rPr>
              <w:t>if Applicable</w:t>
            </w:r>
          </w:p>
        </w:tc>
        <w:tc>
          <w:tcPr>
            <w:tcW w:w="780" w:type="dxa"/>
            <w:vAlign w:val="bottom"/>
            <w:tcBorders>
              <w:bottom w:val="single" w:sz="8" w:color="4395D4"/>
            </w:tcBorders>
          </w:tcPr>
          <w:p>
            <w:pPr>
              <w:jc w:val="right"/>
              <w:spacing w:after="0" w:line="193" w:lineRule="exact"/>
              <w:rPr>
                <w:sz w:val="20"/>
                <w:szCs w:val="20"/>
                <w:color w:val="auto"/>
              </w:rPr>
            </w:pPr>
            <w:r>
              <w:rPr>
                <w:rFonts w:ascii="Arial" w:cs="Arial" w:eastAsia="Arial" w:hAnsi="Arial"/>
                <w:sz w:val="14"/>
                <w:szCs w:val="14"/>
                <w:color w:val="455986"/>
              </w:rPr>
              <w:t>Target</w:t>
            </w:r>
            <w:r>
              <w:rPr>
                <w:rFonts w:ascii="Arial" w:cs="Arial" w:eastAsia="Arial" w:hAnsi="Arial"/>
                <w:sz w:val="22"/>
                <w:szCs w:val="22"/>
                <w:color w:val="455986"/>
                <w:vertAlign w:val="superscript"/>
              </w:rPr>
              <w:t>(2)</w:t>
            </w:r>
          </w:p>
        </w:tc>
      </w:tr>
      <w:tr>
        <w:trPr>
          <w:trHeight w:val="221"/>
        </w:trPr>
        <w:tc>
          <w:tcPr>
            <w:tcW w:w="3840" w:type="dxa"/>
            <w:vAlign w:val="bottom"/>
          </w:tcPr>
          <w:p>
            <w:pPr>
              <w:spacing w:after="0"/>
              <w:rPr>
                <w:sz w:val="20"/>
                <w:szCs w:val="20"/>
                <w:color w:val="auto"/>
              </w:rPr>
            </w:pPr>
            <w:r>
              <w:rPr>
                <w:rFonts w:ascii="Arial" w:cs="Arial" w:eastAsia="Arial" w:hAnsi="Arial"/>
                <w:sz w:val="14"/>
                <w:szCs w:val="14"/>
                <w:b w:val="1"/>
                <w:bCs w:val="1"/>
                <w:color w:val="455986"/>
              </w:rPr>
              <w:t>Franklin</w:t>
            </w:r>
          </w:p>
        </w:tc>
        <w:tc>
          <w:tcPr>
            <w:tcW w:w="1500" w:type="dxa"/>
            <w:vAlign w:val="bottom"/>
          </w:tcPr>
          <w:p>
            <w:pPr>
              <w:jc w:val="right"/>
              <w:ind w:right="212"/>
              <w:spacing w:after="0"/>
              <w:rPr>
                <w:sz w:val="20"/>
                <w:szCs w:val="20"/>
                <w:color w:val="auto"/>
              </w:rPr>
            </w:pPr>
            <w:r>
              <w:rPr>
                <w:rFonts w:ascii="Arial" w:cs="Arial" w:eastAsia="Arial" w:hAnsi="Arial"/>
                <w:sz w:val="14"/>
                <w:szCs w:val="14"/>
                <w:color w:val="231F20"/>
              </w:rPr>
              <w:t>12/31/2020</w:t>
            </w:r>
          </w:p>
        </w:tc>
        <w:tc>
          <w:tcPr>
            <w:tcW w:w="1220" w:type="dxa"/>
            <w:vAlign w:val="bottom"/>
          </w:tcPr>
          <w:p>
            <w:pPr>
              <w:jc w:val="right"/>
              <w:ind w:right="192"/>
              <w:spacing w:after="0"/>
              <w:rPr>
                <w:sz w:val="20"/>
                <w:szCs w:val="20"/>
                <w:color w:val="auto"/>
              </w:rPr>
            </w:pPr>
            <w:r>
              <w:rPr>
                <w:rFonts w:ascii="Arial" w:cs="Arial" w:eastAsia="Arial" w:hAnsi="Arial"/>
                <w:sz w:val="14"/>
                <w:szCs w:val="14"/>
                <w:color w:val="231F20"/>
              </w:rPr>
              <w:t>2/27/2021</w:t>
            </w:r>
          </w:p>
        </w:tc>
        <w:tc>
          <w:tcPr>
            <w:tcW w:w="1000" w:type="dxa"/>
            <w:vAlign w:val="bottom"/>
            <w:gridSpan w:val="2"/>
          </w:tcPr>
          <w:p>
            <w:pPr>
              <w:jc w:val="right"/>
              <w:ind w:right="240"/>
              <w:spacing w:after="0"/>
              <w:rPr>
                <w:sz w:val="20"/>
                <w:szCs w:val="20"/>
                <w:color w:val="auto"/>
              </w:rPr>
            </w:pPr>
            <w:r>
              <w:rPr>
                <w:rFonts w:ascii="Arial" w:cs="Arial" w:eastAsia="Arial" w:hAnsi="Arial"/>
                <w:sz w:val="14"/>
                <w:szCs w:val="14"/>
                <w:color w:val="231F20"/>
              </w:rPr>
              <w:t>33,302</w:t>
            </w:r>
          </w:p>
        </w:tc>
        <w:tc>
          <w:tcPr>
            <w:tcW w:w="1700" w:type="dxa"/>
            <w:vAlign w:val="bottom"/>
          </w:tcPr>
          <w:p>
            <w:pPr>
              <w:jc w:val="right"/>
              <w:ind w:right="172"/>
              <w:spacing w:after="0"/>
              <w:rPr>
                <w:sz w:val="20"/>
                <w:szCs w:val="20"/>
                <w:color w:val="auto"/>
              </w:rPr>
            </w:pPr>
            <w:r>
              <w:rPr>
                <w:rFonts w:ascii="Arial" w:cs="Arial" w:eastAsia="Arial" w:hAnsi="Arial"/>
                <w:sz w:val="14"/>
                <w:szCs w:val="14"/>
                <w:color w:val="231F20"/>
              </w:rPr>
              <w:t>2/27/2021</w:t>
            </w:r>
          </w:p>
        </w:tc>
        <w:tc>
          <w:tcPr>
            <w:tcW w:w="1200" w:type="dxa"/>
            <w:vAlign w:val="bottom"/>
          </w:tcPr>
          <w:p>
            <w:pPr>
              <w:jc w:val="right"/>
              <w:ind w:right="152"/>
              <w:spacing w:after="0"/>
              <w:rPr>
                <w:sz w:val="20"/>
                <w:szCs w:val="20"/>
                <w:color w:val="auto"/>
              </w:rPr>
            </w:pPr>
            <w:r>
              <w:rPr>
                <w:rFonts w:ascii="Arial" w:cs="Arial" w:eastAsia="Arial" w:hAnsi="Arial"/>
                <w:sz w:val="14"/>
                <w:szCs w:val="14"/>
                <w:color w:val="231F20"/>
              </w:rPr>
              <w:t>2/27/2021</w:t>
            </w:r>
          </w:p>
        </w:tc>
        <w:tc>
          <w:tcPr>
            <w:tcW w:w="780" w:type="dxa"/>
            <w:vAlign w:val="bottom"/>
          </w:tcPr>
          <w:p>
            <w:pPr>
              <w:jc w:val="right"/>
              <w:spacing w:after="0"/>
              <w:rPr>
                <w:sz w:val="20"/>
                <w:szCs w:val="20"/>
                <w:color w:val="auto"/>
              </w:rPr>
            </w:pPr>
            <w:r>
              <w:rPr>
                <w:rFonts w:ascii="Arial" w:cs="Arial" w:eastAsia="Arial" w:hAnsi="Arial"/>
                <w:sz w:val="14"/>
                <w:szCs w:val="14"/>
                <w:color w:val="231F20"/>
              </w:rPr>
              <w:t>12,668</w:t>
            </w:r>
          </w:p>
        </w:tc>
      </w:tr>
      <w:tr>
        <w:trPr>
          <w:trHeight w:val="27"/>
        </w:trPr>
        <w:tc>
          <w:tcPr>
            <w:tcW w:w="3840" w:type="dxa"/>
            <w:vAlign w:val="bottom"/>
          </w:tcPr>
          <w:p>
            <w:pPr>
              <w:spacing w:after="0"/>
              <w:rPr>
                <w:sz w:val="2"/>
                <w:szCs w:val="2"/>
                <w:color w:val="auto"/>
              </w:rPr>
            </w:pPr>
          </w:p>
        </w:tc>
        <w:tc>
          <w:tcPr>
            <w:tcW w:w="1500" w:type="dxa"/>
            <w:vAlign w:val="bottom"/>
            <w:tcBorders>
              <w:bottom w:val="single" w:sz="8" w:color="231F20"/>
            </w:tcBorders>
          </w:tcPr>
          <w:p>
            <w:pPr>
              <w:spacing w:after="0"/>
              <w:rPr>
                <w:sz w:val="2"/>
                <w:szCs w:val="2"/>
                <w:color w:val="auto"/>
              </w:rPr>
            </w:pPr>
          </w:p>
        </w:tc>
        <w:tc>
          <w:tcPr>
            <w:tcW w:w="1220" w:type="dxa"/>
            <w:vAlign w:val="bottom"/>
            <w:tcBorders>
              <w:bottom w:val="single" w:sz="8" w:color="231F20"/>
            </w:tcBorders>
          </w:tcPr>
          <w:p>
            <w:pPr>
              <w:spacing w:after="0"/>
              <w:rPr>
                <w:sz w:val="2"/>
                <w:szCs w:val="2"/>
                <w:color w:val="auto"/>
              </w:rPr>
            </w:pPr>
          </w:p>
        </w:tc>
        <w:tc>
          <w:tcPr>
            <w:tcW w:w="760" w:type="dxa"/>
            <w:vAlign w:val="bottom"/>
            <w:tcBorders>
              <w:bottom w:val="single" w:sz="8" w:color="231F20"/>
            </w:tcBorders>
          </w:tcPr>
          <w:p>
            <w:pPr>
              <w:spacing w:after="0"/>
              <w:rPr>
                <w:sz w:val="2"/>
                <w:szCs w:val="2"/>
                <w:color w:val="auto"/>
              </w:rPr>
            </w:pPr>
          </w:p>
        </w:tc>
        <w:tc>
          <w:tcPr>
            <w:tcW w:w="240" w:type="dxa"/>
            <w:vAlign w:val="bottom"/>
            <w:tcBorders>
              <w:bottom w:val="single" w:sz="8" w:color="231F20"/>
            </w:tcBorders>
          </w:tcPr>
          <w:p>
            <w:pPr>
              <w:spacing w:after="0"/>
              <w:rPr>
                <w:sz w:val="2"/>
                <w:szCs w:val="2"/>
                <w:color w:val="auto"/>
              </w:rPr>
            </w:pPr>
          </w:p>
        </w:tc>
        <w:tc>
          <w:tcPr>
            <w:tcW w:w="1700" w:type="dxa"/>
            <w:vAlign w:val="bottom"/>
            <w:tcBorders>
              <w:bottom w:val="single" w:sz="8" w:color="231F20"/>
            </w:tcBorders>
          </w:tcPr>
          <w:p>
            <w:pPr>
              <w:spacing w:after="0"/>
              <w:rPr>
                <w:sz w:val="2"/>
                <w:szCs w:val="2"/>
                <w:color w:val="auto"/>
              </w:rPr>
            </w:pPr>
          </w:p>
        </w:tc>
        <w:tc>
          <w:tcPr>
            <w:tcW w:w="1200" w:type="dxa"/>
            <w:vAlign w:val="bottom"/>
            <w:tcBorders>
              <w:bottom w:val="single" w:sz="8" w:color="231F20"/>
            </w:tcBorders>
          </w:tcPr>
          <w:p>
            <w:pPr>
              <w:spacing w:after="0"/>
              <w:rPr>
                <w:sz w:val="2"/>
                <w:szCs w:val="2"/>
                <w:color w:val="auto"/>
              </w:rPr>
            </w:pPr>
          </w:p>
        </w:tc>
        <w:tc>
          <w:tcPr>
            <w:tcW w:w="780" w:type="dxa"/>
            <w:vAlign w:val="bottom"/>
            <w:tcBorders>
              <w:bottom w:val="single" w:sz="8" w:color="231F20"/>
            </w:tcBorders>
          </w:tcPr>
          <w:p>
            <w:pPr>
              <w:spacing w:after="0"/>
              <w:rPr>
                <w:sz w:val="2"/>
                <w:szCs w:val="2"/>
                <w:color w:val="auto"/>
              </w:rPr>
            </w:pPr>
          </w:p>
        </w:tc>
      </w:tr>
      <w:tr>
        <w:trPr>
          <w:trHeight w:val="215"/>
        </w:trPr>
        <w:tc>
          <w:tcPr>
            <w:tcW w:w="3840" w:type="dxa"/>
            <w:vAlign w:val="bottom"/>
          </w:tcPr>
          <w:p>
            <w:pPr>
              <w:spacing w:after="0"/>
              <w:rPr>
                <w:sz w:val="18"/>
                <w:szCs w:val="18"/>
                <w:color w:val="auto"/>
              </w:rPr>
            </w:pPr>
          </w:p>
        </w:tc>
        <w:tc>
          <w:tcPr>
            <w:tcW w:w="1500" w:type="dxa"/>
            <w:vAlign w:val="bottom"/>
          </w:tcPr>
          <w:p>
            <w:pPr>
              <w:jc w:val="right"/>
              <w:ind w:right="212"/>
              <w:spacing w:after="0"/>
              <w:rPr>
                <w:sz w:val="20"/>
                <w:szCs w:val="20"/>
                <w:color w:val="auto"/>
              </w:rPr>
            </w:pPr>
            <w:r>
              <w:rPr>
                <w:rFonts w:ascii="Arial" w:cs="Arial" w:eastAsia="Arial" w:hAnsi="Arial"/>
                <w:sz w:val="14"/>
                <w:szCs w:val="14"/>
                <w:color w:val="231F20"/>
              </w:rPr>
              <w:t>—</w:t>
            </w:r>
          </w:p>
        </w:tc>
        <w:tc>
          <w:tcPr>
            <w:tcW w:w="1220" w:type="dxa"/>
            <w:vAlign w:val="bottom"/>
          </w:tcPr>
          <w:p>
            <w:pPr>
              <w:jc w:val="right"/>
              <w:ind w:right="192"/>
              <w:spacing w:after="0"/>
              <w:rPr>
                <w:sz w:val="20"/>
                <w:szCs w:val="20"/>
                <w:color w:val="auto"/>
              </w:rPr>
            </w:pPr>
            <w:r>
              <w:rPr>
                <w:rFonts w:ascii="Arial" w:cs="Arial" w:eastAsia="Arial" w:hAnsi="Arial"/>
                <w:sz w:val="14"/>
                <w:szCs w:val="14"/>
                <w:color w:val="231F20"/>
              </w:rPr>
              <w:t>—</w:t>
            </w:r>
          </w:p>
        </w:tc>
        <w:tc>
          <w:tcPr>
            <w:tcW w:w="1000" w:type="dxa"/>
            <w:vAlign w:val="bottom"/>
            <w:gridSpan w:val="2"/>
          </w:tcPr>
          <w:p>
            <w:pPr>
              <w:jc w:val="right"/>
              <w:ind w:right="240"/>
              <w:spacing w:after="0"/>
              <w:rPr>
                <w:sz w:val="20"/>
                <w:szCs w:val="20"/>
                <w:color w:val="auto"/>
              </w:rPr>
            </w:pPr>
            <w:r>
              <w:rPr>
                <w:rFonts w:ascii="Arial" w:cs="Arial" w:eastAsia="Arial" w:hAnsi="Arial"/>
                <w:sz w:val="14"/>
                <w:szCs w:val="14"/>
                <w:color w:val="231F20"/>
              </w:rPr>
              <w:t>—</w:t>
            </w:r>
          </w:p>
        </w:tc>
        <w:tc>
          <w:tcPr>
            <w:tcW w:w="1700" w:type="dxa"/>
            <w:vAlign w:val="bottom"/>
          </w:tcPr>
          <w:p>
            <w:pPr>
              <w:jc w:val="right"/>
              <w:ind w:right="172"/>
              <w:spacing w:after="0"/>
              <w:rPr>
                <w:sz w:val="20"/>
                <w:szCs w:val="20"/>
                <w:color w:val="auto"/>
              </w:rPr>
            </w:pPr>
            <w:r>
              <w:rPr>
                <w:rFonts w:ascii="Arial" w:cs="Arial" w:eastAsia="Arial" w:hAnsi="Arial"/>
                <w:sz w:val="14"/>
                <w:szCs w:val="14"/>
                <w:color w:val="231F20"/>
              </w:rPr>
              <w:t>2/28/2022</w:t>
            </w:r>
          </w:p>
        </w:tc>
        <w:tc>
          <w:tcPr>
            <w:tcW w:w="1200" w:type="dxa"/>
            <w:vAlign w:val="bottom"/>
          </w:tcPr>
          <w:p>
            <w:pPr>
              <w:jc w:val="right"/>
              <w:ind w:right="152"/>
              <w:spacing w:after="0"/>
              <w:rPr>
                <w:sz w:val="20"/>
                <w:szCs w:val="20"/>
                <w:color w:val="auto"/>
              </w:rPr>
            </w:pPr>
            <w:r>
              <w:rPr>
                <w:rFonts w:ascii="Arial" w:cs="Arial" w:eastAsia="Arial" w:hAnsi="Arial"/>
                <w:sz w:val="14"/>
                <w:szCs w:val="14"/>
                <w:color w:val="231F20"/>
              </w:rPr>
              <w:t>2/28/2022</w:t>
            </w:r>
          </w:p>
        </w:tc>
        <w:tc>
          <w:tcPr>
            <w:tcW w:w="780" w:type="dxa"/>
            <w:vAlign w:val="bottom"/>
          </w:tcPr>
          <w:p>
            <w:pPr>
              <w:jc w:val="right"/>
              <w:spacing w:after="0"/>
              <w:rPr>
                <w:sz w:val="20"/>
                <w:szCs w:val="20"/>
                <w:color w:val="auto"/>
              </w:rPr>
            </w:pPr>
            <w:r>
              <w:rPr>
                <w:rFonts w:ascii="Arial" w:cs="Arial" w:eastAsia="Arial" w:hAnsi="Arial"/>
                <w:sz w:val="14"/>
                <w:szCs w:val="14"/>
                <w:color w:val="231F20"/>
              </w:rPr>
              <w:t>12,383</w:t>
            </w:r>
          </w:p>
        </w:tc>
      </w:tr>
      <w:tr>
        <w:trPr>
          <w:trHeight w:val="33"/>
        </w:trPr>
        <w:tc>
          <w:tcPr>
            <w:tcW w:w="3840" w:type="dxa"/>
            <w:vAlign w:val="bottom"/>
          </w:tcPr>
          <w:p>
            <w:pPr>
              <w:spacing w:after="0"/>
              <w:rPr>
                <w:sz w:val="2"/>
                <w:szCs w:val="2"/>
                <w:color w:val="auto"/>
              </w:rPr>
            </w:pPr>
          </w:p>
        </w:tc>
        <w:tc>
          <w:tcPr>
            <w:tcW w:w="1500" w:type="dxa"/>
            <w:vAlign w:val="bottom"/>
            <w:tcBorders>
              <w:bottom w:val="single" w:sz="8" w:color="231F20"/>
            </w:tcBorders>
          </w:tcPr>
          <w:p>
            <w:pPr>
              <w:spacing w:after="0"/>
              <w:rPr>
                <w:sz w:val="2"/>
                <w:szCs w:val="2"/>
                <w:color w:val="auto"/>
              </w:rPr>
            </w:pPr>
          </w:p>
        </w:tc>
        <w:tc>
          <w:tcPr>
            <w:tcW w:w="1220" w:type="dxa"/>
            <w:vAlign w:val="bottom"/>
            <w:tcBorders>
              <w:bottom w:val="single" w:sz="8" w:color="231F20"/>
            </w:tcBorders>
          </w:tcPr>
          <w:p>
            <w:pPr>
              <w:spacing w:after="0"/>
              <w:rPr>
                <w:sz w:val="2"/>
                <w:szCs w:val="2"/>
                <w:color w:val="auto"/>
              </w:rPr>
            </w:pPr>
          </w:p>
        </w:tc>
        <w:tc>
          <w:tcPr>
            <w:tcW w:w="760" w:type="dxa"/>
            <w:vAlign w:val="bottom"/>
            <w:tcBorders>
              <w:bottom w:val="single" w:sz="8" w:color="231F20"/>
            </w:tcBorders>
          </w:tcPr>
          <w:p>
            <w:pPr>
              <w:spacing w:after="0"/>
              <w:rPr>
                <w:sz w:val="2"/>
                <w:szCs w:val="2"/>
                <w:color w:val="auto"/>
              </w:rPr>
            </w:pPr>
          </w:p>
        </w:tc>
        <w:tc>
          <w:tcPr>
            <w:tcW w:w="240" w:type="dxa"/>
            <w:vAlign w:val="bottom"/>
            <w:tcBorders>
              <w:bottom w:val="single" w:sz="8" w:color="231F20"/>
            </w:tcBorders>
          </w:tcPr>
          <w:p>
            <w:pPr>
              <w:spacing w:after="0"/>
              <w:rPr>
                <w:sz w:val="2"/>
                <w:szCs w:val="2"/>
                <w:color w:val="auto"/>
              </w:rPr>
            </w:pPr>
          </w:p>
        </w:tc>
        <w:tc>
          <w:tcPr>
            <w:tcW w:w="1700" w:type="dxa"/>
            <w:vAlign w:val="bottom"/>
            <w:tcBorders>
              <w:bottom w:val="single" w:sz="8" w:color="231F20"/>
            </w:tcBorders>
          </w:tcPr>
          <w:p>
            <w:pPr>
              <w:spacing w:after="0"/>
              <w:rPr>
                <w:sz w:val="2"/>
                <w:szCs w:val="2"/>
                <w:color w:val="auto"/>
              </w:rPr>
            </w:pPr>
          </w:p>
        </w:tc>
        <w:tc>
          <w:tcPr>
            <w:tcW w:w="1200" w:type="dxa"/>
            <w:vAlign w:val="bottom"/>
            <w:tcBorders>
              <w:bottom w:val="single" w:sz="8" w:color="231F20"/>
            </w:tcBorders>
          </w:tcPr>
          <w:p>
            <w:pPr>
              <w:spacing w:after="0"/>
              <w:rPr>
                <w:sz w:val="2"/>
                <w:szCs w:val="2"/>
                <w:color w:val="auto"/>
              </w:rPr>
            </w:pPr>
          </w:p>
        </w:tc>
        <w:tc>
          <w:tcPr>
            <w:tcW w:w="780" w:type="dxa"/>
            <w:vAlign w:val="bottom"/>
            <w:tcBorders>
              <w:bottom w:val="single" w:sz="8" w:color="231F20"/>
            </w:tcBorders>
          </w:tcPr>
          <w:p>
            <w:pPr>
              <w:spacing w:after="0"/>
              <w:rPr>
                <w:sz w:val="2"/>
                <w:szCs w:val="2"/>
                <w:color w:val="auto"/>
              </w:rPr>
            </w:pPr>
          </w:p>
        </w:tc>
      </w:tr>
      <w:tr>
        <w:trPr>
          <w:trHeight w:val="215"/>
        </w:trPr>
        <w:tc>
          <w:tcPr>
            <w:tcW w:w="3840" w:type="dxa"/>
            <w:vAlign w:val="bottom"/>
          </w:tcPr>
          <w:p>
            <w:pPr>
              <w:spacing w:after="0"/>
              <w:rPr>
                <w:sz w:val="18"/>
                <w:szCs w:val="18"/>
                <w:color w:val="auto"/>
              </w:rPr>
            </w:pPr>
          </w:p>
        </w:tc>
        <w:tc>
          <w:tcPr>
            <w:tcW w:w="1500" w:type="dxa"/>
            <w:vAlign w:val="bottom"/>
          </w:tcPr>
          <w:p>
            <w:pPr>
              <w:jc w:val="right"/>
              <w:ind w:right="212"/>
              <w:spacing w:after="0"/>
              <w:rPr>
                <w:sz w:val="20"/>
                <w:szCs w:val="20"/>
                <w:color w:val="auto"/>
              </w:rPr>
            </w:pPr>
            <w:r>
              <w:rPr>
                <w:rFonts w:ascii="Arial" w:cs="Arial" w:eastAsia="Arial" w:hAnsi="Arial"/>
                <w:sz w:val="14"/>
                <w:szCs w:val="14"/>
                <w:color w:val="231F20"/>
              </w:rPr>
              <w:t>12/31/2022</w:t>
            </w:r>
          </w:p>
        </w:tc>
        <w:tc>
          <w:tcPr>
            <w:tcW w:w="1220" w:type="dxa"/>
            <w:vAlign w:val="bottom"/>
          </w:tcPr>
          <w:p>
            <w:pPr>
              <w:jc w:val="right"/>
              <w:ind w:right="192"/>
              <w:spacing w:after="0"/>
              <w:rPr>
                <w:sz w:val="20"/>
                <w:szCs w:val="20"/>
                <w:color w:val="auto"/>
              </w:rPr>
            </w:pPr>
            <w:r>
              <w:rPr>
                <w:rFonts w:ascii="Arial" w:cs="Arial" w:eastAsia="Arial" w:hAnsi="Arial"/>
                <w:sz w:val="14"/>
                <w:szCs w:val="14"/>
                <w:color w:val="231F20"/>
              </w:rPr>
              <w:t>2/26/2023</w:t>
            </w:r>
          </w:p>
        </w:tc>
        <w:tc>
          <w:tcPr>
            <w:tcW w:w="1000" w:type="dxa"/>
            <w:vAlign w:val="bottom"/>
            <w:gridSpan w:val="2"/>
          </w:tcPr>
          <w:p>
            <w:pPr>
              <w:jc w:val="right"/>
              <w:ind w:right="240"/>
              <w:spacing w:after="0"/>
              <w:rPr>
                <w:sz w:val="20"/>
                <w:szCs w:val="20"/>
                <w:color w:val="auto"/>
              </w:rPr>
            </w:pPr>
            <w:r>
              <w:rPr>
                <w:rFonts w:ascii="Arial" w:cs="Arial" w:eastAsia="Arial" w:hAnsi="Arial"/>
                <w:sz w:val="14"/>
                <w:szCs w:val="14"/>
                <w:color w:val="231F20"/>
              </w:rPr>
              <w:t>24,277</w:t>
            </w:r>
          </w:p>
        </w:tc>
        <w:tc>
          <w:tcPr>
            <w:tcW w:w="1700" w:type="dxa"/>
            <w:vAlign w:val="bottom"/>
          </w:tcPr>
          <w:p>
            <w:pPr>
              <w:jc w:val="right"/>
              <w:ind w:right="172"/>
              <w:spacing w:after="0"/>
              <w:rPr>
                <w:sz w:val="20"/>
                <w:szCs w:val="20"/>
                <w:color w:val="auto"/>
              </w:rPr>
            </w:pPr>
            <w:r>
              <w:rPr>
                <w:rFonts w:ascii="Arial" w:cs="Arial" w:eastAsia="Arial" w:hAnsi="Arial"/>
                <w:sz w:val="14"/>
                <w:szCs w:val="14"/>
                <w:color w:val="231F20"/>
              </w:rPr>
              <w:t>2/26/2023</w:t>
            </w:r>
          </w:p>
        </w:tc>
        <w:tc>
          <w:tcPr>
            <w:tcW w:w="1200" w:type="dxa"/>
            <w:vAlign w:val="bottom"/>
          </w:tcPr>
          <w:p>
            <w:pPr>
              <w:jc w:val="right"/>
              <w:ind w:right="152"/>
              <w:spacing w:after="0"/>
              <w:rPr>
                <w:sz w:val="20"/>
                <w:szCs w:val="20"/>
                <w:color w:val="auto"/>
              </w:rPr>
            </w:pPr>
            <w:r>
              <w:rPr>
                <w:rFonts w:ascii="Arial" w:cs="Arial" w:eastAsia="Arial" w:hAnsi="Arial"/>
                <w:sz w:val="14"/>
                <w:szCs w:val="14"/>
                <w:color w:val="231F20"/>
              </w:rPr>
              <w:t>2/26/2023</w:t>
            </w:r>
          </w:p>
        </w:tc>
        <w:tc>
          <w:tcPr>
            <w:tcW w:w="780" w:type="dxa"/>
            <w:vAlign w:val="bottom"/>
          </w:tcPr>
          <w:p>
            <w:pPr>
              <w:jc w:val="right"/>
              <w:spacing w:after="0"/>
              <w:rPr>
                <w:sz w:val="20"/>
                <w:szCs w:val="20"/>
                <w:color w:val="auto"/>
              </w:rPr>
            </w:pPr>
            <w:r>
              <w:rPr>
                <w:rFonts w:ascii="Arial" w:cs="Arial" w:eastAsia="Arial" w:hAnsi="Arial"/>
                <w:sz w:val="14"/>
                <w:szCs w:val="14"/>
                <w:color w:val="231F20"/>
              </w:rPr>
              <w:t>13,967</w:t>
            </w:r>
          </w:p>
        </w:tc>
      </w:tr>
      <w:tr>
        <w:trPr>
          <w:trHeight w:val="33"/>
        </w:trPr>
        <w:tc>
          <w:tcPr>
            <w:tcW w:w="3840" w:type="dxa"/>
            <w:vAlign w:val="bottom"/>
            <w:tcBorders>
              <w:bottom w:val="single" w:sz="8" w:color="231F20"/>
            </w:tcBorders>
          </w:tcPr>
          <w:p>
            <w:pPr>
              <w:spacing w:after="0"/>
              <w:rPr>
                <w:sz w:val="2"/>
                <w:szCs w:val="2"/>
                <w:color w:val="auto"/>
              </w:rPr>
            </w:pPr>
          </w:p>
        </w:tc>
        <w:tc>
          <w:tcPr>
            <w:tcW w:w="1500" w:type="dxa"/>
            <w:vAlign w:val="bottom"/>
            <w:tcBorders>
              <w:bottom w:val="single" w:sz="8" w:color="231F20"/>
            </w:tcBorders>
          </w:tcPr>
          <w:p>
            <w:pPr>
              <w:spacing w:after="0"/>
              <w:rPr>
                <w:sz w:val="2"/>
                <w:szCs w:val="2"/>
                <w:color w:val="auto"/>
              </w:rPr>
            </w:pPr>
          </w:p>
        </w:tc>
        <w:tc>
          <w:tcPr>
            <w:tcW w:w="1220" w:type="dxa"/>
            <w:vAlign w:val="bottom"/>
            <w:tcBorders>
              <w:bottom w:val="single" w:sz="8" w:color="231F20"/>
            </w:tcBorders>
          </w:tcPr>
          <w:p>
            <w:pPr>
              <w:spacing w:after="0"/>
              <w:rPr>
                <w:sz w:val="2"/>
                <w:szCs w:val="2"/>
                <w:color w:val="auto"/>
              </w:rPr>
            </w:pPr>
          </w:p>
        </w:tc>
        <w:tc>
          <w:tcPr>
            <w:tcW w:w="760" w:type="dxa"/>
            <w:vAlign w:val="bottom"/>
            <w:tcBorders>
              <w:bottom w:val="single" w:sz="8" w:color="231F20"/>
            </w:tcBorders>
          </w:tcPr>
          <w:p>
            <w:pPr>
              <w:spacing w:after="0"/>
              <w:rPr>
                <w:sz w:val="2"/>
                <w:szCs w:val="2"/>
                <w:color w:val="auto"/>
              </w:rPr>
            </w:pPr>
          </w:p>
        </w:tc>
        <w:tc>
          <w:tcPr>
            <w:tcW w:w="240" w:type="dxa"/>
            <w:vAlign w:val="bottom"/>
            <w:tcBorders>
              <w:bottom w:val="single" w:sz="8" w:color="231F20"/>
            </w:tcBorders>
          </w:tcPr>
          <w:p>
            <w:pPr>
              <w:spacing w:after="0"/>
              <w:rPr>
                <w:sz w:val="2"/>
                <w:szCs w:val="2"/>
                <w:color w:val="auto"/>
              </w:rPr>
            </w:pPr>
          </w:p>
        </w:tc>
        <w:tc>
          <w:tcPr>
            <w:tcW w:w="1700" w:type="dxa"/>
            <w:vAlign w:val="bottom"/>
            <w:tcBorders>
              <w:bottom w:val="single" w:sz="8" w:color="231F20"/>
            </w:tcBorders>
          </w:tcPr>
          <w:p>
            <w:pPr>
              <w:spacing w:after="0"/>
              <w:rPr>
                <w:sz w:val="2"/>
                <w:szCs w:val="2"/>
                <w:color w:val="auto"/>
              </w:rPr>
            </w:pPr>
          </w:p>
        </w:tc>
        <w:tc>
          <w:tcPr>
            <w:tcW w:w="1200" w:type="dxa"/>
            <w:vAlign w:val="bottom"/>
            <w:tcBorders>
              <w:bottom w:val="single" w:sz="8" w:color="231F20"/>
            </w:tcBorders>
          </w:tcPr>
          <w:p>
            <w:pPr>
              <w:spacing w:after="0"/>
              <w:rPr>
                <w:sz w:val="2"/>
                <w:szCs w:val="2"/>
                <w:color w:val="auto"/>
              </w:rPr>
            </w:pPr>
          </w:p>
        </w:tc>
        <w:tc>
          <w:tcPr>
            <w:tcW w:w="780" w:type="dxa"/>
            <w:vAlign w:val="bottom"/>
            <w:tcBorders>
              <w:bottom w:val="single" w:sz="8" w:color="231F20"/>
            </w:tcBorders>
          </w:tcPr>
          <w:p>
            <w:pPr>
              <w:spacing w:after="0"/>
              <w:rPr>
                <w:sz w:val="2"/>
                <w:szCs w:val="2"/>
                <w:color w:val="auto"/>
              </w:rPr>
            </w:pPr>
          </w:p>
        </w:tc>
      </w:tr>
      <w:tr>
        <w:trPr>
          <w:trHeight w:val="221"/>
        </w:trPr>
        <w:tc>
          <w:tcPr>
            <w:tcW w:w="3840" w:type="dxa"/>
            <w:vAlign w:val="bottom"/>
          </w:tcPr>
          <w:p>
            <w:pPr>
              <w:spacing w:after="0"/>
              <w:rPr>
                <w:sz w:val="20"/>
                <w:szCs w:val="20"/>
                <w:color w:val="auto"/>
              </w:rPr>
            </w:pPr>
            <w:r>
              <w:rPr>
                <w:rFonts w:ascii="Arial" w:cs="Arial" w:eastAsia="Arial" w:hAnsi="Arial"/>
                <w:sz w:val="14"/>
                <w:szCs w:val="14"/>
                <w:b w:val="1"/>
                <w:bCs w:val="1"/>
                <w:color w:val="455986"/>
              </w:rPr>
              <w:t>Schuller</w:t>
            </w:r>
          </w:p>
        </w:tc>
        <w:tc>
          <w:tcPr>
            <w:tcW w:w="1500" w:type="dxa"/>
            <w:vAlign w:val="bottom"/>
          </w:tcPr>
          <w:p>
            <w:pPr>
              <w:jc w:val="right"/>
              <w:ind w:right="212"/>
              <w:spacing w:after="0"/>
              <w:rPr>
                <w:sz w:val="20"/>
                <w:szCs w:val="20"/>
                <w:color w:val="auto"/>
              </w:rPr>
            </w:pPr>
            <w:r>
              <w:rPr>
                <w:rFonts w:ascii="Arial" w:cs="Arial" w:eastAsia="Arial" w:hAnsi="Arial"/>
                <w:sz w:val="14"/>
                <w:szCs w:val="14"/>
                <w:color w:val="231F20"/>
              </w:rPr>
              <w:t>12/31/2020</w:t>
            </w:r>
          </w:p>
        </w:tc>
        <w:tc>
          <w:tcPr>
            <w:tcW w:w="1220" w:type="dxa"/>
            <w:vAlign w:val="bottom"/>
          </w:tcPr>
          <w:p>
            <w:pPr>
              <w:jc w:val="right"/>
              <w:ind w:right="192"/>
              <w:spacing w:after="0"/>
              <w:rPr>
                <w:sz w:val="20"/>
                <w:szCs w:val="20"/>
                <w:color w:val="auto"/>
              </w:rPr>
            </w:pPr>
            <w:r>
              <w:rPr>
                <w:rFonts w:ascii="Arial" w:cs="Arial" w:eastAsia="Arial" w:hAnsi="Arial"/>
                <w:sz w:val="14"/>
                <w:szCs w:val="14"/>
                <w:color w:val="231F20"/>
              </w:rPr>
              <w:t>2/27/2021</w:t>
            </w:r>
          </w:p>
        </w:tc>
        <w:tc>
          <w:tcPr>
            <w:tcW w:w="1000" w:type="dxa"/>
            <w:vAlign w:val="bottom"/>
            <w:gridSpan w:val="2"/>
          </w:tcPr>
          <w:p>
            <w:pPr>
              <w:jc w:val="right"/>
              <w:ind w:right="240"/>
              <w:spacing w:after="0"/>
              <w:rPr>
                <w:sz w:val="20"/>
                <w:szCs w:val="20"/>
                <w:color w:val="auto"/>
              </w:rPr>
            </w:pPr>
            <w:r>
              <w:rPr>
                <w:rFonts w:ascii="Arial" w:cs="Arial" w:eastAsia="Arial" w:hAnsi="Arial"/>
                <w:sz w:val="14"/>
                <w:szCs w:val="14"/>
                <w:color w:val="231F20"/>
              </w:rPr>
              <w:t>8,312</w:t>
            </w:r>
          </w:p>
        </w:tc>
        <w:tc>
          <w:tcPr>
            <w:tcW w:w="1700" w:type="dxa"/>
            <w:vAlign w:val="bottom"/>
          </w:tcPr>
          <w:p>
            <w:pPr>
              <w:jc w:val="right"/>
              <w:ind w:right="172"/>
              <w:spacing w:after="0"/>
              <w:rPr>
                <w:sz w:val="20"/>
                <w:szCs w:val="20"/>
                <w:color w:val="auto"/>
              </w:rPr>
            </w:pPr>
            <w:r>
              <w:rPr>
                <w:rFonts w:ascii="Arial" w:cs="Arial" w:eastAsia="Arial" w:hAnsi="Arial"/>
                <w:sz w:val="14"/>
                <w:szCs w:val="14"/>
                <w:color w:val="231F20"/>
              </w:rPr>
              <w:t>2/27/2021</w:t>
            </w:r>
          </w:p>
        </w:tc>
        <w:tc>
          <w:tcPr>
            <w:tcW w:w="1200" w:type="dxa"/>
            <w:vAlign w:val="bottom"/>
          </w:tcPr>
          <w:p>
            <w:pPr>
              <w:jc w:val="right"/>
              <w:ind w:right="152"/>
              <w:spacing w:after="0"/>
              <w:rPr>
                <w:sz w:val="20"/>
                <w:szCs w:val="20"/>
                <w:color w:val="auto"/>
              </w:rPr>
            </w:pPr>
            <w:r>
              <w:rPr>
                <w:rFonts w:ascii="Arial" w:cs="Arial" w:eastAsia="Arial" w:hAnsi="Arial"/>
                <w:sz w:val="14"/>
                <w:szCs w:val="14"/>
                <w:color w:val="231F20"/>
              </w:rPr>
              <w:t>2/27/2021</w:t>
            </w:r>
          </w:p>
        </w:tc>
        <w:tc>
          <w:tcPr>
            <w:tcW w:w="780" w:type="dxa"/>
            <w:vAlign w:val="bottom"/>
          </w:tcPr>
          <w:p>
            <w:pPr>
              <w:jc w:val="right"/>
              <w:spacing w:after="0"/>
              <w:rPr>
                <w:sz w:val="20"/>
                <w:szCs w:val="20"/>
                <w:color w:val="auto"/>
              </w:rPr>
            </w:pPr>
            <w:r>
              <w:rPr>
                <w:rFonts w:ascii="Arial" w:cs="Arial" w:eastAsia="Arial" w:hAnsi="Arial"/>
                <w:sz w:val="14"/>
                <w:szCs w:val="14"/>
                <w:color w:val="231F20"/>
              </w:rPr>
              <w:t>3,162</w:t>
            </w:r>
          </w:p>
        </w:tc>
      </w:tr>
      <w:tr>
        <w:trPr>
          <w:trHeight w:val="27"/>
        </w:trPr>
        <w:tc>
          <w:tcPr>
            <w:tcW w:w="3840" w:type="dxa"/>
            <w:vAlign w:val="bottom"/>
          </w:tcPr>
          <w:p>
            <w:pPr>
              <w:spacing w:after="0"/>
              <w:rPr>
                <w:sz w:val="2"/>
                <w:szCs w:val="2"/>
                <w:color w:val="auto"/>
              </w:rPr>
            </w:pPr>
          </w:p>
        </w:tc>
        <w:tc>
          <w:tcPr>
            <w:tcW w:w="1500" w:type="dxa"/>
            <w:vAlign w:val="bottom"/>
            <w:tcBorders>
              <w:bottom w:val="single" w:sz="8" w:color="231F20"/>
            </w:tcBorders>
          </w:tcPr>
          <w:p>
            <w:pPr>
              <w:spacing w:after="0"/>
              <w:rPr>
                <w:sz w:val="2"/>
                <w:szCs w:val="2"/>
                <w:color w:val="auto"/>
              </w:rPr>
            </w:pPr>
          </w:p>
        </w:tc>
        <w:tc>
          <w:tcPr>
            <w:tcW w:w="1220" w:type="dxa"/>
            <w:vAlign w:val="bottom"/>
            <w:tcBorders>
              <w:bottom w:val="single" w:sz="8" w:color="231F20"/>
            </w:tcBorders>
          </w:tcPr>
          <w:p>
            <w:pPr>
              <w:spacing w:after="0"/>
              <w:rPr>
                <w:sz w:val="2"/>
                <w:szCs w:val="2"/>
                <w:color w:val="auto"/>
              </w:rPr>
            </w:pPr>
          </w:p>
        </w:tc>
        <w:tc>
          <w:tcPr>
            <w:tcW w:w="760" w:type="dxa"/>
            <w:vAlign w:val="bottom"/>
            <w:tcBorders>
              <w:bottom w:val="single" w:sz="8" w:color="231F20"/>
            </w:tcBorders>
          </w:tcPr>
          <w:p>
            <w:pPr>
              <w:spacing w:after="0"/>
              <w:rPr>
                <w:sz w:val="2"/>
                <w:szCs w:val="2"/>
                <w:color w:val="auto"/>
              </w:rPr>
            </w:pPr>
          </w:p>
        </w:tc>
        <w:tc>
          <w:tcPr>
            <w:tcW w:w="240" w:type="dxa"/>
            <w:vAlign w:val="bottom"/>
            <w:tcBorders>
              <w:bottom w:val="single" w:sz="8" w:color="231F20"/>
            </w:tcBorders>
          </w:tcPr>
          <w:p>
            <w:pPr>
              <w:spacing w:after="0"/>
              <w:rPr>
                <w:sz w:val="2"/>
                <w:szCs w:val="2"/>
                <w:color w:val="auto"/>
              </w:rPr>
            </w:pPr>
          </w:p>
        </w:tc>
        <w:tc>
          <w:tcPr>
            <w:tcW w:w="1700" w:type="dxa"/>
            <w:vAlign w:val="bottom"/>
            <w:tcBorders>
              <w:bottom w:val="single" w:sz="8" w:color="231F20"/>
            </w:tcBorders>
          </w:tcPr>
          <w:p>
            <w:pPr>
              <w:spacing w:after="0"/>
              <w:rPr>
                <w:sz w:val="2"/>
                <w:szCs w:val="2"/>
                <w:color w:val="auto"/>
              </w:rPr>
            </w:pPr>
          </w:p>
        </w:tc>
        <w:tc>
          <w:tcPr>
            <w:tcW w:w="1200" w:type="dxa"/>
            <w:vAlign w:val="bottom"/>
            <w:tcBorders>
              <w:bottom w:val="single" w:sz="8" w:color="231F20"/>
            </w:tcBorders>
          </w:tcPr>
          <w:p>
            <w:pPr>
              <w:spacing w:after="0"/>
              <w:rPr>
                <w:sz w:val="2"/>
                <w:szCs w:val="2"/>
                <w:color w:val="auto"/>
              </w:rPr>
            </w:pPr>
          </w:p>
        </w:tc>
        <w:tc>
          <w:tcPr>
            <w:tcW w:w="780" w:type="dxa"/>
            <w:vAlign w:val="bottom"/>
            <w:tcBorders>
              <w:bottom w:val="single" w:sz="8" w:color="231F20"/>
            </w:tcBorders>
          </w:tcPr>
          <w:p>
            <w:pPr>
              <w:spacing w:after="0"/>
              <w:rPr>
                <w:sz w:val="2"/>
                <w:szCs w:val="2"/>
                <w:color w:val="auto"/>
              </w:rPr>
            </w:pPr>
          </w:p>
        </w:tc>
      </w:tr>
      <w:tr>
        <w:trPr>
          <w:trHeight w:val="215"/>
        </w:trPr>
        <w:tc>
          <w:tcPr>
            <w:tcW w:w="3840" w:type="dxa"/>
            <w:vAlign w:val="bottom"/>
          </w:tcPr>
          <w:p>
            <w:pPr>
              <w:spacing w:after="0"/>
              <w:rPr>
                <w:sz w:val="18"/>
                <w:szCs w:val="18"/>
                <w:color w:val="auto"/>
              </w:rPr>
            </w:pPr>
          </w:p>
        </w:tc>
        <w:tc>
          <w:tcPr>
            <w:tcW w:w="1500" w:type="dxa"/>
            <w:vAlign w:val="bottom"/>
          </w:tcPr>
          <w:p>
            <w:pPr>
              <w:jc w:val="right"/>
              <w:ind w:right="212"/>
              <w:spacing w:after="0"/>
              <w:rPr>
                <w:sz w:val="20"/>
                <w:szCs w:val="20"/>
                <w:color w:val="auto"/>
              </w:rPr>
            </w:pPr>
            <w:r>
              <w:rPr>
                <w:rFonts w:ascii="Arial" w:cs="Arial" w:eastAsia="Arial" w:hAnsi="Arial"/>
                <w:sz w:val="14"/>
                <w:szCs w:val="14"/>
                <w:color w:val="231F20"/>
              </w:rPr>
              <w:t>—</w:t>
            </w:r>
          </w:p>
        </w:tc>
        <w:tc>
          <w:tcPr>
            <w:tcW w:w="1220" w:type="dxa"/>
            <w:vAlign w:val="bottom"/>
          </w:tcPr>
          <w:p>
            <w:pPr>
              <w:jc w:val="right"/>
              <w:ind w:right="192"/>
              <w:spacing w:after="0"/>
              <w:rPr>
                <w:sz w:val="20"/>
                <w:szCs w:val="20"/>
                <w:color w:val="auto"/>
              </w:rPr>
            </w:pPr>
            <w:r>
              <w:rPr>
                <w:rFonts w:ascii="Arial" w:cs="Arial" w:eastAsia="Arial" w:hAnsi="Arial"/>
                <w:sz w:val="14"/>
                <w:szCs w:val="14"/>
                <w:color w:val="231F20"/>
              </w:rPr>
              <w:t>—</w:t>
            </w:r>
          </w:p>
        </w:tc>
        <w:tc>
          <w:tcPr>
            <w:tcW w:w="1000" w:type="dxa"/>
            <w:vAlign w:val="bottom"/>
            <w:gridSpan w:val="2"/>
          </w:tcPr>
          <w:p>
            <w:pPr>
              <w:jc w:val="right"/>
              <w:ind w:right="240"/>
              <w:spacing w:after="0"/>
              <w:rPr>
                <w:sz w:val="20"/>
                <w:szCs w:val="20"/>
                <w:color w:val="auto"/>
              </w:rPr>
            </w:pPr>
            <w:r>
              <w:rPr>
                <w:rFonts w:ascii="Arial" w:cs="Arial" w:eastAsia="Arial" w:hAnsi="Arial"/>
                <w:sz w:val="14"/>
                <w:szCs w:val="14"/>
                <w:color w:val="231F20"/>
              </w:rPr>
              <w:t>—</w:t>
            </w:r>
          </w:p>
        </w:tc>
        <w:tc>
          <w:tcPr>
            <w:tcW w:w="1700" w:type="dxa"/>
            <w:vAlign w:val="bottom"/>
          </w:tcPr>
          <w:p>
            <w:pPr>
              <w:jc w:val="right"/>
              <w:ind w:right="172"/>
              <w:spacing w:after="0"/>
              <w:rPr>
                <w:sz w:val="20"/>
                <w:szCs w:val="20"/>
                <w:color w:val="auto"/>
              </w:rPr>
            </w:pPr>
            <w:r>
              <w:rPr>
                <w:rFonts w:ascii="Arial" w:cs="Arial" w:eastAsia="Arial" w:hAnsi="Arial"/>
                <w:sz w:val="14"/>
                <w:szCs w:val="14"/>
                <w:color w:val="231F20"/>
              </w:rPr>
              <w:t>2/28/2022</w:t>
            </w:r>
          </w:p>
        </w:tc>
        <w:tc>
          <w:tcPr>
            <w:tcW w:w="1200" w:type="dxa"/>
            <w:vAlign w:val="bottom"/>
          </w:tcPr>
          <w:p>
            <w:pPr>
              <w:jc w:val="right"/>
              <w:ind w:right="152"/>
              <w:spacing w:after="0"/>
              <w:rPr>
                <w:sz w:val="20"/>
                <w:szCs w:val="20"/>
                <w:color w:val="auto"/>
              </w:rPr>
            </w:pPr>
            <w:r>
              <w:rPr>
                <w:rFonts w:ascii="Arial" w:cs="Arial" w:eastAsia="Arial" w:hAnsi="Arial"/>
                <w:sz w:val="14"/>
                <w:szCs w:val="14"/>
                <w:color w:val="231F20"/>
              </w:rPr>
              <w:t>2/28/2022</w:t>
            </w:r>
          </w:p>
        </w:tc>
        <w:tc>
          <w:tcPr>
            <w:tcW w:w="780" w:type="dxa"/>
            <w:vAlign w:val="bottom"/>
          </w:tcPr>
          <w:p>
            <w:pPr>
              <w:jc w:val="right"/>
              <w:spacing w:after="0"/>
              <w:rPr>
                <w:sz w:val="20"/>
                <w:szCs w:val="20"/>
                <w:color w:val="auto"/>
              </w:rPr>
            </w:pPr>
            <w:r>
              <w:rPr>
                <w:rFonts w:ascii="Arial" w:cs="Arial" w:eastAsia="Arial" w:hAnsi="Arial"/>
                <w:sz w:val="14"/>
                <w:szCs w:val="14"/>
                <w:color w:val="231F20"/>
              </w:rPr>
              <w:t>3,596</w:t>
            </w:r>
          </w:p>
        </w:tc>
      </w:tr>
      <w:tr>
        <w:trPr>
          <w:trHeight w:val="33"/>
        </w:trPr>
        <w:tc>
          <w:tcPr>
            <w:tcW w:w="3840" w:type="dxa"/>
            <w:vAlign w:val="bottom"/>
          </w:tcPr>
          <w:p>
            <w:pPr>
              <w:spacing w:after="0"/>
              <w:rPr>
                <w:sz w:val="2"/>
                <w:szCs w:val="2"/>
                <w:color w:val="auto"/>
              </w:rPr>
            </w:pPr>
          </w:p>
        </w:tc>
        <w:tc>
          <w:tcPr>
            <w:tcW w:w="1500" w:type="dxa"/>
            <w:vAlign w:val="bottom"/>
            <w:tcBorders>
              <w:bottom w:val="single" w:sz="8" w:color="231F20"/>
            </w:tcBorders>
          </w:tcPr>
          <w:p>
            <w:pPr>
              <w:spacing w:after="0"/>
              <w:rPr>
                <w:sz w:val="2"/>
                <w:szCs w:val="2"/>
                <w:color w:val="auto"/>
              </w:rPr>
            </w:pPr>
          </w:p>
        </w:tc>
        <w:tc>
          <w:tcPr>
            <w:tcW w:w="1220" w:type="dxa"/>
            <w:vAlign w:val="bottom"/>
            <w:tcBorders>
              <w:bottom w:val="single" w:sz="8" w:color="231F20"/>
            </w:tcBorders>
          </w:tcPr>
          <w:p>
            <w:pPr>
              <w:spacing w:after="0"/>
              <w:rPr>
                <w:sz w:val="2"/>
                <w:szCs w:val="2"/>
                <w:color w:val="auto"/>
              </w:rPr>
            </w:pPr>
          </w:p>
        </w:tc>
        <w:tc>
          <w:tcPr>
            <w:tcW w:w="760" w:type="dxa"/>
            <w:vAlign w:val="bottom"/>
            <w:tcBorders>
              <w:bottom w:val="single" w:sz="8" w:color="231F20"/>
            </w:tcBorders>
          </w:tcPr>
          <w:p>
            <w:pPr>
              <w:spacing w:after="0"/>
              <w:rPr>
                <w:sz w:val="2"/>
                <w:szCs w:val="2"/>
                <w:color w:val="auto"/>
              </w:rPr>
            </w:pPr>
          </w:p>
        </w:tc>
        <w:tc>
          <w:tcPr>
            <w:tcW w:w="240" w:type="dxa"/>
            <w:vAlign w:val="bottom"/>
            <w:tcBorders>
              <w:bottom w:val="single" w:sz="8" w:color="231F20"/>
            </w:tcBorders>
          </w:tcPr>
          <w:p>
            <w:pPr>
              <w:spacing w:after="0"/>
              <w:rPr>
                <w:sz w:val="2"/>
                <w:szCs w:val="2"/>
                <w:color w:val="auto"/>
              </w:rPr>
            </w:pPr>
          </w:p>
        </w:tc>
        <w:tc>
          <w:tcPr>
            <w:tcW w:w="1700" w:type="dxa"/>
            <w:vAlign w:val="bottom"/>
            <w:tcBorders>
              <w:bottom w:val="single" w:sz="8" w:color="231F20"/>
            </w:tcBorders>
          </w:tcPr>
          <w:p>
            <w:pPr>
              <w:spacing w:after="0"/>
              <w:rPr>
                <w:sz w:val="2"/>
                <w:szCs w:val="2"/>
                <w:color w:val="auto"/>
              </w:rPr>
            </w:pPr>
          </w:p>
        </w:tc>
        <w:tc>
          <w:tcPr>
            <w:tcW w:w="1200" w:type="dxa"/>
            <w:vAlign w:val="bottom"/>
            <w:tcBorders>
              <w:bottom w:val="single" w:sz="8" w:color="231F20"/>
            </w:tcBorders>
          </w:tcPr>
          <w:p>
            <w:pPr>
              <w:spacing w:after="0"/>
              <w:rPr>
                <w:sz w:val="2"/>
                <w:szCs w:val="2"/>
                <w:color w:val="auto"/>
              </w:rPr>
            </w:pPr>
          </w:p>
        </w:tc>
        <w:tc>
          <w:tcPr>
            <w:tcW w:w="780" w:type="dxa"/>
            <w:vAlign w:val="bottom"/>
            <w:tcBorders>
              <w:bottom w:val="single" w:sz="8" w:color="231F20"/>
            </w:tcBorders>
          </w:tcPr>
          <w:p>
            <w:pPr>
              <w:spacing w:after="0"/>
              <w:rPr>
                <w:sz w:val="2"/>
                <w:szCs w:val="2"/>
                <w:color w:val="auto"/>
              </w:rPr>
            </w:pPr>
          </w:p>
        </w:tc>
      </w:tr>
      <w:tr>
        <w:trPr>
          <w:trHeight w:val="215"/>
        </w:trPr>
        <w:tc>
          <w:tcPr>
            <w:tcW w:w="3840" w:type="dxa"/>
            <w:vAlign w:val="bottom"/>
          </w:tcPr>
          <w:p>
            <w:pPr>
              <w:spacing w:after="0"/>
              <w:rPr>
                <w:sz w:val="18"/>
                <w:szCs w:val="18"/>
                <w:color w:val="auto"/>
              </w:rPr>
            </w:pPr>
          </w:p>
        </w:tc>
        <w:tc>
          <w:tcPr>
            <w:tcW w:w="1500" w:type="dxa"/>
            <w:vAlign w:val="bottom"/>
          </w:tcPr>
          <w:p>
            <w:pPr>
              <w:jc w:val="right"/>
              <w:ind w:right="212"/>
              <w:spacing w:after="0"/>
              <w:rPr>
                <w:sz w:val="20"/>
                <w:szCs w:val="20"/>
                <w:color w:val="auto"/>
              </w:rPr>
            </w:pPr>
            <w:r>
              <w:rPr>
                <w:rFonts w:ascii="Arial" w:cs="Arial" w:eastAsia="Arial" w:hAnsi="Arial"/>
                <w:sz w:val="14"/>
                <w:szCs w:val="14"/>
                <w:color w:val="231F20"/>
              </w:rPr>
              <w:t>12/31/2022</w:t>
            </w:r>
          </w:p>
        </w:tc>
        <w:tc>
          <w:tcPr>
            <w:tcW w:w="1220" w:type="dxa"/>
            <w:vAlign w:val="bottom"/>
          </w:tcPr>
          <w:p>
            <w:pPr>
              <w:jc w:val="right"/>
              <w:ind w:right="192"/>
              <w:spacing w:after="0"/>
              <w:rPr>
                <w:sz w:val="20"/>
                <w:szCs w:val="20"/>
                <w:color w:val="auto"/>
              </w:rPr>
            </w:pPr>
            <w:r>
              <w:rPr>
                <w:rFonts w:ascii="Arial" w:cs="Arial" w:eastAsia="Arial" w:hAnsi="Arial"/>
                <w:sz w:val="14"/>
                <w:szCs w:val="14"/>
                <w:color w:val="231F20"/>
              </w:rPr>
              <w:t>2/26/2023</w:t>
            </w:r>
          </w:p>
        </w:tc>
        <w:tc>
          <w:tcPr>
            <w:tcW w:w="1000" w:type="dxa"/>
            <w:vAlign w:val="bottom"/>
            <w:gridSpan w:val="2"/>
          </w:tcPr>
          <w:p>
            <w:pPr>
              <w:jc w:val="right"/>
              <w:ind w:right="240"/>
              <w:spacing w:after="0"/>
              <w:rPr>
                <w:sz w:val="20"/>
                <w:szCs w:val="20"/>
                <w:color w:val="auto"/>
              </w:rPr>
            </w:pPr>
            <w:r>
              <w:rPr>
                <w:rFonts w:ascii="Arial" w:cs="Arial" w:eastAsia="Arial" w:hAnsi="Arial"/>
                <w:sz w:val="14"/>
                <w:szCs w:val="14"/>
                <w:color w:val="231F20"/>
              </w:rPr>
              <w:t>6,986</w:t>
            </w:r>
          </w:p>
        </w:tc>
        <w:tc>
          <w:tcPr>
            <w:tcW w:w="1700" w:type="dxa"/>
            <w:vAlign w:val="bottom"/>
          </w:tcPr>
          <w:p>
            <w:pPr>
              <w:jc w:val="right"/>
              <w:ind w:right="172"/>
              <w:spacing w:after="0"/>
              <w:rPr>
                <w:sz w:val="20"/>
                <w:szCs w:val="20"/>
                <w:color w:val="auto"/>
              </w:rPr>
            </w:pPr>
            <w:r>
              <w:rPr>
                <w:rFonts w:ascii="Arial" w:cs="Arial" w:eastAsia="Arial" w:hAnsi="Arial"/>
                <w:sz w:val="14"/>
                <w:szCs w:val="14"/>
                <w:color w:val="231F20"/>
              </w:rPr>
              <w:t>2/26/2023</w:t>
            </w:r>
          </w:p>
        </w:tc>
        <w:tc>
          <w:tcPr>
            <w:tcW w:w="1200" w:type="dxa"/>
            <w:vAlign w:val="bottom"/>
          </w:tcPr>
          <w:p>
            <w:pPr>
              <w:jc w:val="right"/>
              <w:ind w:right="152"/>
              <w:spacing w:after="0"/>
              <w:rPr>
                <w:sz w:val="20"/>
                <w:szCs w:val="20"/>
                <w:color w:val="auto"/>
              </w:rPr>
            </w:pPr>
            <w:r>
              <w:rPr>
                <w:rFonts w:ascii="Arial" w:cs="Arial" w:eastAsia="Arial" w:hAnsi="Arial"/>
                <w:sz w:val="14"/>
                <w:szCs w:val="14"/>
                <w:color w:val="231F20"/>
              </w:rPr>
              <w:t>2/26/2023</w:t>
            </w:r>
          </w:p>
        </w:tc>
        <w:tc>
          <w:tcPr>
            <w:tcW w:w="780" w:type="dxa"/>
            <w:vAlign w:val="bottom"/>
          </w:tcPr>
          <w:p>
            <w:pPr>
              <w:jc w:val="right"/>
              <w:spacing w:after="0"/>
              <w:rPr>
                <w:sz w:val="20"/>
                <w:szCs w:val="20"/>
                <w:color w:val="auto"/>
              </w:rPr>
            </w:pPr>
            <w:r>
              <w:rPr>
                <w:rFonts w:ascii="Arial" w:cs="Arial" w:eastAsia="Arial" w:hAnsi="Arial"/>
                <w:sz w:val="14"/>
                <w:szCs w:val="14"/>
                <w:color w:val="231F20"/>
              </w:rPr>
              <w:t>4,020</w:t>
            </w:r>
          </w:p>
        </w:tc>
      </w:tr>
      <w:tr>
        <w:trPr>
          <w:trHeight w:val="33"/>
        </w:trPr>
        <w:tc>
          <w:tcPr>
            <w:tcW w:w="3840" w:type="dxa"/>
            <w:vAlign w:val="bottom"/>
            <w:tcBorders>
              <w:bottom w:val="single" w:sz="8" w:color="231F20"/>
            </w:tcBorders>
          </w:tcPr>
          <w:p>
            <w:pPr>
              <w:spacing w:after="0"/>
              <w:rPr>
                <w:sz w:val="2"/>
                <w:szCs w:val="2"/>
                <w:color w:val="auto"/>
              </w:rPr>
            </w:pPr>
          </w:p>
        </w:tc>
        <w:tc>
          <w:tcPr>
            <w:tcW w:w="1500" w:type="dxa"/>
            <w:vAlign w:val="bottom"/>
            <w:tcBorders>
              <w:bottom w:val="single" w:sz="8" w:color="231F20"/>
            </w:tcBorders>
          </w:tcPr>
          <w:p>
            <w:pPr>
              <w:spacing w:after="0"/>
              <w:rPr>
                <w:sz w:val="2"/>
                <w:szCs w:val="2"/>
                <w:color w:val="auto"/>
              </w:rPr>
            </w:pPr>
          </w:p>
        </w:tc>
        <w:tc>
          <w:tcPr>
            <w:tcW w:w="1220" w:type="dxa"/>
            <w:vAlign w:val="bottom"/>
            <w:tcBorders>
              <w:bottom w:val="single" w:sz="8" w:color="231F20"/>
            </w:tcBorders>
          </w:tcPr>
          <w:p>
            <w:pPr>
              <w:spacing w:after="0"/>
              <w:rPr>
                <w:sz w:val="2"/>
                <w:szCs w:val="2"/>
                <w:color w:val="auto"/>
              </w:rPr>
            </w:pPr>
          </w:p>
        </w:tc>
        <w:tc>
          <w:tcPr>
            <w:tcW w:w="760" w:type="dxa"/>
            <w:vAlign w:val="bottom"/>
            <w:tcBorders>
              <w:bottom w:val="single" w:sz="8" w:color="231F20"/>
            </w:tcBorders>
          </w:tcPr>
          <w:p>
            <w:pPr>
              <w:spacing w:after="0"/>
              <w:rPr>
                <w:sz w:val="2"/>
                <w:szCs w:val="2"/>
                <w:color w:val="auto"/>
              </w:rPr>
            </w:pPr>
          </w:p>
        </w:tc>
        <w:tc>
          <w:tcPr>
            <w:tcW w:w="240" w:type="dxa"/>
            <w:vAlign w:val="bottom"/>
            <w:tcBorders>
              <w:bottom w:val="single" w:sz="8" w:color="231F20"/>
            </w:tcBorders>
          </w:tcPr>
          <w:p>
            <w:pPr>
              <w:spacing w:after="0"/>
              <w:rPr>
                <w:sz w:val="2"/>
                <w:szCs w:val="2"/>
                <w:color w:val="auto"/>
              </w:rPr>
            </w:pPr>
          </w:p>
        </w:tc>
        <w:tc>
          <w:tcPr>
            <w:tcW w:w="1700" w:type="dxa"/>
            <w:vAlign w:val="bottom"/>
            <w:tcBorders>
              <w:bottom w:val="single" w:sz="8" w:color="231F20"/>
            </w:tcBorders>
          </w:tcPr>
          <w:p>
            <w:pPr>
              <w:spacing w:after="0"/>
              <w:rPr>
                <w:sz w:val="2"/>
                <w:szCs w:val="2"/>
                <w:color w:val="auto"/>
              </w:rPr>
            </w:pPr>
          </w:p>
        </w:tc>
        <w:tc>
          <w:tcPr>
            <w:tcW w:w="1200" w:type="dxa"/>
            <w:vAlign w:val="bottom"/>
            <w:tcBorders>
              <w:bottom w:val="single" w:sz="8" w:color="231F20"/>
            </w:tcBorders>
          </w:tcPr>
          <w:p>
            <w:pPr>
              <w:spacing w:after="0"/>
              <w:rPr>
                <w:sz w:val="2"/>
                <w:szCs w:val="2"/>
                <w:color w:val="auto"/>
              </w:rPr>
            </w:pPr>
          </w:p>
        </w:tc>
        <w:tc>
          <w:tcPr>
            <w:tcW w:w="780" w:type="dxa"/>
            <w:vAlign w:val="bottom"/>
            <w:tcBorders>
              <w:bottom w:val="single" w:sz="8" w:color="231F20"/>
            </w:tcBorders>
          </w:tcPr>
          <w:p>
            <w:pPr>
              <w:spacing w:after="0"/>
              <w:rPr>
                <w:sz w:val="2"/>
                <w:szCs w:val="2"/>
                <w:color w:val="auto"/>
              </w:rPr>
            </w:pPr>
          </w:p>
        </w:tc>
      </w:tr>
      <w:tr>
        <w:trPr>
          <w:trHeight w:val="221"/>
        </w:trPr>
        <w:tc>
          <w:tcPr>
            <w:tcW w:w="3840" w:type="dxa"/>
            <w:vAlign w:val="bottom"/>
          </w:tcPr>
          <w:p>
            <w:pPr>
              <w:spacing w:after="0"/>
              <w:rPr>
                <w:sz w:val="20"/>
                <w:szCs w:val="20"/>
                <w:color w:val="auto"/>
              </w:rPr>
            </w:pPr>
            <w:r>
              <w:rPr>
                <w:rFonts w:ascii="Arial" w:cs="Arial" w:eastAsia="Arial" w:hAnsi="Arial"/>
                <w:sz w:val="14"/>
                <w:szCs w:val="14"/>
                <w:b w:val="1"/>
                <w:bCs w:val="1"/>
                <w:color w:val="455986"/>
              </w:rPr>
              <w:t>Fox</w:t>
            </w:r>
          </w:p>
        </w:tc>
        <w:tc>
          <w:tcPr>
            <w:tcW w:w="1500" w:type="dxa"/>
            <w:vAlign w:val="bottom"/>
          </w:tcPr>
          <w:p>
            <w:pPr>
              <w:jc w:val="right"/>
              <w:ind w:right="212"/>
              <w:spacing w:after="0"/>
              <w:rPr>
                <w:sz w:val="20"/>
                <w:szCs w:val="20"/>
                <w:color w:val="auto"/>
              </w:rPr>
            </w:pPr>
            <w:r>
              <w:rPr>
                <w:rFonts w:ascii="Arial" w:cs="Arial" w:eastAsia="Arial" w:hAnsi="Arial"/>
                <w:sz w:val="14"/>
                <w:szCs w:val="14"/>
                <w:color w:val="231F20"/>
              </w:rPr>
              <w:t>12/31/2020</w:t>
            </w:r>
          </w:p>
        </w:tc>
        <w:tc>
          <w:tcPr>
            <w:tcW w:w="1220" w:type="dxa"/>
            <w:vAlign w:val="bottom"/>
          </w:tcPr>
          <w:p>
            <w:pPr>
              <w:jc w:val="right"/>
              <w:ind w:right="192"/>
              <w:spacing w:after="0"/>
              <w:rPr>
                <w:sz w:val="20"/>
                <w:szCs w:val="20"/>
                <w:color w:val="auto"/>
              </w:rPr>
            </w:pPr>
            <w:r>
              <w:rPr>
                <w:rFonts w:ascii="Arial" w:cs="Arial" w:eastAsia="Arial" w:hAnsi="Arial"/>
                <w:sz w:val="14"/>
                <w:szCs w:val="14"/>
                <w:color w:val="231F20"/>
              </w:rPr>
              <w:t>2/27/2021</w:t>
            </w:r>
          </w:p>
        </w:tc>
        <w:tc>
          <w:tcPr>
            <w:tcW w:w="1000" w:type="dxa"/>
            <w:vAlign w:val="bottom"/>
            <w:gridSpan w:val="2"/>
          </w:tcPr>
          <w:p>
            <w:pPr>
              <w:jc w:val="right"/>
              <w:ind w:right="240"/>
              <w:spacing w:after="0"/>
              <w:rPr>
                <w:sz w:val="20"/>
                <w:szCs w:val="20"/>
                <w:color w:val="auto"/>
              </w:rPr>
            </w:pPr>
            <w:r>
              <w:rPr>
                <w:rFonts w:ascii="Arial" w:cs="Arial" w:eastAsia="Arial" w:hAnsi="Arial"/>
                <w:sz w:val="14"/>
                <w:szCs w:val="14"/>
                <w:color w:val="231F20"/>
              </w:rPr>
              <w:t>8,520</w:t>
            </w:r>
          </w:p>
        </w:tc>
        <w:tc>
          <w:tcPr>
            <w:tcW w:w="1700" w:type="dxa"/>
            <w:vAlign w:val="bottom"/>
          </w:tcPr>
          <w:p>
            <w:pPr>
              <w:jc w:val="right"/>
              <w:ind w:right="172"/>
              <w:spacing w:after="0"/>
              <w:rPr>
                <w:sz w:val="20"/>
                <w:szCs w:val="20"/>
                <w:color w:val="auto"/>
              </w:rPr>
            </w:pPr>
            <w:r>
              <w:rPr>
                <w:rFonts w:ascii="Arial" w:cs="Arial" w:eastAsia="Arial" w:hAnsi="Arial"/>
                <w:sz w:val="14"/>
                <w:szCs w:val="14"/>
                <w:color w:val="231F20"/>
              </w:rPr>
              <w:t>2/27/2021</w:t>
            </w:r>
          </w:p>
        </w:tc>
        <w:tc>
          <w:tcPr>
            <w:tcW w:w="1200" w:type="dxa"/>
            <w:vAlign w:val="bottom"/>
          </w:tcPr>
          <w:p>
            <w:pPr>
              <w:jc w:val="right"/>
              <w:ind w:right="152"/>
              <w:spacing w:after="0"/>
              <w:rPr>
                <w:sz w:val="20"/>
                <w:szCs w:val="20"/>
                <w:color w:val="auto"/>
              </w:rPr>
            </w:pPr>
            <w:r>
              <w:rPr>
                <w:rFonts w:ascii="Arial" w:cs="Arial" w:eastAsia="Arial" w:hAnsi="Arial"/>
                <w:sz w:val="14"/>
                <w:szCs w:val="14"/>
                <w:color w:val="231F20"/>
              </w:rPr>
              <w:t>2/27/2021</w:t>
            </w:r>
          </w:p>
        </w:tc>
        <w:tc>
          <w:tcPr>
            <w:tcW w:w="780" w:type="dxa"/>
            <w:vAlign w:val="bottom"/>
          </w:tcPr>
          <w:p>
            <w:pPr>
              <w:jc w:val="right"/>
              <w:spacing w:after="0"/>
              <w:rPr>
                <w:sz w:val="20"/>
                <w:szCs w:val="20"/>
                <w:color w:val="auto"/>
              </w:rPr>
            </w:pPr>
            <w:r>
              <w:rPr>
                <w:rFonts w:ascii="Arial" w:cs="Arial" w:eastAsia="Arial" w:hAnsi="Arial"/>
                <w:sz w:val="14"/>
                <w:szCs w:val="14"/>
                <w:color w:val="231F20"/>
              </w:rPr>
              <w:t>3,241</w:t>
            </w:r>
          </w:p>
        </w:tc>
      </w:tr>
      <w:tr>
        <w:trPr>
          <w:trHeight w:val="27"/>
        </w:trPr>
        <w:tc>
          <w:tcPr>
            <w:tcW w:w="3840" w:type="dxa"/>
            <w:vAlign w:val="bottom"/>
          </w:tcPr>
          <w:p>
            <w:pPr>
              <w:spacing w:after="0"/>
              <w:rPr>
                <w:sz w:val="2"/>
                <w:szCs w:val="2"/>
                <w:color w:val="auto"/>
              </w:rPr>
            </w:pPr>
          </w:p>
        </w:tc>
        <w:tc>
          <w:tcPr>
            <w:tcW w:w="1500" w:type="dxa"/>
            <w:vAlign w:val="bottom"/>
            <w:tcBorders>
              <w:bottom w:val="single" w:sz="8" w:color="231F20"/>
            </w:tcBorders>
          </w:tcPr>
          <w:p>
            <w:pPr>
              <w:spacing w:after="0"/>
              <w:rPr>
                <w:sz w:val="2"/>
                <w:szCs w:val="2"/>
                <w:color w:val="auto"/>
              </w:rPr>
            </w:pPr>
          </w:p>
        </w:tc>
        <w:tc>
          <w:tcPr>
            <w:tcW w:w="1220" w:type="dxa"/>
            <w:vAlign w:val="bottom"/>
            <w:tcBorders>
              <w:bottom w:val="single" w:sz="8" w:color="231F20"/>
            </w:tcBorders>
          </w:tcPr>
          <w:p>
            <w:pPr>
              <w:spacing w:after="0"/>
              <w:rPr>
                <w:sz w:val="2"/>
                <w:szCs w:val="2"/>
                <w:color w:val="auto"/>
              </w:rPr>
            </w:pPr>
          </w:p>
        </w:tc>
        <w:tc>
          <w:tcPr>
            <w:tcW w:w="760" w:type="dxa"/>
            <w:vAlign w:val="bottom"/>
            <w:tcBorders>
              <w:bottom w:val="single" w:sz="8" w:color="231F20"/>
            </w:tcBorders>
          </w:tcPr>
          <w:p>
            <w:pPr>
              <w:spacing w:after="0"/>
              <w:rPr>
                <w:sz w:val="2"/>
                <w:szCs w:val="2"/>
                <w:color w:val="auto"/>
              </w:rPr>
            </w:pPr>
          </w:p>
        </w:tc>
        <w:tc>
          <w:tcPr>
            <w:tcW w:w="240" w:type="dxa"/>
            <w:vAlign w:val="bottom"/>
            <w:tcBorders>
              <w:bottom w:val="single" w:sz="8" w:color="231F20"/>
            </w:tcBorders>
          </w:tcPr>
          <w:p>
            <w:pPr>
              <w:spacing w:after="0"/>
              <w:rPr>
                <w:sz w:val="2"/>
                <w:szCs w:val="2"/>
                <w:color w:val="auto"/>
              </w:rPr>
            </w:pPr>
          </w:p>
        </w:tc>
        <w:tc>
          <w:tcPr>
            <w:tcW w:w="1700" w:type="dxa"/>
            <w:vAlign w:val="bottom"/>
            <w:tcBorders>
              <w:bottom w:val="single" w:sz="8" w:color="231F20"/>
            </w:tcBorders>
          </w:tcPr>
          <w:p>
            <w:pPr>
              <w:spacing w:after="0"/>
              <w:rPr>
                <w:sz w:val="2"/>
                <w:szCs w:val="2"/>
                <w:color w:val="auto"/>
              </w:rPr>
            </w:pPr>
          </w:p>
        </w:tc>
        <w:tc>
          <w:tcPr>
            <w:tcW w:w="1200" w:type="dxa"/>
            <w:vAlign w:val="bottom"/>
            <w:tcBorders>
              <w:bottom w:val="single" w:sz="8" w:color="231F20"/>
            </w:tcBorders>
          </w:tcPr>
          <w:p>
            <w:pPr>
              <w:spacing w:after="0"/>
              <w:rPr>
                <w:sz w:val="2"/>
                <w:szCs w:val="2"/>
                <w:color w:val="auto"/>
              </w:rPr>
            </w:pPr>
          </w:p>
        </w:tc>
        <w:tc>
          <w:tcPr>
            <w:tcW w:w="780" w:type="dxa"/>
            <w:vAlign w:val="bottom"/>
            <w:tcBorders>
              <w:bottom w:val="single" w:sz="8" w:color="231F20"/>
            </w:tcBorders>
          </w:tcPr>
          <w:p>
            <w:pPr>
              <w:spacing w:after="0"/>
              <w:rPr>
                <w:sz w:val="2"/>
                <w:szCs w:val="2"/>
                <w:color w:val="auto"/>
              </w:rPr>
            </w:pPr>
          </w:p>
        </w:tc>
      </w:tr>
      <w:tr>
        <w:trPr>
          <w:trHeight w:val="215"/>
        </w:trPr>
        <w:tc>
          <w:tcPr>
            <w:tcW w:w="3840" w:type="dxa"/>
            <w:vAlign w:val="bottom"/>
          </w:tcPr>
          <w:p>
            <w:pPr>
              <w:spacing w:after="0"/>
              <w:rPr>
                <w:sz w:val="18"/>
                <w:szCs w:val="18"/>
                <w:color w:val="auto"/>
              </w:rPr>
            </w:pPr>
          </w:p>
        </w:tc>
        <w:tc>
          <w:tcPr>
            <w:tcW w:w="1500" w:type="dxa"/>
            <w:vAlign w:val="bottom"/>
          </w:tcPr>
          <w:p>
            <w:pPr>
              <w:jc w:val="right"/>
              <w:ind w:right="212"/>
              <w:spacing w:after="0"/>
              <w:rPr>
                <w:sz w:val="20"/>
                <w:szCs w:val="20"/>
                <w:color w:val="auto"/>
              </w:rPr>
            </w:pPr>
            <w:r>
              <w:rPr>
                <w:rFonts w:ascii="Arial" w:cs="Arial" w:eastAsia="Arial" w:hAnsi="Arial"/>
                <w:sz w:val="14"/>
                <w:szCs w:val="14"/>
                <w:color w:val="231F20"/>
              </w:rPr>
              <w:t>—</w:t>
            </w:r>
          </w:p>
        </w:tc>
        <w:tc>
          <w:tcPr>
            <w:tcW w:w="1220" w:type="dxa"/>
            <w:vAlign w:val="bottom"/>
          </w:tcPr>
          <w:p>
            <w:pPr>
              <w:jc w:val="right"/>
              <w:ind w:right="192"/>
              <w:spacing w:after="0"/>
              <w:rPr>
                <w:sz w:val="20"/>
                <w:szCs w:val="20"/>
                <w:color w:val="auto"/>
              </w:rPr>
            </w:pPr>
            <w:r>
              <w:rPr>
                <w:rFonts w:ascii="Arial" w:cs="Arial" w:eastAsia="Arial" w:hAnsi="Arial"/>
                <w:sz w:val="14"/>
                <w:szCs w:val="14"/>
                <w:color w:val="231F20"/>
              </w:rPr>
              <w:t>—</w:t>
            </w:r>
          </w:p>
        </w:tc>
        <w:tc>
          <w:tcPr>
            <w:tcW w:w="1000" w:type="dxa"/>
            <w:vAlign w:val="bottom"/>
            <w:gridSpan w:val="2"/>
          </w:tcPr>
          <w:p>
            <w:pPr>
              <w:jc w:val="right"/>
              <w:ind w:right="240"/>
              <w:spacing w:after="0"/>
              <w:rPr>
                <w:sz w:val="20"/>
                <w:szCs w:val="20"/>
                <w:color w:val="auto"/>
              </w:rPr>
            </w:pPr>
            <w:r>
              <w:rPr>
                <w:rFonts w:ascii="Arial" w:cs="Arial" w:eastAsia="Arial" w:hAnsi="Arial"/>
                <w:sz w:val="14"/>
                <w:szCs w:val="14"/>
                <w:color w:val="231F20"/>
              </w:rPr>
              <w:t>—</w:t>
            </w:r>
          </w:p>
        </w:tc>
        <w:tc>
          <w:tcPr>
            <w:tcW w:w="1700" w:type="dxa"/>
            <w:vAlign w:val="bottom"/>
          </w:tcPr>
          <w:p>
            <w:pPr>
              <w:jc w:val="right"/>
              <w:ind w:right="172"/>
              <w:spacing w:after="0"/>
              <w:rPr>
                <w:sz w:val="20"/>
                <w:szCs w:val="20"/>
                <w:color w:val="auto"/>
              </w:rPr>
            </w:pPr>
            <w:r>
              <w:rPr>
                <w:rFonts w:ascii="Arial" w:cs="Arial" w:eastAsia="Arial" w:hAnsi="Arial"/>
                <w:sz w:val="14"/>
                <w:szCs w:val="14"/>
                <w:color w:val="231F20"/>
              </w:rPr>
              <w:t>2/28/2022</w:t>
            </w:r>
          </w:p>
        </w:tc>
        <w:tc>
          <w:tcPr>
            <w:tcW w:w="1200" w:type="dxa"/>
            <w:vAlign w:val="bottom"/>
          </w:tcPr>
          <w:p>
            <w:pPr>
              <w:jc w:val="right"/>
              <w:ind w:right="152"/>
              <w:spacing w:after="0"/>
              <w:rPr>
                <w:sz w:val="20"/>
                <w:szCs w:val="20"/>
                <w:color w:val="auto"/>
              </w:rPr>
            </w:pPr>
            <w:r>
              <w:rPr>
                <w:rFonts w:ascii="Arial" w:cs="Arial" w:eastAsia="Arial" w:hAnsi="Arial"/>
                <w:sz w:val="14"/>
                <w:szCs w:val="14"/>
                <w:color w:val="231F20"/>
              </w:rPr>
              <w:t>2/28/2022</w:t>
            </w:r>
          </w:p>
        </w:tc>
        <w:tc>
          <w:tcPr>
            <w:tcW w:w="780" w:type="dxa"/>
            <w:vAlign w:val="bottom"/>
          </w:tcPr>
          <w:p>
            <w:pPr>
              <w:jc w:val="right"/>
              <w:spacing w:after="0"/>
              <w:rPr>
                <w:sz w:val="20"/>
                <w:szCs w:val="20"/>
                <w:color w:val="auto"/>
              </w:rPr>
            </w:pPr>
            <w:r>
              <w:rPr>
                <w:rFonts w:ascii="Arial" w:cs="Arial" w:eastAsia="Arial" w:hAnsi="Arial"/>
                <w:sz w:val="14"/>
                <w:szCs w:val="14"/>
                <w:color w:val="231F20"/>
              </w:rPr>
              <w:t>3,666</w:t>
            </w:r>
          </w:p>
        </w:tc>
      </w:tr>
      <w:tr>
        <w:trPr>
          <w:trHeight w:val="33"/>
        </w:trPr>
        <w:tc>
          <w:tcPr>
            <w:tcW w:w="3840" w:type="dxa"/>
            <w:vAlign w:val="bottom"/>
          </w:tcPr>
          <w:p>
            <w:pPr>
              <w:spacing w:after="0"/>
              <w:rPr>
                <w:sz w:val="2"/>
                <w:szCs w:val="2"/>
                <w:color w:val="auto"/>
              </w:rPr>
            </w:pPr>
          </w:p>
        </w:tc>
        <w:tc>
          <w:tcPr>
            <w:tcW w:w="1500" w:type="dxa"/>
            <w:vAlign w:val="bottom"/>
            <w:tcBorders>
              <w:bottom w:val="single" w:sz="8" w:color="231F20"/>
            </w:tcBorders>
          </w:tcPr>
          <w:p>
            <w:pPr>
              <w:spacing w:after="0"/>
              <w:rPr>
                <w:sz w:val="2"/>
                <w:szCs w:val="2"/>
                <w:color w:val="auto"/>
              </w:rPr>
            </w:pPr>
          </w:p>
        </w:tc>
        <w:tc>
          <w:tcPr>
            <w:tcW w:w="1220" w:type="dxa"/>
            <w:vAlign w:val="bottom"/>
            <w:tcBorders>
              <w:bottom w:val="single" w:sz="8" w:color="231F20"/>
            </w:tcBorders>
          </w:tcPr>
          <w:p>
            <w:pPr>
              <w:spacing w:after="0"/>
              <w:rPr>
                <w:sz w:val="2"/>
                <w:szCs w:val="2"/>
                <w:color w:val="auto"/>
              </w:rPr>
            </w:pPr>
          </w:p>
        </w:tc>
        <w:tc>
          <w:tcPr>
            <w:tcW w:w="760" w:type="dxa"/>
            <w:vAlign w:val="bottom"/>
            <w:tcBorders>
              <w:bottom w:val="single" w:sz="8" w:color="231F20"/>
            </w:tcBorders>
          </w:tcPr>
          <w:p>
            <w:pPr>
              <w:spacing w:after="0"/>
              <w:rPr>
                <w:sz w:val="2"/>
                <w:szCs w:val="2"/>
                <w:color w:val="auto"/>
              </w:rPr>
            </w:pPr>
          </w:p>
        </w:tc>
        <w:tc>
          <w:tcPr>
            <w:tcW w:w="240" w:type="dxa"/>
            <w:vAlign w:val="bottom"/>
            <w:tcBorders>
              <w:bottom w:val="single" w:sz="8" w:color="231F20"/>
            </w:tcBorders>
          </w:tcPr>
          <w:p>
            <w:pPr>
              <w:spacing w:after="0"/>
              <w:rPr>
                <w:sz w:val="2"/>
                <w:szCs w:val="2"/>
                <w:color w:val="auto"/>
              </w:rPr>
            </w:pPr>
          </w:p>
        </w:tc>
        <w:tc>
          <w:tcPr>
            <w:tcW w:w="1700" w:type="dxa"/>
            <w:vAlign w:val="bottom"/>
            <w:tcBorders>
              <w:bottom w:val="single" w:sz="8" w:color="231F20"/>
            </w:tcBorders>
          </w:tcPr>
          <w:p>
            <w:pPr>
              <w:spacing w:after="0"/>
              <w:rPr>
                <w:sz w:val="2"/>
                <w:szCs w:val="2"/>
                <w:color w:val="auto"/>
              </w:rPr>
            </w:pPr>
          </w:p>
        </w:tc>
        <w:tc>
          <w:tcPr>
            <w:tcW w:w="1200" w:type="dxa"/>
            <w:vAlign w:val="bottom"/>
            <w:tcBorders>
              <w:bottom w:val="single" w:sz="8" w:color="231F20"/>
            </w:tcBorders>
          </w:tcPr>
          <w:p>
            <w:pPr>
              <w:spacing w:after="0"/>
              <w:rPr>
                <w:sz w:val="2"/>
                <w:szCs w:val="2"/>
                <w:color w:val="auto"/>
              </w:rPr>
            </w:pPr>
          </w:p>
        </w:tc>
        <w:tc>
          <w:tcPr>
            <w:tcW w:w="780" w:type="dxa"/>
            <w:vAlign w:val="bottom"/>
            <w:tcBorders>
              <w:bottom w:val="single" w:sz="8" w:color="231F20"/>
            </w:tcBorders>
          </w:tcPr>
          <w:p>
            <w:pPr>
              <w:spacing w:after="0"/>
              <w:rPr>
                <w:sz w:val="2"/>
                <w:szCs w:val="2"/>
                <w:color w:val="auto"/>
              </w:rPr>
            </w:pPr>
          </w:p>
        </w:tc>
      </w:tr>
      <w:tr>
        <w:trPr>
          <w:trHeight w:val="215"/>
        </w:trPr>
        <w:tc>
          <w:tcPr>
            <w:tcW w:w="3840" w:type="dxa"/>
            <w:vAlign w:val="bottom"/>
          </w:tcPr>
          <w:p>
            <w:pPr>
              <w:spacing w:after="0"/>
              <w:rPr>
                <w:sz w:val="18"/>
                <w:szCs w:val="18"/>
                <w:color w:val="auto"/>
              </w:rPr>
            </w:pPr>
          </w:p>
        </w:tc>
        <w:tc>
          <w:tcPr>
            <w:tcW w:w="1500" w:type="dxa"/>
            <w:vAlign w:val="bottom"/>
          </w:tcPr>
          <w:p>
            <w:pPr>
              <w:jc w:val="right"/>
              <w:ind w:right="212"/>
              <w:spacing w:after="0"/>
              <w:rPr>
                <w:sz w:val="20"/>
                <w:szCs w:val="20"/>
                <w:color w:val="auto"/>
              </w:rPr>
            </w:pPr>
            <w:r>
              <w:rPr>
                <w:rFonts w:ascii="Arial" w:cs="Arial" w:eastAsia="Arial" w:hAnsi="Arial"/>
                <w:sz w:val="14"/>
                <w:szCs w:val="14"/>
                <w:color w:val="231F20"/>
              </w:rPr>
              <w:t>12/31/2022</w:t>
            </w:r>
          </w:p>
        </w:tc>
        <w:tc>
          <w:tcPr>
            <w:tcW w:w="1220" w:type="dxa"/>
            <w:vAlign w:val="bottom"/>
          </w:tcPr>
          <w:p>
            <w:pPr>
              <w:jc w:val="right"/>
              <w:ind w:right="192"/>
              <w:spacing w:after="0"/>
              <w:rPr>
                <w:sz w:val="20"/>
                <w:szCs w:val="20"/>
                <w:color w:val="auto"/>
              </w:rPr>
            </w:pPr>
            <w:r>
              <w:rPr>
                <w:rFonts w:ascii="Arial" w:cs="Arial" w:eastAsia="Arial" w:hAnsi="Arial"/>
                <w:sz w:val="14"/>
                <w:szCs w:val="14"/>
                <w:color w:val="231F20"/>
              </w:rPr>
              <w:t>2/26/2023</w:t>
            </w:r>
          </w:p>
        </w:tc>
        <w:tc>
          <w:tcPr>
            <w:tcW w:w="1000" w:type="dxa"/>
            <w:vAlign w:val="bottom"/>
            <w:gridSpan w:val="2"/>
          </w:tcPr>
          <w:p>
            <w:pPr>
              <w:jc w:val="right"/>
              <w:ind w:right="240"/>
              <w:spacing w:after="0"/>
              <w:rPr>
                <w:sz w:val="20"/>
                <w:szCs w:val="20"/>
                <w:color w:val="auto"/>
              </w:rPr>
            </w:pPr>
            <w:r>
              <w:rPr>
                <w:rFonts w:ascii="Arial" w:cs="Arial" w:eastAsia="Arial" w:hAnsi="Arial"/>
                <w:sz w:val="14"/>
                <w:szCs w:val="14"/>
                <w:color w:val="231F20"/>
              </w:rPr>
              <w:t>7,049</w:t>
            </w:r>
          </w:p>
        </w:tc>
        <w:tc>
          <w:tcPr>
            <w:tcW w:w="1700" w:type="dxa"/>
            <w:vAlign w:val="bottom"/>
          </w:tcPr>
          <w:p>
            <w:pPr>
              <w:jc w:val="right"/>
              <w:ind w:right="172"/>
              <w:spacing w:after="0"/>
              <w:rPr>
                <w:sz w:val="20"/>
                <w:szCs w:val="20"/>
                <w:color w:val="auto"/>
              </w:rPr>
            </w:pPr>
            <w:r>
              <w:rPr>
                <w:rFonts w:ascii="Arial" w:cs="Arial" w:eastAsia="Arial" w:hAnsi="Arial"/>
                <w:sz w:val="14"/>
                <w:szCs w:val="14"/>
                <w:color w:val="231F20"/>
              </w:rPr>
              <w:t>2/26/2023</w:t>
            </w:r>
          </w:p>
        </w:tc>
        <w:tc>
          <w:tcPr>
            <w:tcW w:w="1200" w:type="dxa"/>
            <w:vAlign w:val="bottom"/>
          </w:tcPr>
          <w:p>
            <w:pPr>
              <w:jc w:val="right"/>
              <w:ind w:right="152"/>
              <w:spacing w:after="0"/>
              <w:rPr>
                <w:sz w:val="20"/>
                <w:szCs w:val="20"/>
                <w:color w:val="auto"/>
              </w:rPr>
            </w:pPr>
            <w:r>
              <w:rPr>
                <w:rFonts w:ascii="Arial" w:cs="Arial" w:eastAsia="Arial" w:hAnsi="Arial"/>
                <w:sz w:val="14"/>
                <w:szCs w:val="14"/>
                <w:color w:val="231F20"/>
              </w:rPr>
              <w:t>2/26/2023</w:t>
            </w:r>
          </w:p>
        </w:tc>
        <w:tc>
          <w:tcPr>
            <w:tcW w:w="780" w:type="dxa"/>
            <w:vAlign w:val="bottom"/>
          </w:tcPr>
          <w:p>
            <w:pPr>
              <w:jc w:val="right"/>
              <w:spacing w:after="0"/>
              <w:rPr>
                <w:sz w:val="20"/>
                <w:szCs w:val="20"/>
                <w:color w:val="auto"/>
              </w:rPr>
            </w:pPr>
            <w:r>
              <w:rPr>
                <w:rFonts w:ascii="Arial" w:cs="Arial" w:eastAsia="Arial" w:hAnsi="Arial"/>
                <w:sz w:val="14"/>
                <w:szCs w:val="14"/>
                <w:color w:val="231F20"/>
              </w:rPr>
              <w:t>4,056</w:t>
            </w:r>
          </w:p>
        </w:tc>
      </w:tr>
      <w:tr>
        <w:trPr>
          <w:trHeight w:val="33"/>
        </w:trPr>
        <w:tc>
          <w:tcPr>
            <w:tcW w:w="3840" w:type="dxa"/>
            <w:vAlign w:val="bottom"/>
            <w:tcBorders>
              <w:bottom w:val="single" w:sz="8" w:color="231F20"/>
            </w:tcBorders>
          </w:tcPr>
          <w:p>
            <w:pPr>
              <w:spacing w:after="0"/>
              <w:rPr>
                <w:sz w:val="2"/>
                <w:szCs w:val="2"/>
                <w:color w:val="auto"/>
              </w:rPr>
            </w:pPr>
          </w:p>
        </w:tc>
        <w:tc>
          <w:tcPr>
            <w:tcW w:w="1500" w:type="dxa"/>
            <w:vAlign w:val="bottom"/>
            <w:tcBorders>
              <w:bottom w:val="single" w:sz="8" w:color="231F20"/>
            </w:tcBorders>
          </w:tcPr>
          <w:p>
            <w:pPr>
              <w:spacing w:after="0"/>
              <w:rPr>
                <w:sz w:val="2"/>
                <w:szCs w:val="2"/>
                <w:color w:val="auto"/>
              </w:rPr>
            </w:pPr>
          </w:p>
        </w:tc>
        <w:tc>
          <w:tcPr>
            <w:tcW w:w="1220" w:type="dxa"/>
            <w:vAlign w:val="bottom"/>
            <w:tcBorders>
              <w:bottom w:val="single" w:sz="8" w:color="231F20"/>
            </w:tcBorders>
          </w:tcPr>
          <w:p>
            <w:pPr>
              <w:spacing w:after="0"/>
              <w:rPr>
                <w:sz w:val="2"/>
                <w:szCs w:val="2"/>
                <w:color w:val="auto"/>
              </w:rPr>
            </w:pPr>
          </w:p>
        </w:tc>
        <w:tc>
          <w:tcPr>
            <w:tcW w:w="760" w:type="dxa"/>
            <w:vAlign w:val="bottom"/>
            <w:tcBorders>
              <w:bottom w:val="single" w:sz="8" w:color="231F20"/>
            </w:tcBorders>
          </w:tcPr>
          <w:p>
            <w:pPr>
              <w:spacing w:after="0"/>
              <w:rPr>
                <w:sz w:val="2"/>
                <w:szCs w:val="2"/>
                <w:color w:val="auto"/>
              </w:rPr>
            </w:pPr>
          </w:p>
        </w:tc>
        <w:tc>
          <w:tcPr>
            <w:tcW w:w="240" w:type="dxa"/>
            <w:vAlign w:val="bottom"/>
            <w:tcBorders>
              <w:bottom w:val="single" w:sz="8" w:color="231F20"/>
            </w:tcBorders>
          </w:tcPr>
          <w:p>
            <w:pPr>
              <w:spacing w:after="0"/>
              <w:rPr>
                <w:sz w:val="2"/>
                <w:szCs w:val="2"/>
                <w:color w:val="auto"/>
              </w:rPr>
            </w:pPr>
          </w:p>
        </w:tc>
        <w:tc>
          <w:tcPr>
            <w:tcW w:w="1700" w:type="dxa"/>
            <w:vAlign w:val="bottom"/>
            <w:tcBorders>
              <w:bottom w:val="single" w:sz="8" w:color="231F20"/>
            </w:tcBorders>
          </w:tcPr>
          <w:p>
            <w:pPr>
              <w:spacing w:after="0"/>
              <w:rPr>
                <w:sz w:val="2"/>
                <w:szCs w:val="2"/>
                <w:color w:val="auto"/>
              </w:rPr>
            </w:pPr>
          </w:p>
        </w:tc>
        <w:tc>
          <w:tcPr>
            <w:tcW w:w="1200" w:type="dxa"/>
            <w:vAlign w:val="bottom"/>
            <w:tcBorders>
              <w:bottom w:val="single" w:sz="8" w:color="231F20"/>
            </w:tcBorders>
          </w:tcPr>
          <w:p>
            <w:pPr>
              <w:spacing w:after="0"/>
              <w:rPr>
                <w:sz w:val="2"/>
                <w:szCs w:val="2"/>
                <w:color w:val="auto"/>
              </w:rPr>
            </w:pPr>
          </w:p>
        </w:tc>
        <w:tc>
          <w:tcPr>
            <w:tcW w:w="780" w:type="dxa"/>
            <w:vAlign w:val="bottom"/>
            <w:tcBorders>
              <w:bottom w:val="single" w:sz="8" w:color="231F20"/>
            </w:tcBorders>
          </w:tcPr>
          <w:p>
            <w:pPr>
              <w:spacing w:after="0"/>
              <w:rPr>
                <w:sz w:val="2"/>
                <w:szCs w:val="2"/>
                <w:color w:val="auto"/>
              </w:rPr>
            </w:pPr>
          </w:p>
        </w:tc>
      </w:tr>
      <w:tr>
        <w:trPr>
          <w:trHeight w:val="221"/>
        </w:trPr>
        <w:tc>
          <w:tcPr>
            <w:tcW w:w="3840" w:type="dxa"/>
            <w:vAlign w:val="bottom"/>
          </w:tcPr>
          <w:p>
            <w:pPr>
              <w:spacing w:after="0"/>
              <w:rPr>
                <w:sz w:val="20"/>
                <w:szCs w:val="20"/>
                <w:color w:val="auto"/>
              </w:rPr>
            </w:pPr>
            <w:r>
              <w:rPr>
                <w:rFonts w:ascii="Arial" w:cs="Arial" w:eastAsia="Arial" w:hAnsi="Arial"/>
                <w:sz w:val="14"/>
                <w:szCs w:val="14"/>
                <w:b w:val="1"/>
                <w:bCs w:val="1"/>
                <w:color w:val="455986"/>
              </w:rPr>
              <w:t>Rhodes</w:t>
            </w:r>
          </w:p>
        </w:tc>
        <w:tc>
          <w:tcPr>
            <w:tcW w:w="1500" w:type="dxa"/>
            <w:vAlign w:val="bottom"/>
          </w:tcPr>
          <w:p>
            <w:pPr>
              <w:jc w:val="right"/>
              <w:ind w:right="212"/>
              <w:spacing w:after="0"/>
              <w:rPr>
                <w:sz w:val="20"/>
                <w:szCs w:val="20"/>
                <w:color w:val="auto"/>
              </w:rPr>
            </w:pPr>
            <w:r>
              <w:rPr>
                <w:rFonts w:ascii="Arial" w:cs="Arial" w:eastAsia="Arial" w:hAnsi="Arial"/>
                <w:sz w:val="14"/>
                <w:szCs w:val="14"/>
                <w:color w:val="231F20"/>
              </w:rPr>
              <w:t>12/31/2020</w:t>
            </w:r>
          </w:p>
        </w:tc>
        <w:tc>
          <w:tcPr>
            <w:tcW w:w="1220" w:type="dxa"/>
            <w:vAlign w:val="bottom"/>
          </w:tcPr>
          <w:p>
            <w:pPr>
              <w:jc w:val="right"/>
              <w:ind w:right="192"/>
              <w:spacing w:after="0"/>
              <w:rPr>
                <w:sz w:val="20"/>
                <w:szCs w:val="20"/>
                <w:color w:val="auto"/>
              </w:rPr>
            </w:pPr>
            <w:r>
              <w:rPr>
                <w:rFonts w:ascii="Arial" w:cs="Arial" w:eastAsia="Arial" w:hAnsi="Arial"/>
                <w:sz w:val="14"/>
                <w:szCs w:val="14"/>
                <w:color w:val="231F20"/>
              </w:rPr>
              <w:t>2/27/2021</w:t>
            </w:r>
          </w:p>
        </w:tc>
        <w:tc>
          <w:tcPr>
            <w:tcW w:w="1000" w:type="dxa"/>
            <w:vAlign w:val="bottom"/>
            <w:gridSpan w:val="2"/>
          </w:tcPr>
          <w:p>
            <w:pPr>
              <w:jc w:val="right"/>
              <w:ind w:right="240"/>
              <w:spacing w:after="0"/>
              <w:rPr>
                <w:sz w:val="20"/>
                <w:szCs w:val="20"/>
                <w:color w:val="auto"/>
              </w:rPr>
            </w:pPr>
            <w:r>
              <w:rPr>
                <w:rFonts w:ascii="Arial" w:cs="Arial" w:eastAsia="Arial" w:hAnsi="Arial"/>
                <w:sz w:val="14"/>
                <w:szCs w:val="14"/>
                <w:color w:val="231F20"/>
              </w:rPr>
              <w:t>8,020</w:t>
            </w:r>
          </w:p>
        </w:tc>
        <w:tc>
          <w:tcPr>
            <w:tcW w:w="1700" w:type="dxa"/>
            <w:vAlign w:val="bottom"/>
          </w:tcPr>
          <w:p>
            <w:pPr>
              <w:jc w:val="right"/>
              <w:ind w:right="172"/>
              <w:spacing w:after="0"/>
              <w:rPr>
                <w:sz w:val="20"/>
                <w:szCs w:val="20"/>
                <w:color w:val="auto"/>
              </w:rPr>
            </w:pPr>
            <w:r>
              <w:rPr>
                <w:rFonts w:ascii="Arial" w:cs="Arial" w:eastAsia="Arial" w:hAnsi="Arial"/>
                <w:sz w:val="14"/>
                <w:szCs w:val="14"/>
                <w:color w:val="231F20"/>
              </w:rPr>
              <w:t>2/27/2021</w:t>
            </w:r>
          </w:p>
        </w:tc>
        <w:tc>
          <w:tcPr>
            <w:tcW w:w="1200" w:type="dxa"/>
            <w:vAlign w:val="bottom"/>
          </w:tcPr>
          <w:p>
            <w:pPr>
              <w:jc w:val="right"/>
              <w:ind w:right="152"/>
              <w:spacing w:after="0"/>
              <w:rPr>
                <w:sz w:val="20"/>
                <w:szCs w:val="20"/>
                <w:color w:val="auto"/>
              </w:rPr>
            </w:pPr>
            <w:r>
              <w:rPr>
                <w:rFonts w:ascii="Arial" w:cs="Arial" w:eastAsia="Arial" w:hAnsi="Arial"/>
                <w:sz w:val="14"/>
                <w:szCs w:val="14"/>
                <w:color w:val="231F20"/>
              </w:rPr>
              <w:t>2/27/2021</w:t>
            </w:r>
          </w:p>
        </w:tc>
        <w:tc>
          <w:tcPr>
            <w:tcW w:w="780" w:type="dxa"/>
            <w:vAlign w:val="bottom"/>
          </w:tcPr>
          <w:p>
            <w:pPr>
              <w:jc w:val="right"/>
              <w:spacing w:after="0"/>
              <w:rPr>
                <w:sz w:val="20"/>
                <w:szCs w:val="20"/>
                <w:color w:val="auto"/>
              </w:rPr>
            </w:pPr>
            <w:r>
              <w:rPr>
                <w:rFonts w:ascii="Arial" w:cs="Arial" w:eastAsia="Arial" w:hAnsi="Arial"/>
                <w:sz w:val="14"/>
                <w:szCs w:val="14"/>
                <w:color w:val="231F20"/>
              </w:rPr>
              <w:t>2,605</w:t>
            </w:r>
          </w:p>
        </w:tc>
      </w:tr>
      <w:tr>
        <w:trPr>
          <w:trHeight w:val="27"/>
        </w:trPr>
        <w:tc>
          <w:tcPr>
            <w:tcW w:w="3840" w:type="dxa"/>
            <w:vAlign w:val="bottom"/>
          </w:tcPr>
          <w:p>
            <w:pPr>
              <w:spacing w:after="0"/>
              <w:rPr>
                <w:sz w:val="2"/>
                <w:szCs w:val="2"/>
                <w:color w:val="auto"/>
              </w:rPr>
            </w:pPr>
          </w:p>
        </w:tc>
        <w:tc>
          <w:tcPr>
            <w:tcW w:w="1500" w:type="dxa"/>
            <w:vAlign w:val="bottom"/>
            <w:tcBorders>
              <w:bottom w:val="single" w:sz="8" w:color="231F20"/>
            </w:tcBorders>
          </w:tcPr>
          <w:p>
            <w:pPr>
              <w:spacing w:after="0"/>
              <w:rPr>
                <w:sz w:val="2"/>
                <w:szCs w:val="2"/>
                <w:color w:val="auto"/>
              </w:rPr>
            </w:pPr>
          </w:p>
        </w:tc>
        <w:tc>
          <w:tcPr>
            <w:tcW w:w="1220" w:type="dxa"/>
            <w:vAlign w:val="bottom"/>
            <w:tcBorders>
              <w:bottom w:val="single" w:sz="8" w:color="231F20"/>
            </w:tcBorders>
          </w:tcPr>
          <w:p>
            <w:pPr>
              <w:spacing w:after="0"/>
              <w:rPr>
                <w:sz w:val="2"/>
                <w:szCs w:val="2"/>
                <w:color w:val="auto"/>
              </w:rPr>
            </w:pPr>
          </w:p>
        </w:tc>
        <w:tc>
          <w:tcPr>
            <w:tcW w:w="760" w:type="dxa"/>
            <w:vAlign w:val="bottom"/>
            <w:tcBorders>
              <w:bottom w:val="single" w:sz="8" w:color="231F20"/>
            </w:tcBorders>
          </w:tcPr>
          <w:p>
            <w:pPr>
              <w:spacing w:after="0"/>
              <w:rPr>
                <w:sz w:val="2"/>
                <w:szCs w:val="2"/>
                <w:color w:val="auto"/>
              </w:rPr>
            </w:pPr>
          </w:p>
        </w:tc>
        <w:tc>
          <w:tcPr>
            <w:tcW w:w="240" w:type="dxa"/>
            <w:vAlign w:val="bottom"/>
            <w:tcBorders>
              <w:bottom w:val="single" w:sz="8" w:color="231F20"/>
            </w:tcBorders>
          </w:tcPr>
          <w:p>
            <w:pPr>
              <w:spacing w:after="0"/>
              <w:rPr>
                <w:sz w:val="2"/>
                <w:szCs w:val="2"/>
                <w:color w:val="auto"/>
              </w:rPr>
            </w:pPr>
          </w:p>
        </w:tc>
        <w:tc>
          <w:tcPr>
            <w:tcW w:w="1700" w:type="dxa"/>
            <w:vAlign w:val="bottom"/>
            <w:tcBorders>
              <w:bottom w:val="single" w:sz="8" w:color="231F20"/>
            </w:tcBorders>
          </w:tcPr>
          <w:p>
            <w:pPr>
              <w:spacing w:after="0"/>
              <w:rPr>
                <w:sz w:val="2"/>
                <w:szCs w:val="2"/>
                <w:color w:val="auto"/>
              </w:rPr>
            </w:pPr>
          </w:p>
        </w:tc>
        <w:tc>
          <w:tcPr>
            <w:tcW w:w="1200" w:type="dxa"/>
            <w:vAlign w:val="bottom"/>
            <w:tcBorders>
              <w:bottom w:val="single" w:sz="8" w:color="231F20"/>
            </w:tcBorders>
          </w:tcPr>
          <w:p>
            <w:pPr>
              <w:spacing w:after="0"/>
              <w:rPr>
                <w:sz w:val="2"/>
                <w:szCs w:val="2"/>
                <w:color w:val="auto"/>
              </w:rPr>
            </w:pPr>
          </w:p>
        </w:tc>
        <w:tc>
          <w:tcPr>
            <w:tcW w:w="780" w:type="dxa"/>
            <w:vAlign w:val="bottom"/>
            <w:tcBorders>
              <w:bottom w:val="single" w:sz="8" w:color="231F20"/>
            </w:tcBorders>
          </w:tcPr>
          <w:p>
            <w:pPr>
              <w:spacing w:after="0"/>
              <w:rPr>
                <w:sz w:val="2"/>
                <w:szCs w:val="2"/>
                <w:color w:val="auto"/>
              </w:rPr>
            </w:pPr>
          </w:p>
        </w:tc>
      </w:tr>
      <w:tr>
        <w:trPr>
          <w:trHeight w:val="215"/>
        </w:trPr>
        <w:tc>
          <w:tcPr>
            <w:tcW w:w="3840" w:type="dxa"/>
            <w:vAlign w:val="bottom"/>
          </w:tcPr>
          <w:p>
            <w:pPr>
              <w:spacing w:after="0"/>
              <w:rPr>
                <w:sz w:val="18"/>
                <w:szCs w:val="18"/>
                <w:color w:val="auto"/>
              </w:rPr>
            </w:pPr>
          </w:p>
        </w:tc>
        <w:tc>
          <w:tcPr>
            <w:tcW w:w="1500" w:type="dxa"/>
            <w:vAlign w:val="bottom"/>
          </w:tcPr>
          <w:p>
            <w:pPr>
              <w:jc w:val="right"/>
              <w:ind w:right="212"/>
              <w:spacing w:after="0"/>
              <w:rPr>
                <w:sz w:val="20"/>
                <w:szCs w:val="20"/>
                <w:color w:val="auto"/>
              </w:rPr>
            </w:pPr>
            <w:r>
              <w:rPr>
                <w:rFonts w:ascii="Arial" w:cs="Arial" w:eastAsia="Arial" w:hAnsi="Arial"/>
                <w:sz w:val="14"/>
                <w:szCs w:val="14"/>
                <w:color w:val="231F20"/>
              </w:rPr>
              <w:t>—</w:t>
            </w:r>
          </w:p>
        </w:tc>
        <w:tc>
          <w:tcPr>
            <w:tcW w:w="1220" w:type="dxa"/>
            <w:vAlign w:val="bottom"/>
          </w:tcPr>
          <w:p>
            <w:pPr>
              <w:jc w:val="right"/>
              <w:ind w:right="192"/>
              <w:spacing w:after="0"/>
              <w:rPr>
                <w:sz w:val="20"/>
                <w:szCs w:val="20"/>
                <w:color w:val="auto"/>
              </w:rPr>
            </w:pPr>
            <w:r>
              <w:rPr>
                <w:rFonts w:ascii="Arial" w:cs="Arial" w:eastAsia="Arial" w:hAnsi="Arial"/>
                <w:sz w:val="14"/>
                <w:szCs w:val="14"/>
                <w:color w:val="231F20"/>
              </w:rPr>
              <w:t>—</w:t>
            </w:r>
          </w:p>
        </w:tc>
        <w:tc>
          <w:tcPr>
            <w:tcW w:w="1000" w:type="dxa"/>
            <w:vAlign w:val="bottom"/>
            <w:gridSpan w:val="2"/>
          </w:tcPr>
          <w:p>
            <w:pPr>
              <w:jc w:val="right"/>
              <w:ind w:right="240"/>
              <w:spacing w:after="0"/>
              <w:rPr>
                <w:sz w:val="20"/>
                <w:szCs w:val="20"/>
                <w:color w:val="auto"/>
              </w:rPr>
            </w:pPr>
            <w:r>
              <w:rPr>
                <w:rFonts w:ascii="Arial" w:cs="Arial" w:eastAsia="Arial" w:hAnsi="Arial"/>
                <w:sz w:val="14"/>
                <w:szCs w:val="14"/>
                <w:color w:val="231F20"/>
              </w:rPr>
              <w:t>—</w:t>
            </w:r>
          </w:p>
        </w:tc>
        <w:tc>
          <w:tcPr>
            <w:tcW w:w="1700" w:type="dxa"/>
            <w:vAlign w:val="bottom"/>
          </w:tcPr>
          <w:p>
            <w:pPr>
              <w:jc w:val="right"/>
              <w:ind w:right="172"/>
              <w:spacing w:after="0"/>
              <w:rPr>
                <w:sz w:val="20"/>
                <w:szCs w:val="20"/>
                <w:color w:val="auto"/>
              </w:rPr>
            </w:pPr>
            <w:r>
              <w:rPr>
                <w:rFonts w:ascii="Arial" w:cs="Arial" w:eastAsia="Arial" w:hAnsi="Arial"/>
                <w:sz w:val="14"/>
                <w:szCs w:val="14"/>
                <w:color w:val="231F20"/>
              </w:rPr>
              <w:t>2/28/2022</w:t>
            </w:r>
          </w:p>
        </w:tc>
        <w:tc>
          <w:tcPr>
            <w:tcW w:w="1200" w:type="dxa"/>
            <w:vAlign w:val="bottom"/>
          </w:tcPr>
          <w:p>
            <w:pPr>
              <w:jc w:val="right"/>
              <w:ind w:right="152"/>
              <w:spacing w:after="0"/>
              <w:rPr>
                <w:sz w:val="20"/>
                <w:szCs w:val="20"/>
                <w:color w:val="auto"/>
              </w:rPr>
            </w:pPr>
            <w:r>
              <w:rPr>
                <w:rFonts w:ascii="Arial" w:cs="Arial" w:eastAsia="Arial" w:hAnsi="Arial"/>
                <w:sz w:val="14"/>
                <w:szCs w:val="14"/>
                <w:color w:val="231F20"/>
              </w:rPr>
              <w:t>2/28/2022</w:t>
            </w:r>
          </w:p>
        </w:tc>
        <w:tc>
          <w:tcPr>
            <w:tcW w:w="780" w:type="dxa"/>
            <w:vAlign w:val="bottom"/>
          </w:tcPr>
          <w:p>
            <w:pPr>
              <w:jc w:val="right"/>
              <w:spacing w:after="0"/>
              <w:rPr>
                <w:sz w:val="20"/>
                <w:szCs w:val="20"/>
                <w:color w:val="auto"/>
              </w:rPr>
            </w:pPr>
            <w:r>
              <w:rPr>
                <w:rFonts w:ascii="Arial" w:cs="Arial" w:eastAsia="Arial" w:hAnsi="Arial"/>
                <w:sz w:val="14"/>
                <w:szCs w:val="14"/>
                <w:color w:val="231F20"/>
              </w:rPr>
              <w:t>2,846</w:t>
            </w:r>
          </w:p>
        </w:tc>
      </w:tr>
      <w:tr>
        <w:trPr>
          <w:trHeight w:val="33"/>
        </w:trPr>
        <w:tc>
          <w:tcPr>
            <w:tcW w:w="3840" w:type="dxa"/>
            <w:vAlign w:val="bottom"/>
          </w:tcPr>
          <w:p>
            <w:pPr>
              <w:spacing w:after="0"/>
              <w:rPr>
                <w:sz w:val="2"/>
                <w:szCs w:val="2"/>
                <w:color w:val="auto"/>
              </w:rPr>
            </w:pPr>
          </w:p>
        </w:tc>
        <w:tc>
          <w:tcPr>
            <w:tcW w:w="1500" w:type="dxa"/>
            <w:vAlign w:val="bottom"/>
            <w:tcBorders>
              <w:bottom w:val="single" w:sz="8" w:color="231F20"/>
            </w:tcBorders>
          </w:tcPr>
          <w:p>
            <w:pPr>
              <w:spacing w:after="0"/>
              <w:rPr>
                <w:sz w:val="2"/>
                <w:szCs w:val="2"/>
                <w:color w:val="auto"/>
              </w:rPr>
            </w:pPr>
          </w:p>
        </w:tc>
        <w:tc>
          <w:tcPr>
            <w:tcW w:w="1220" w:type="dxa"/>
            <w:vAlign w:val="bottom"/>
            <w:tcBorders>
              <w:bottom w:val="single" w:sz="8" w:color="231F20"/>
            </w:tcBorders>
          </w:tcPr>
          <w:p>
            <w:pPr>
              <w:spacing w:after="0"/>
              <w:rPr>
                <w:sz w:val="2"/>
                <w:szCs w:val="2"/>
                <w:color w:val="auto"/>
              </w:rPr>
            </w:pPr>
          </w:p>
        </w:tc>
        <w:tc>
          <w:tcPr>
            <w:tcW w:w="760" w:type="dxa"/>
            <w:vAlign w:val="bottom"/>
            <w:tcBorders>
              <w:bottom w:val="single" w:sz="8" w:color="231F20"/>
            </w:tcBorders>
          </w:tcPr>
          <w:p>
            <w:pPr>
              <w:spacing w:after="0"/>
              <w:rPr>
                <w:sz w:val="2"/>
                <w:szCs w:val="2"/>
                <w:color w:val="auto"/>
              </w:rPr>
            </w:pPr>
          </w:p>
        </w:tc>
        <w:tc>
          <w:tcPr>
            <w:tcW w:w="240" w:type="dxa"/>
            <w:vAlign w:val="bottom"/>
            <w:tcBorders>
              <w:bottom w:val="single" w:sz="8" w:color="231F20"/>
            </w:tcBorders>
          </w:tcPr>
          <w:p>
            <w:pPr>
              <w:spacing w:after="0"/>
              <w:rPr>
                <w:sz w:val="2"/>
                <w:szCs w:val="2"/>
                <w:color w:val="auto"/>
              </w:rPr>
            </w:pPr>
          </w:p>
        </w:tc>
        <w:tc>
          <w:tcPr>
            <w:tcW w:w="1700" w:type="dxa"/>
            <w:vAlign w:val="bottom"/>
            <w:tcBorders>
              <w:bottom w:val="single" w:sz="8" w:color="231F20"/>
            </w:tcBorders>
          </w:tcPr>
          <w:p>
            <w:pPr>
              <w:spacing w:after="0"/>
              <w:rPr>
                <w:sz w:val="2"/>
                <w:szCs w:val="2"/>
                <w:color w:val="auto"/>
              </w:rPr>
            </w:pPr>
          </w:p>
        </w:tc>
        <w:tc>
          <w:tcPr>
            <w:tcW w:w="1200" w:type="dxa"/>
            <w:vAlign w:val="bottom"/>
            <w:tcBorders>
              <w:bottom w:val="single" w:sz="8" w:color="231F20"/>
            </w:tcBorders>
          </w:tcPr>
          <w:p>
            <w:pPr>
              <w:spacing w:after="0"/>
              <w:rPr>
                <w:sz w:val="2"/>
                <w:szCs w:val="2"/>
                <w:color w:val="auto"/>
              </w:rPr>
            </w:pPr>
          </w:p>
        </w:tc>
        <w:tc>
          <w:tcPr>
            <w:tcW w:w="780" w:type="dxa"/>
            <w:vAlign w:val="bottom"/>
            <w:tcBorders>
              <w:bottom w:val="single" w:sz="8" w:color="231F20"/>
            </w:tcBorders>
          </w:tcPr>
          <w:p>
            <w:pPr>
              <w:spacing w:after="0"/>
              <w:rPr>
                <w:sz w:val="2"/>
                <w:szCs w:val="2"/>
                <w:color w:val="auto"/>
              </w:rPr>
            </w:pPr>
          </w:p>
        </w:tc>
      </w:tr>
      <w:tr>
        <w:trPr>
          <w:trHeight w:val="215"/>
        </w:trPr>
        <w:tc>
          <w:tcPr>
            <w:tcW w:w="3840" w:type="dxa"/>
            <w:vAlign w:val="bottom"/>
          </w:tcPr>
          <w:p>
            <w:pPr>
              <w:spacing w:after="0"/>
              <w:rPr>
                <w:sz w:val="18"/>
                <w:szCs w:val="18"/>
                <w:color w:val="auto"/>
              </w:rPr>
            </w:pPr>
          </w:p>
        </w:tc>
        <w:tc>
          <w:tcPr>
            <w:tcW w:w="1500" w:type="dxa"/>
            <w:vAlign w:val="bottom"/>
          </w:tcPr>
          <w:p>
            <w:pPr>
              <w:jc w:val="right"/>
              <w:ind w:right="212"/>
              <w:spacing w:after="0"/>
              <w:rPr>
                <w:sz w:val="20"/>
                <w:szCs w:val="20"/>
                <w:color w:val="auto"/>
              </w:rPr>
            </w:pPr>
            <w:r>
              <w:rPr>
                <w:rFonts w:ascii="Arial" w:cs="Arial" w:eastAsia="Arial" w:hAnsi="Arial"/>
                <w:sz w:val="14"/>
                <w:szCs w:val="14"/>
                <w:color w:val="231F20"/>
              </w:rPr>
              <w:t>12/31/2022</w:t>
            </w:r>
          </w:p>
        </w:tc>
        <w:tc>
          <w:tcPr>
            <w:tcW w:w="1220" w:type="dxa"/>
            <w:vAlign w:val="bottom"/>
          </w:tcPr>
          <w:p>
            <w:pPr>
              <w:jc w:val="right"/>
              <w:ind w:right="192"/>
              <w:spacing w:after="0"/>
              <w:rPr>
                <w:sz w:val="20"/>
                <w:szCs w:val="20"/>
                <w:color w:val="auto"/>
              </w:rPr>
            </w:pPr>
            <w:r>
              <w:rPr>
                <w:rFonts w:ascii="Arial" w:cs="Arial" w:eastAsia="Arial" w:hAnsi="Arial"/>
                <w:sz w:val="14"/>
                <w:szCs w:val="14"/>
                <w:color w:val="231F20"/>
              </w:rPr>
              <w:t>2/26/2023</w:t>
            </w:r>
          </w:p>
        </w:tc>
        <w:tc>
          <w:tcPr>
            <w:tcW w:w="1000" w:type="dxa"/>
            <w:vAlign w:val="bottom"/>
            <w:gridSpan w:val="2"/>
          </w:tcPr>
          <w:p>
            <w:pPr>
              <w:jc w:val="right"/>
              <w:ind w:right="240"/>
              <w:spacing w:after="0"/>
              <w:rPr>
                <w:sz w:val="20"/>
                <w:szCs w:val="20"/>
                <w:color w:val="auto"/>
              </w:rPr>
            </w:pPr>
            <w:r>
              <w:rPr>
                <w:rFonts w:ascii="Arial" w:cs="Arial" w:eastAsia="Arial" w:hAnsi="Arial"/>
                <w:sz w:val="14"/>
                <w:szCs w:val="14"/>
                <w:color w:val="231F20"/>
              </w:rPr>
              <w:t>5,458</w:t>
            </w:r>
          </w:p>
        </w:tc>
        <w:tc>
          <w:tcPr>
            <w:tcW w:w="1700" w:type="dxa"/>
            <w:vAlign w:val="bottom"/>
          </w:tcPr>
          <w:p>
            <w:pPr>
              <w:jc w:val="right"/>
              <w:ind w:right="172"/>
              <w:spacing w:after="0"/>
              <w:rPr>
                <w:sz w:val="20"/>
                <w:szCs w:val="20"/>
                <w:color w:val="auto"/>
              </w:rPr>
            </w:pPr>
            <w:r>
              <w:rPr>
                <w:rFonts w:ascii="Arial" w:cs="Arial" w:eastAsia="Arial" w:hAnsi="Arial"/>
                <w:sz w:val="14"/>
                <w:szCs w:val="14"/>
                <w:color w:val="231F20"/>
              </w:rPr>
              <w:t>2/26/2023</w:t>
            </w:r>
          </w:p>
        </w:tc>
        <w:tc>
          <w:tcPr>
            <w:tcW w:w="1200" w:type="dxa"/>
            <w:vAlign w:val="bottom"/>
          </w:tcPr>
          <w:p>
            <w:pPr>
              <w:jc w:val="right"/>
              <w:ind w:right="152"/>
              <w:spacing w:after="0"/>
              <w:rPr>
                <w:sz w:val="20"/>
                <w:szCs w:val="20"/>
                <w:color w:val="auto"/>
              </w:rPr>
            </w:pPr>
            <w:r>
              <w:rPr>
                <w:rFonts w:ascii="Arial" w:cs="Arial" w:eastAsia="Arial" w:hAnsi="Arial"/>
                <w:sz w:val="14"/>
                <w:szCs w:val="14"/>
                <w:color w:val="231F20"/>
              </w:rPr>
              <w:t>2/26/2023</w:t>
            </w:r>
          </w:p>
        </w:tc>
        <w:tc>
          <w:tcPr>
            <w:tcW w:w="780" w:type="dxa"/>
            <w:vAlign w:val="bottom"/>
          </w:tcPr>
          <w:p>
            <w:pPr>
              <w:jc w:val="right"/>
              <w:spacing w:after="0"/>
              <w:rPr>
                <w:sz w:val="20"/>
                <w:szCs w:val="20"/>
                <w:color w:val="auto"/>
              </w:rPr>
            </w:pPr>
            <w:r>
              <w:rPr>
                <w:rFonts w:ascii="Arial" w:cs="Arial" w:eastAsia="Arial" w:hAnsi="Arial"/>
                <w:sz w:val="14"/>
                <w:szCs w:val="14"/>
                <w:color w:val="231F20"/>
              </w:rPr>
              <w:t>3,140</w:t>
            </w:r>
          </w:p>
        </w:tc>
      </w:tr>
      <w:tr>
        <w:trPr>
          <w:trHeight w:val="33"/>
        </w:trPr>
        <w:tc>
          <w:tcPr>
            <w:tcW w:w="3840" w:type="dxa"/>
            <w:vAlign w:val="bottom"/>
            <w:tcBorders>
              <w:bottom w:val="single" w:sz="8" w:color="231F20"/>
            </w:tcBorders>
          </w:tcPr>
          <w:p>
            <w:pPr>
              <w:spacing w:after="0"/>
              <w:rPr>
                <w:sz w:val="2"/>
                <w:szCs w:val="2"/>
                <w:color w:val="auto"/>
              </w:rPr>
            </w:pPr>
          </w:p>
        </w:tc>
        <w:tc>
          <w:tcPr>
            <w:tcW w:w="1500" w:type="dxa"/>
            <w:vAlign w:val="bottom"/>
            <w:tcBorders>
              <w:bottom w:val="single" w:sz="8" w:color="231F20"/>
            </w:tcBorders>
          </w:tcPr>
          <w:p>
            <w:pPr>
              <w:spacing w:after="0"/>
              <w:rPr>
                <w:sz w:val="2"/>
                <w:szCs w:val="2"/>
                <w:color w:val="auto"/>
              </w:rPr>
            </w:pPr>
          </w:p>
        </w:tc>
        <w:tc>
          <w:tcPr>
            <w:tcW w:w="1220" w:type="dxa"/>
            <w:vAlign w:val="bottom"/>
            <w:tcBorders>
              <w:bottom w:val="single" w:sz="8" w:color="231F20"/>
            </w:tcBorders>
          </w:tcPr>
          <w:p>
            <w:pPr>
              <w:spacing w:after="0"/>
              <w:rPr>
                <w:sz w:val="2"/>
                <w:szCs w:val="2"/>
                <w:color w:val="auto"/>
              </w:rPr>
            </w:pPr>
          </w:p>
        </w:tc>
        <w:tc>
          <w:tcPr>
            <w:tcW w:w="760" w:type="dxa"/>
            <w:vAlign w:val="bottom"/>
            <w:tcBorders>
              <w:bottom w:val="single" w:sz="8" w:color="231F20"/>
            </w:tcBorders>
          </w:tcPr>
          <w:p>
            <w:pPr>
              <w:spacing w:after="0"/>
              <w:rPr>
                <w:sz w:val="2"/>
                <w:szCs w:val="2"/>
                <w:color w:val="auto"/>
              </w:rPr>
            </w:pPr>
          </w:p>
        </w:tc>
        <w:tc>
          <w:tcPr>
            <w:tcW w:w="240" w:type="dxa"/>
            <w:vAlign w:val="bottom"/>
            <w:tcBorders>
              <w:bottom w:val="single" w:sz="8" w:color="231F20"/>
            </w:tcBorders>
          </w:tcPr>
          <w:p>
            <w:pPr>
              <w:spacing w:after="0"/>
              <w:rPr>
                <w:sz w:val="2"/>
                <w:szCs w:val="2"/>
                <w:color w:val="auto"/>
              </w:rPr>
            </w:pPr>
          </w:p>
        </w:tc>
        <w:tc>
          <w:tcPr>
            <w:tcW w:w="1700" w:type="dxa"/>
            <w:vAlign w:val="bottom"/>
            <w:tcBorders>
              <w:bottom w:val="single" w:sz="8" w:color="231F20"/>
            </w:tcBorders>
          </w:tcPr>
          <w:p>
            <w:pPr>
              <w:spacing w:after="0"/>
              <w:rPr>
                <w:sz w:val="2"/>
                <w:szCs w:val="2"/>
                <w:color w:val="auto"/>
              </w:rPr>
            </w:pPr>
          </w:p>
        </w:tc>
        <w:tc>
          <w:tcPr>
            <w:tcW w:w="1200" w:type="dxa"/>
            <w:vAlign w:val="bottom"/>
            <w:tcBorders>
              <w:bottom w:val="single" w:sz="8" w:color="231F20"/>
            </w:tcBorders>
          </w:tcPr>
          <w:p>
            <w:pPr>
              <w:spacing w:after="0"/>
              <w:rPr>
                <w:sz w:val="2"/>
                <w:szCs w:val="2"/>
                <w:color w:val="auto"/>
              </w:rPr>
            </w:pPr>
          </w:p>
        </w:tc>
        <w:tc>
          <w:tcPr>
            <w:tcW w:w="780" w:type="dxa"/>
            <w:vAlign w:val="bottom"/>
            <w:tcBorders>
              <w:bottom w:val="single" w:sz="8" w:color="231F20"/>
            </w:tcBorders>
          </w:tcPr>
          <w:p>
            <w:pPr>
              <w:spacing w:after="0"/>
              <w:rPr>
                <w:sz w:val="2"/>
                <w:szCs w:val="2"/>
                <w:color w:val="auto"/>
              </w:rPr>
            </w:pPr>
          </w:p>
        </w:tc>
      </w:tr>
      <w:tr>
        <w:trPr>
          <w:trHeight w:val="221"/>
        </w:trPr>
        <w:tc>
          <w:tcPr>
            <w:tcW w:w="3840" w:type="dxa"/>
            <w:vAlign w:val="bottom"/>
          </w:tcPr>
          <w:p>
            <w:pPr>
              <w:spacing w:after="0"/>
              <w:rPr>
                <w:sz w:val="20"/>
                <w:szCs w:val="20"/>
                <w:color w:val="auto"/>
              </w:rPr>
            </w:pPr>
            <w:r>
              <w:rPr>
                <w:rFonts w:ascii="Arial" w:cs="Arial" w:eastAsia="Arial" w:hAnsi="Arial"/>
                <w:sz w:val="14"/>
                <w:szCs w:val="14"/>
                <w:b w:val="1"/>
                <w:bCs w:val="1"/>
                <w:color w:val="455986"/>
              </w:rPr>
              <w:t>Luning</w:t>
            </w:r>
          </w:p>
        </w:tc>
        <w:tc>
          <w:tcPr>
            <w:tcW w:w="1500" w:type="dxa"/>
            <w:vAlign w:val="bottom"/>
          </w:tcPr>
          <w:p>
            <w:pPr>
              <w:jc w:val="right"/>
              <w:ind w:right="212"/>
              <w:spacing w:after="0"/>
              <w:rPr>
                <w:sz w:val="20"/>
                <w:szCs w:val="20"/>
                <w:color w:val="auto"/>
              </w:rPr>
            </w:pPr>
            <w:r>
              <w:rPr>
                <w:rFonts w:ascii="Arial" w:cs="Arial" w:eastAsia="Arial" w:hAnsi="Arial"/>
                <w:sz w:val="14"/>
                <w:szCs w:val="14"/>
                <w:color w:val="231F20"/>
              </w:rPr>
              <w:t>12/31/2020</w:t>
            </w:r>
          </w:p>
        </w:tc>
        <w:tc>
          <w:tcPr>
            <w:tcW w:w="1220" w:type="dxa"/>
            <w:vAlign w:val="bottom"/>
          </w:tcPr>
          <w:p>
            <w:pPr>
              <w:jc w:val="right"/>
              <w:ind w:right="192"/>
              <w:spacing w:after="0"/>
              <w:rPr>
                <w:sz w:val="20"/>
                <w:szCs w:val="20"/>
                <w:color w:val="auto"/>
              </w:rPr>
            </w:pPr>
            <w:r>
              <w:rPr>
                <w:rFonts w:ascii="Arial" w:cs="Arial" w:eastAsia="Arial" w:hAnsi="Arial"/>
                <w:sz w:val="14"/>
                <w:szCs w:val="14"/>
                <w:color w:val="231F20"/>
              </w:rPr>
              <w:t>2/27/2021</w:t>
            </w:r>
          </w:p>
        </w:tc>
        <w:tc>
          <w:tcPr>
            <w:tcW w:w="1000" w:type="dxa"/>
            <w:vAlign w:val="bottom"/>
            <w:gridSpan w:val="2"/>
          </w:tcPr>
          <w:p>
            <w:pPr>
              <w:jc w:val="right"/>
              <w:ind w:right="240"/>
              <w:spacing w:after="0"/>
              <w:rPr>
                <w:sz w:val="20"/>
                <w:szCs w:val="20"/>
                <w:color w:val="auto"/>
              </w:rPr>
            </w:pPr>
            <w:r>
              <w:rPr>
                <w:rFonts w:ascii="Arial" w:cs="Arial" w:eastAsia="Arial" w:hAnsi="Arial"/>
                <w:sz w:val="14"/>
                <w:szCs w:val="14"/>
                <w:color w:val="231F20"/>
              </w:rPr>
              <w:t>6,875</w:t>
            </w:r>
          </w:p>
        </w:tc>
        <w:tc>
          <w:tcPr>
            <w:tcW w:w="1700" w:type="dxa"/>
            <w:vAlign w:val="bottom"/>
          </w:tcPr>
          <w:p>
            <w:pPr>
              <w:jc w:val="right"/>
              <w:ind w:right="172"/>
              <w:spacing w:after="0"/>
              <w:rPr>
                <w:sz w:val="20"/>
                <w:szCs w:val="20"/>
                <w:color w:val="auto"/>
              </w:rPr>
            </w:pPr>
            <w:r>
              <w:rPr>
                <w:rFonts w:ascii="Arial" w:cs="Arial" w:eastAsia="Arial" w:hAnsi="Arial"/>
                <w:sz w:val="14"/>
                <w:szCs w:val="14"/>
                <w:color w:val="231F20"/>
              </w:rPr>
              <w:t>2/27/2021</w:t>
            </w:r>
          </w:p>
        </w:tc>
        <w:tc>
          <w:tcPr>
            <w:tcW w:w="1200" w:type="dxa"/>
            <w:vAlign w:val="bottom"/>
          </w:tcPr>
          <w:p>
            <w:pPr>
              <w:jc w:val="right"/>
              <w:ind w:right="152"/>
              <w:spacing w:after="0"/>
              <w:rPr>
                <w:sz w:val="20"/>
                <w:szCs w:val="20"/>
                <w:color w:val="auto"/>
              </w:rPr>
            </w:pPr>
            <w:r>
              <w:rPr>
                <w:rFonts w:ascii="Arial" w:cs="Arial" w:eastAsia="Arial" w:hAnsi="Arial"/>
                <w:sz w:val="14"/>
                <w:szCs w:val="14"/>
                <w:color w:val="231F20"/>
              </w:rPr>
              <w:t>2/27/2021</w:t>
            </w:r>
          </w:p>
        </w:tc>
        <w:tc>
          <w:tcPr>
            <w:tcW w:w="780" w:type="dxa"/>
            <w:vAlign w:val="bottom"/>
          </w:tcPr>
          <w:p>
            <w:pPr>
              <w:jc w:val="right"/>
              <w:spacing w:after="0"/>
              <w:rPr>
                <w:sz w:val="20"/>
                <w:szCs w:val="20"/>
                <w:color w:val="auto"/>
              </w:rPr>
            </w:pPr>
            <w:r>
              <w:rPr>
                <w:rFonts w:ascii="Arial" w:cs="Arial" w:eastAsia="Arial" w:hAnsi="Arial"/>
                <w:sz w:val="14"/>
                <w:szCs w:val="14"/>
                <w:color w:val="231F20"/>
              </w:rPr>
              <w:t>2,616</w:t>
            </w:r>
          </w:p>
        </w:tc>
      </w:tr>
      <w:tr>
        <w:trPr>
          <w:trHeight w:val="27"/>
        </w:trPr>
        <w:tc>
          <w:tcPr>
            <w:tcW w:w="3840" w:type="dxa"/>
            <w:vAlign w:val="bottom"/>
          </w:tcPr>
          <w:p>
            <w:pPr>
              <w:spacing w:after="0"/>
              <w:rPr>
                <w:sz w:val="2"/>
                <w:szCs w:val="2"/>
                <w:color w:val="auto"/>
              </w:rPr>
            </w:pPr>
          </w:p>
        </w:tc>
        <w:tc>
          <w:tcPr>
            <w:tcW w:w="1500" w:type="dxa"/>
            <w:vAlign w:val="bottom"/>
            <w:tcBorders>
              <w:bottom w:val="single" w:sz="8" w:color="231F20"/>
            </w:tcBorders>
          </w:tcPr>
          <w:p>
            <w:pPr>
              <w:spacing w:after="0"/>
              <w:rPr>
                <w:sz w:val="2"/>
                <w:szCs w:val="2"/>
                <w:color w:val="auto"/>
              </w:rPr>
            </w:pPr>
          </w:p>
        </w:tc>
        <w:tc>
          <w:tcPr>
            <w:tcW w:w="1220" w:type="dxa"/>
            <w:vAlign w:val="bottom"/>
            <w:tcBorders>
              <w:bottom w:val="single" w:sz="8" w:color="231F20"/>
            </w:tcBorders>
          </w:tcPr>
          <w:p>
            <w:pPr>
              <w:spacing w:after="0"/>
              <w:rPr>
                <w:sz w:val="2"/>
                <w:szCs w:val="2"/>
                <w:color w:val="auto"/>
              </w:rPr>
            </w:pPr>
          </w:p>
        </w:tc>
        <w:tc>
          <w:tcPr>
            <w:tcW w:w="760" w:type="dxa"/>
            <w:vAlign w:val="bottom"/>
            <w:tcBorders>
              <w:bottom w:val="single" w:sz="8" w:color="231F20"/>
            </w:tcBorders>
          </w:tcPr>
          <w:p>
            <w:pPr>
              <w:spacing w:after="0"/>
              <w:rPr>
                <w:sz w:val="2"/>
                <w:szCs w:val="2"/>
                <w:color w:val="auto"/>
              </w:rPr>
            </w:pPr>
          </w:p>
        </w:tc>
        <w:tc>
          <w:tcPr>
            <w:tcW w:w="240" w:type="dxa"/>
            <w:vAlign w:val="bottom"/>
            <w:tcBorders>
              <w:bottom w:val="single" w:sz="8" w:color="231F20"/>
            </w:tcBorders>
          </w:tcPr>
          <w:p>
            <w:pPr>
              <w:spacing w:after="0"/>
              <w:rPr>
                <w:sz w:val="2"/>
                <w:szCs w:val="2"/>
                <w:color w:val="auto"/>
              </w:rPr>
            </w:pPr>
          </w:p>
        </w:tc>
        <w:tc>
          <w:tcPr>
            <w:tcW w:w="1700" w:type="dxa"/>
            <w:vAlign w:val="bottom"/>
            <w:tcBorders>
              <w:bottom w:val="single" w:sz="8" w:color="231F20"/>
            </w:tcBorders>
          </w:tcPr>
          <w:p>
            <w:pPr>
              <w:spacing w:after="0"/>
              <w:rPr>
                <w:sz w:val="2"/>
                <w:szCs w:val="2"/>
                <w:color w:val="auto"/>
              </w:rPr>
            </w:pPr>
          </w:p>
        </w:tc>
        <w:tc>
          <w:tcPr>
            <w:tcW w:w="1200" w:type="dxa"/>
            <w:vAlign w:val="bottom"/>
            <w:tcBorders>
              <w:bottom w:val="single" w:sz="8" w:color="231F20"/>
            </w:tcBorders>
          </w:tcPr>
          <w:p>
            <w:pPr>
              <w:spacing w:after="0"/>
              <w:rPr>
                <w:sz w:val="2"/>
                <w:szCs w:val="2"/>
                <w:color w:val="auto"/>
              </w:rPr>
            </w:pPr>
          </w:p>
        </w:tc>
        <w:tc>
          <w:tcPr>
            <w:tcW w:w="780" w:type="dxa"/>
            <w:vAlign w:val="bottom"/>
            <w:tcBorders>
              <w:bottom w:val="single" w:sz="8" w:color="231F20"/>
            </w:tcBorders>
          </w:tcPr>
          <w:p>
            <w:pPr>
              <w:spacing w:after="0"/>
              <w:rPr>
                <w:sz w:val="2"/>
                <w:szCs w:val="2"/>
                <w:color w:val="auto"/>
              </w:rPr>
            </w:pPr>
          </w:p>
        </w:tc>
      </w:tr>
      <w:tr>
        <w:trPr>
          <w:trHeight w:val="215"/>
        </w:trPr>
        <w:tc>
          <w:tcPr>
            <w:tcW w:w="3840" w:type="dxa"/>
            <w:vAlign w:val="bottom"/>
          </w:tcPr>
          <w:p>
            <w:pPr>
              <w:spacing w:after="0"/>
              <w:rPr>
                <w:sz w:val="18"/>
                <w:szCs w:val="18"/>
                <w:color w:val="auto"/>
              </w:rPr>
            </w:pPr>
          </w:p>
        </w:tc>
        <w:tc>
          <w:tcPr>
            <w:tcW w:w="1500" w:type="dxa"/>
            <w:vAlign w:val="bottom"/>
          </w:tcPr>
          <w:p>
            <w:pPr>
              <w:jc w:val="right"/>
              <w:ind w:right="212"/>
              <w:spacing w:after="0"/>
              <w:rPr>
                <w:sz w:val="20"/>
                <w:szCs w:val="20"/>
                <w:color w:val="auto"/>
              </w:rPr>
            </w:pPr>
            <w:r>
              <w:rPr>
                <w:rFonts w:ascii="Arial" w:cs="Arial" w:eastAsia="Arial" w:hAnsi="Arial"/>
                <w:sz w:val="14"/>
                <w:szCs w:val="14"/>
                <w:color w:val="231F20"/>
              </w:rPr>
              <w:t>—</w:t>
            </w:r>
          </w:p>
        </w:tc>
        <w:tc>
          <w:tcPr>
            <w:tcW w:w="1220" w:type="dxa"/>
            <w:vAlign w:val="bottom"/>
          </w:tcPr>
          <w:p>
            <w:pPr>
              <w:jc w:val="right"/>
              <w:ind w:right="192"/>
              <w:spacing w:after="0"/>
              <w:rPr>
                <w:sz w:val="20"/>
                <w:szCs w:val="20"/>
                <w:color w:val="auto"/>
              </w:rPr>
            </w:pPr>
            <w:r>
              <w:rPr>
                <w:rFonts w:ascii="Arial" w:cs="Arial" w:eastAsia="Arial" w:hAnsi="Arial"/>
                <w:sz w:val="14"/>
                <w:szCs w:val="14"/>
                <w:color w:val="231F20"/>
              </w:rPr>
              <w:t>—</w:t>
            </w:r>
          </w:p>
        </w:tc>
        <w:tc>
          <w:tcPr>
            <w:tcW w:w="1000" w:type="dxa"/>
            <w:vAlign w:val="bottom"/>
            <w:gridSpan w:val="2"/>
          </w:tcPr>
          <w:p>
            <w:pPr>
              <w:jc w:val="right"/>
              <w:ind w:right="240"/>
              <w:spacing w:after="0"/>
              <w:rPr>
                <w:sz w:val="20"/>
                <w:szCs w:val="20"/>
                <w:color w:val="auto"/>
              </w:rPr>
            </w:pPr>
            <w:r>
              <w:rPr>
                <w:rFonts w:ascii="Arial" w:cs="Arial" w:eastAsia="Arial" w:hAnsi="Arial"/>
                <w:sz w:val="14"/>
                <w:szCs w:val="14"/>
                <w:color w:val="231F20"/>
              </w:rPr>
              <w:t>—</w:t>
            </w:r>
          </w:p>
        </w:tc>
        <w:tc>
          <w:tcPr>
            <w:tcW w:w="1700" w:type="dxa"/>
            <w:vAlign w:val="bottom"/>
          </w:tcPr>
          <w:p>
            <w:pPr>
              <w:jc w:val="right"/>
              <w:ind w:right="172"/>
              <w:spacing w:after="0"/>
              <w:rPr>
                <w:sz w:val="20"/>
                <w:szCs w:val="20"/>
                <w:color w:val="auto"/>
              </w:rPr>
            </w:pPr>
            <w:r>
              <w:rPr>
                <w:rFonts w:ascii="Arial" w:cs="Arial" w:eastAsia="Arial" w:hAnsi="Arial"/>
                <w:sz w:val="14"/>
                <w:szCs w:val="14"/>
                <w:color w:val="231F20"/>
              </w:rPr>
              <w:t>2/28/2022</w:t>
            </w:r>
          </w:p>
        </w:tc>
        <w:tc>
          <w:tcPr>
            <w:tcW w:w="1200" w:type="dxa"/>
            <w:vAlign w:val="bottom"/>
          </w:tcPr>
          <w:p>
            <w:pPr>
              <w:jc w:val="right"/>
              <w:ind w:right="152"/>
              <w:spacing w:after="0"/>
              <w:rPr>
                <w:sz w:val="20"/>
                <w:szCs w:val="20"/>
                <w:color w:val="auto"/>
              </w:rPr>
            </w:pPr>
            <w:r>
              <w:rPr>
                <w:rFonts w:ascii="Arial" w:cs="Arial" w:eastAsia="Arial" w:hAnsi="Arial"/>
                <w:sz w:val="14"/>
                <w:szCs w:val="14"/>
                <w:color w:val="231F20"/>
              </w:rPr>
              <w:t>2/28/2022</w:t>
            </w:r>
          </w:p>
        </w:tc>
        <w:tc>
          <w:tcPr>
            <w:tcW w:w="780" w:type="dxa"/>
            <w:vAlign w:val="bottom"/>
          </w:tcPr>
          <w:p>
            <w:pPr>
              <w:jc w:val="right"/>
              <w:spacing w:after="0"/>
              <w:rPr>
                <w:sz w:val="20"/>
                <w:szCs w:val="20"/>
                <w:color w:val="auto"/>
              </w:rPr>
            </w:pPr>
            <w:r>
              <w:rPr>
                <w:rFonts w:ascii="Arial" w:cs="Arial" w:eastAsia="Arial" w:hAnsi="Arial"/>
                <w:sz w:val="14"/>
                <w:szCs w:val="14"/>
                <w:color w:val="231F20"/>
              </w:rPr>
              <w:t>2,548</w:t>
            </w:r>
          </w:p>
        </w:tc>
      </w:tr>
      <w:tr>
        <w:trPr>
          <w:trHeight w:val="33"/>
        </w:trPr>
        <w:tc>
          <w:tcPr>
            <w:tcW w:w="3840" w:type="dxa"/>
            <w:vAlign w:val="bottom"/>
          </w:tcPr>
          <w:p>
            <w:pPr>
              <w:spacing w:after="0"/>
              <w:rPr>
                <w:sz w:val="2"/>
                <w:szCs w:val="2"/>
                <w:color w:val="auto"/>
              </w:rPr>
            </w:pPr>
          </w:p>
        </w:tc>
        <w:tc>
          <w:tcPr>
            <w:tcW w:w="1500" w:type="dxa"/>
            <w:vAlign w:val="bottom"/>
            <w:tcBorders>
              <w:bottom w:val="single" w:sz="8" w:color="231F20"/>
            </w:tcBorders>
          </w:tcPr>
          <w:p>
            <w:pPr>
              <w:spacing w:after="0"/>
              <w:rPr>
                <w:sz w:val="2"/>
                <w:szCs w:val="2"/>
                <w:color w:val="auto"/>
              </w:rPr>
            </w:pPr>
          </w:p>
        </w:tc>
        <w:tc>
          <w:tcPr>
            <w:tcW w:w="1220" w:type="dxa"/>
            <w:vAlign w:val="bottom"/>
            <w:tcBorders>
              <w:bottom w:val="single" w:sz="8" w:color="231F20"/>
            </w:tcBorders>
          </w:tcPr>
          <w:p>
            <w:pPr>
              <w:spacing w:after="0"/>
              <w:rPr>
                <w:sz w:val="2"/>
                <w:szCs w:val="2"/>
                <w:color w:val="auto"/>
              </w:rPr>
            </w:pPr>
          </w:p>
        </w:tc>
        <w:tc>
          <w:tcPr>
            <w:tcW w:w="760" w:type="dxa"/>
            <w:vAlign w:val="bottom"/>
            <w:tcBorders>
              <w:bottom w:val="single" w:sz="8" w:color="231F20"/>
            </w:tcBorders>
          </w:tcPr>
          <w:p>
            <w:pPr>
              <w:spacing w:after="0"/>
              <w:rPr>
                <w:sz w:val="2"/>
                <w:szCs w:val="2"/>
                <w:color w:val="auto"/>
              </w:rPr>
            </w:pPr>
          </w:p>
        </w:tc>
        <w:tc>
          <w:tcPr>
            <w:tcW w:w="240" w:type="dxa"/>
            <w:vAlign w:val="bottom"/>
            <w:tcBorders>
              <w:bottom w:val="single" w:sz="8" w:color="231F20"/>
            </w:tcBorders>
          </w:tcPr>
          <w:p>
            <w:pPr>
              <w:spacing w:after="0"/>
              <w:rPr>
                <w:sz w:val="2"/>
                <w:szCs w:val="2"/>
                <w:color w:val="auto"/>
              </w:rPr>
            </w:pPr>
          </w:p>
        </w:tc>
        <w:tc>
          <w:tcPr>
            <w:tcW w:w="1700" w:type="dxa"/>
            <w:vAlign w:val="bottom"/>
            <w:tcBorders>
              <w:bottom w:val="single" w:sz="8" w:color="231F20"/>
            </w:tcBorders>
          </w:tcPr>
          <w:p>
            <w:pPr>
              <w:spacing w:after="0"/>
              <w:rPr>
                <w:sz w:val="2"/>
                <w:szCs w:val="2"/>
                <w:color w:val="auto"/>
              </w:rPr>
            </w:pPr>
          </w:p>
        </w:tc>
        <w:tc>
          <w:tcPr>
            <w:tcW w:w="1200" w:type="dxa"/>
            <w:vAlign w:val="bottom"/>
            <w:tcBorders>
              <w:bottom w:val="single" w:sz="8" w:color="231F20"/>
            </w:tcBorders>
          </w:tcPr>
          <w:p>
            <w:pPr>
              <w:spacing w:after="0"/>
              <w:rPr>
                <w:sz w:val="2"/>
                <w:szCs w:val="2"/>
                <w:color w:val="auto"/>
              </w:rPr>
            </w:pPr>
          </w:p>
        </w:tc>
        <w:tc>
          <w:tcPr>
            <w:tcW w:w="780" w:type="dxa"/>
            <w:vAlign w:val="bottom"/>
            <w:tcBorders>
              <w:bottom w:val="single" w:sz="8" w:color="231F20"/>
            </w:tcBorders>
          </w:tcPr>
          <w:p>
            <w:pPr>
              <w:spacing w:after="0"/>
              <w:rPr>
                <w:sz w:val="2"/>
                <w:szCs w:val="2"/>
                <w:color w:val="auto"/>
              </w:rPr>
            </w:pPr>
          </w:p>
        </w:tc>
      </w:tr>
      <w:tr>
        <w:trPr>
          <w:trHeight w:val="215"/>
        </w:trPr>
        <w:tc>
          <w:tcPr>
            <w:tcW w:w="3840" w:type="dxa"/>
            <w:vAlign w:val="bottom"/>
          </w:tcPr>
          <w:p>
            <w:pPr>
              <w:spacing w:after="0"/>
              <w:rPr>
                <w:sz w:val="18"/>
                <w:szCs w:val="18"/>
                <w:color w:val="auto"/>
              </w:rPr>
            </w:pPr>
          </w:p>
        </w:tc>
        <w:tc>
          <w:tcPr>
            <w:tcW w:w="1500" w:type="dxa"/>
            <w:vAlign w:val="bottom"/>
          </w:tcPr>
          <w:p>
            <w:pPr>
              <w:jc w:val="right"/>
              <w:ind w:right="212"/>
              <w:spacing w:after="0"/>
              <w:rPr>
                <w:sz w:val="20"/>
                <w:szCs w:val="20"/>
                <w:color w:val="auto"/>
              </w:rPr>
            </w:pPr>
            <w:r>
              <w:rPr>
                <w:rFonts w:ascii="Arial" w:cs="Arial" w:eastAsia="Arial" w:hAnsi="Arial"/>
                <w:sz w:val="14"/>
                <w:szCs w:val="14"/>
                <w:color w:val="231F20"/>
              </w:rPr>
              <w:t>12/31/2022</w:t>
            </w:r>
          </w:p>
        </w:tc>
        <w:tc>
          <w:tcPr>
            <w:tcW w:w="1220" w:type="dxa"/>
            <w:vAlign w:val="bottom"/>
          </w:tcPr>
          <w:p>
            <w:pPr>
              <w:jc w:val="right"/>
              <w:ind w:right="192"/>
              <w:spacing w:after="0"/>
              <w:rPr>
                <w:sz w:val="20"/>
                <w:szCs w:val="20"/>
                <w:color w:val="auto"/>
              </w:rPr>
            </w:pPr>
            <w:r>
              <w:rPr>
                <w:rFonts w:ascii="Arial" w:cs="Arial" w:eastAsia="Arial" w:hAnsi="Arial"/>
                <w:sz w:val="14"/>
                <w:szCs w:val="14"/>
                <w:color w:val="231F20"/>
              </w:rPr>
              <w:t>2/26/2023</w:t>
            </w:r>
          </w:p>
        </w:tc>
        <w:tc>
          <w:tcPr>
            <w:tcW w:w="1000" w:type="dxa"/>
            <w:vAlign w:val="bottom"/>
            <w:gridSpan w:val="2"/>
          </w:tcPr>
          <w:p>
            <w:pPr>
              <w:jc w:val="right"/>
              <w:ind w:right="240"/>
              <w:spacing w:after="0"/>
              <w:rPr>
                <w:sz w:val="20"/>
                <w:szCs w:val="20"/>
                <w:color w:val="auto"/>
              </w:rPr>
            </w:pPr>
            <w:r>
              <w:rPr>
                <w:rFonts w:ascii="Arial" w:cs="Arial" w:eastAsia="Arial" w:hAnsi="Arial"/>
                <w:sz w:val="14"/>
                <w:szCs w:val="14"/>
                <w:color w:val="231F20"/>
              </w:rPr>
              <w:t>4,885</w:t>
            </w:r>
          </w:p>
        </w:tc>
        <w:tc>
          <w:tcPr>
            <w:tcW w:w="1700" w:type="dxa"/>
            <w:vAlign w:val="bottom"/>
          </w:tcPr>
          <w:p>
            <w:pPr>
              <w:jc w:val="right"/>
              <w:ind w:right="172"/>
              <w:spacing w:after="0"/>
              <w:rPr>
                <w:sz w:val="20"/>
                <w:szCs w:val="20"/>
                <w:color w:val="auto"/>
              </w:rPr>
            </w:pPr>
            <w:r>
              <w:rPr>
                <w:rFonts w:ascii="Arial" w:cs="Arial" w:eastAsia="Arial" w:hAnsi="Arial"/>
                <w:sz w:val="14"/>
                <w:szCs w:val="14"/>
                <w:color w:val="231F20"/>
              </w:rPr>
              <w:t>2/26/2023</w:t>
            </w:r>
          </w:p>
        </w:tc>
        <w:tc>
          <w:tcPr>
            <w:tcW w:w="1200" w:type="dxa"/>
            <w:vAlign w:val="bottom"/>
          </w:tcPr>
          <w:p>
            <w:pPr>
              <w:jc w:val="right"/>
              <w:ind w:right="152"/>
              <w:spacing w:after="0"/>
              <w:rPr>
                <w:sz w:val="20"/>
                <w:szCs w:val="20"/>
                <w:color w:val="auto"/>
              </w:rPr>
            </w:pPr>
            <w:r>
              <w:rPr>
                <w:rFonts w:ascii="Arial" w:cs="Arial" w:eastAsia="Arial" w:hAnsi="Arial"/>
                <w:sz w:val="14"/>
                <w:szCs w:val="14"/>
                <w:color w:val="231F20"/>
              </w:rPr>
              <w:t>2/26/2023</w:t>
            </w:r>
          </w:p>
        </w:tc>
        <w:tc>
          <w:tcPr>
            <w:tcW w:w="780" w:type="dxa"/>
            <w:vAlign w:val="bottom"/>
          </w:tcPr>
          <w:p>
            <w:pPr>
              <w:jc w:val="right"/>
              <w:spacing w:after="0"/>
              <w:rPr>
                <w:sz w:val="20"/>
                <w:szCs w:val="20"/>
                <w:color w:val="auto"/>
              </w:rPr>
            </w:pPr>
            <w:r>
              <w:rPr>
                <w:rFonts w:ascii="Arial" w:cs="Arial" w:eastAsia="Arial" w:hAnsi="Arial"/>
                <w:sz w:val="14"/>
                <w:szCs w:val="14"/>
                <w:color w:val="231F20"/>
              </w:rPr>
              <w:t>2,811</w:t>
            </w:r>
          </w:p>
        </w:tc>
      </w:tr>
      <w:tr>
        <w:trPr>
          <w:trHeight w:val="33"/>
        </w:trPr>
        <w:tc>
          <w:tcPr>
            <w:tcW w:w="3840" w:type="dxa"/>
            <w:vAlign w:val="bottom"/>
            <w:tcBorders>
              <w:bottom w:val="single" w:sz="8" w:color="231F20"/>
            </w:tcBorders>
          </w:tcPr>
          <w:p>
            <w:pPr>
              <w:spacing w:after="0"/>
              <w:rPr>
                <w:sz w:val="2"/>
                <w:szCs w:val="2"/>
                <w:color w:val="auto"/>
              </w:rPr>
            </w:pPr>
          </w:p>
        </w:tc>
        <w:tc>
          <w:tcPr>
            <w:tcW w:w="1500" w:type="dxa"/>
            <w:vAlign w:val="bottom"/>
            <w:tcBorders>
              <w:bottom w:val="single" w:sz="8" w:color="231F20"/>
            </w:tcBorders>
          </w:tcPr>
          <w:p>
            <w:pPr>
              <w:spacing w:after="0"/>
              <w:rPr>
                <w:sz w:val="2"/>
                <w:szCs w:val="2"/>
                <w:color w:val="auto"/>
              </w:rPr>
            </w:pPr>
          </w:p>
        </w:tc>
        <w:tc>
          <w:tcPr>
            <w:tcW w:w="1220" w:type="dxa"/>
            <w:vAlign w:val="bottom"/>
            <w:tcBorders>
              <w:bottom w:val="single" w:sz="8" w:color="231F20"/>
            </w:tcBorders>
          </w:tcPr>
          <w:p>
            <w:pPr>
              <w:spacing w:after="0"/>
              <w:rPr>
                <w:sz w:val="2"/>
                <w:szCs w:val="2"/>
                <w:color w:val="auto"/>
              </w:rPr>
            </w:pPr>
          </w:p>
        </w:tc>
        <w:tc>
          <w:tcPr>
            <w:tcW w:w="760" w:type="dxa"/>
            <w:vAlign w:val="bottom"/>
            <w:tcBorders>
              <w:bottom w:val="single" w:sz="8" w:color="231F20"/>
            </w:tcBorders>
          </w:tcPr>
          <w:p>
            <w:pPr>
              <w:spacing w:after="0"/>
              <w:rPr>
                <w:sz w:val="2"/>
                <w:szCs w:val="2"/>
                <w:color w:val="auto"/>
              </w:rPr>
            </w:pPr>
          </w:p>
        </w:tc>
        <w:tc>
          <w:tcPr>
            <w:tcW w:w="240" w:type="dxa"/>
            <w:vAlign w:val="bottom"/>
            <w:tcBorders>
              <w:bottom w:val="single" w:sz="8" w:color="231F20"/>
            </w:tcBorders>
          </w:tcPr>
          <w:p>
            <w:pPr>
              <w:spacing w:after="0"/>
              <w:rPr>
                <w:sz w:val="2"/>
                <w:szCs w:val="2"/>
                <w:color w:val="auto"/>
              </w:rPr>
            </w:pPr>
          </w:p>
        </w:tc>
        <w:tc>
          <w:tcPr>
            <w:tcW w:w="1700" w:type="dxa"/>
            <w:vAlign w:val="bottom"/>
            <w:tcBorders>
              <w:bottom w:val="single" w:sz="8" w:color="231F20"/>
            </w:tcBorders>
          </w:tcPr>
          <w:p>
            <w:pPr>
              <w:spacing w:after="0"/>
              <w:rPr>
                <w:sz w:val="2"/>
                <w:szCs w:val="2"/>
                <w:color w:val="auto"/>
              </w:rPr>
            </w:pPr>
          </w:p>
        </w:tc>
        <w:tc>
          <w:tcPr>
            <w:tcW w:w="1200" w:type="dxa"/>
            <w:vAlign w:val="bottom"/>
            <w:tcBorders>
              <w:bottom w:val="single" w:sz="8" w:color="231F20"/>
            </w:tcBorders>
          </w:tcPr>
          <w:p>
            <w:pPr>
              <w:spacing w:after="0"/>
              <w:rPr>
                <w:sz w:val="2"/>
                <w:szCs w:val="2"/>
                <w:color w:val="auto"/>
              </w:rPr>
            </w:pPr>
          </w:p>
        </w:tc>
        <w:tc>
          <w:tcPr>
            <w:tcW w:w="780" w:type="dxa"/>
            <w:vAlign w:val="bottom"/>
            <w:tcBorders>
              <w:bottom w:val="single" w:sz="8" w:color="231F20"/>
            </w:tcBorders>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121285</wp:posOffset>
            </wp:positionV>
            <wp:extent cx="7139940" cy="825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7139940" cy="8255"/>
                    </a:xfrm>
                    <a:prstGeom prst="rect">
                      <a:avLst/>
                    </a:prstGeom>
                    <a:noFill/>
                  </pic:spPr>
                </pic:pic>
              </a:graphicData>
            </a:graphic>
          </wp:anchor>
        </w:drawing>
      </w:r>
    </w:p>
    <w:p>
      <w:pPr>
        <w:spacing w:after="0" w:line="217" w:lineRule="exact"/>
        <w:rPr>
          <w:sz w:val="20"/>
          <w:szCs w:val="20"/>
          <w:color w:val="auto"/>
        </w:rPr>
      </w:pPr>
    </w:p>
    <w:p>
      <w:pPr>
        <w:ind w:left="7940"/>
        <w:spacing w:after="0"/>
        <w:tabs>
          <w:tab w:leader="none" w:pos="11060" w:val="left"/>
        </w:tabs>
        <w:rPr>
          <w:sz w:val="20"/>
          <w:szCs w:val="20"/>
          <w:color w:val="auto"/>
        </w:rPr>
      </w:pPr>
      <w:r>
        <w:rPr>
          <w:rFonts w:ascii="Arial" w:cs="Arial" w:eastAsia="Arial" w:hAnsi="Arial"/>
          <w:sz w:val="12"/>
          <w:szCs w:val="12"/>
          <w:color w:val="4395D4"/>
        </w:rPr>
        <w:t xml:space="preserve">ESSENTIAL UTILITIES, INC. </w:t>
      </w:r>
      <w:r>
        <w:rPr>
          <w:rFonts w:ascii="Arial" w:cs="Arial" w:eastAsia="Arial" w:hAnsi="Arial"/>
          <w:sz w:val="12"/>
          <w:szCs w:val="12"/>
          <w:color w:val="455986"/>
        </w:rPr>
        <w:t>2021 PROXY STATEMENT</w:t>
      </w:r>
      <w:r>
        <w:rPr>
          <w:sz w:val="20"/>
          <w:szCs w:val="20"/>
          <w:color w:val="auto"/>
        </w:rPr>
        <w:tab/>
      </w:r>
      <w:r>
        <w:rPr>
          <w:rFonts w:ascii="Arial" w:cs="Arial" w:eastAsia="Arial" w:hAnsi="Arial"/>
          <w:sz w:val="14"/>
          <w:szCs w:val="14"/>
          <w:color w:val="455986"/>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339090</wp:posOffset>
            </wp:positionV>
            <wp:extent cx="7139940" cy="2413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7139940" cy="24130"/>
                    </a:xfrm>
                    <a:prstGeom prst="rect">
                      <a:avLst/>
                    </a:prstGeom>
                    <a:noFill/>
                  </pic:spPr>
                </pic:pic>
              </a:graphicData>
            </a:graphic>
          </wp:anchor>
        </w:drawing>
      </w:r>
    </w:p>
    <w:p>
      <w:pPr>
        <w:sectPr>
          <w:pgSz w:w="11900" w:h="16838" w:orient="portrait"/>
          <w:cols w:equalWidth="0" w:num="1">
            <w:col w:w="11240"/>
          </w:cols>
          <w:pgMar w:left="320" w:top="636" w:right="339" w:bottom="1440" w:gutter="0" w:footer="0" w:header="0"/>
        </w:sectPr>
      </w:pPr>
    </w:p>
    <w:bookmarkStart w:id="76" w:name="page77"/>
    <w:bookmarkEnd w:id="76"/>
    <w:p>
      <w:pPr>
        <w:spacing w:after="0"/>
        <w:rPr>
          <w:sz w:val="20"/>
          <w:szCs w:val="20"/>
          <w:color w:val="auto"/>
        </w:rPr>
      </w:pPr>
      <w:r>
        <w:rPr>
          <w:rFonts w:ascii="Arial" w:cs="Arial" w:eastAsia="Arial" w:hAnsi="Arial"/>
          <w:sz w:val="14"/>
          <w:szCs w:val="14"/>
          <w:b w:val="1"/>
          <w:bCs w:val="1"/>
          <w:color w:val="455986"/>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27940</wp:posOffset>
            </wp:positionV>
            <wp:extent cx="7139940" cy="825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7139940" cy="8255"/>
                    </a:xfrm>
                    <a:prstGeom prst="rect">
                      <a:avLst/>
                    </a:prstGeom>
                    <a:noFill/>
                  </pic:spPr>
                </pic:pic>
              </a:graphicData>
            </a:graphic>
          </wp:anchor>
        </w:drawing>
      </w:r>
    </w:p>
    <w:p>
      <w:pPr>
        <w:spacing w:after="0" w:line="76" w:lineRule="exact"/>
        <w:rPr>
          <w:sz w:val="20"/>
          <w:szCs w:val="20"/>
          <w:color w:val="auto"/>
        </w:rPr>
      </w:pPr>
    </w:p>
    <w:p>
      <w:pPr>
        <w:spacing w:after="0"/>
        <w:rPr>
          <w:sz w:val="20"/>
          <w:szCs w:val="20"/>
          <w:color w:val="auto"/>
        </w:rPr>
      </w:pPr>
      <w:r>
        <w:rPr>
          <w:rFonts w:ascii="Arial" w:cs="Arial" w:eastAsia="Arial" w:hAnsi="Arial"/>
          <w:sz w:val="14"/>
          <w:szCs w:val="14"/>
          <w:color w:val="231F20"/>
        </w:rPr>
        <w:t>Options Exercised and Stock Vested</w:t>
      </w:r>
    </w:p>
    <w:p>
      <w:pPr>
        <w:spacing w:after="0" w:line="178" w:lineRule="exact"/>
        <w:rPr>
          <w:sz w:val="20"/>
          <w:szCs w:val="20"/>
          <w:color w:val="auto"/>
        </w:rPr>
      </w:pPr>
    </w:p>
    <w:p>
      <w:pPr>
        <w:ind w:left="200" w:right="20" w:hanging="198"/>
        <w:spacing w:after="0" w:line="260" w:lineRule="auto"/>
        <w:tabs>
          <w:tab w:leader="none" w:pos="200" w:val="left"/>
        </w:tabs>
        <w:numPr>
          <w:ilvl w:val="0"/>
          <w:numId w:val="135"/>
        </w:numPr>
        <w:rPr>
          <w:rFonts w:ascii="Arial" w:cs="Arial" w:eastAsia="Arial" w:hAnsi="Arial"/>
          <w:sz w:val="13"/>
          <w:szCs w:val="13"/>
          <w:color w:val="231F20"/>
        </w:rPr>
      </w:pPr>
      <w:r>
        <w:rPr>
          <w:rFonts w:ascii="Arial" w:cs="Arial" w:eastAsia="Arial" w:hAnsi="Arial"/>
          <w:sz w:val="13"/>
          <w:szCs w:val="13"/>
          <w:color w:val="231F20"/>
        </w:rPr>
        <w:t>The market value of the RSU and PSU awards include accrued and unpaid dividend equivalents. The dividend equivalents are accrued based upon the assumption that the PSUs would be issued at target.</w:t>
      </w:r>
    </w:p>
    <w:p>
      <w:pPr>
        <w:spacing w:after="0" w:line="33" w:lineRule="exact"/>
        <w:rPr>
          <w:rFonts w:ascii="Arial" w:cs="Arial" w:eastAsia="Arial" w:hAnsi="Arial"/>
          <w:sz w:val="13"/>
          <w:szCs w:val="13"/>
          <w:color w:val="231F20"/>
        </w:rPr>
      </w:pPr>
    </w:p>
    <w:p>
      <w:pPr>
        <w:ind w:left="200" w:right="140" w:hanging="198"/>
        <w:spacing w:after="0" w:line="243" w:lineRule="auto"/>
        <w:tabs>
          <w:tab w:leader="none" w:pos="200" w:val="left"/>
        </w:tabs>
        <w:numPr>
          <w:ilvl w:val="0"/>
          <w:numId w:val="135"/>
        </w:numPr>
        <w:rPr>
          <w:rFonts w:ascii="Arial" w:cs="Arial" w:eastAsia="Arial" w:hAnsi="Arial"/>
          <w:sz w:val="13"/>
          <w:szCs w:val="13"/>
          <w:color w:val="231F20"/>
        </w:rPr>
      </w:pPr>
      <w:r>
        <w:rPr>
          <w:rFonts w:ascii="Arial" w:cs="Arial" w:eastAsia="Arial" w:hAnsi="Arial"/>
          <w:sz w:val="13"/>
          <w:szCs w:val="13"/>
          <w:color w:val="231F20"/>
        </w:rPr>
        <w:t>The PSU grants made in 2018 for the three year performance period ended December 31, 2020 consisted of four performance goal metrics. The PSU grants made in 2020 for the three year period ended December 31, 2022 consisted of three performance goal metrics. These metrics and the associated achievement are determined by the Compensation Committee as described on pages 56 through 58 of this proxy statement.</w:t>
      </w:r>
    </w:p>
    <w:p>
      <w:pPr>
        <w:spacing w:after="0" w:line="56" w:lineRule="exact"/>
        <w:rPr>
          <w:rFonts w:ascii="Arial" w:cs="Arial" w:eastAsia="Arial" w:hAnsi="Arial"/>
          <w:sz w:val="13"/>
          <w:szCs w:val="13"/>
          <w:color w:val="231F20"/>
        </w:rPr>
      </w:pPr>
    </w:p>
    <w:p>
      <w:pPr>
        <w:ind w:left="200" w:right="20" w:hanging="198"/>
        <w:spacing w:after="0" w:line="260" w:lineRule="auto"/>
        <w:tabs>
          <w:tab w:leader="none" w:pos="200" w:val="left"/>
        </w:tabs>
        <w:numPr>
          <w:ilvl w:val="0"/>
          <w:numId w:val="135"/>
        </w:numPr>
        <w:rPr>
          <w:rFonts w:ascii="Arial" w:cs="Arial" w:eastAsia="Arial" w:hAnsi="Arial"/>
          <w:sz w:val="13"/>
          <w:szCs w:val="13"/>
          <w:color w:val="231F20"/>
        </w:rPr>
      </w:pPr>
      <w:r>
        <w:rPr>
          <w:rFonts w:ascii="Arial" w:cs="Arial" w:eastAsia="Arial" w:hAnsi="Arial"/>
          <w:sz w:val="13"/>
          <w:szCs w:val="13"/>
          <w:color w:val="231F20"/>
        </w:rPr>
        <w:t>The PSU awards that vested on February 27, 2021 were achieved at the 175% level of goal achievement. The following table details the number of PSUs and RSUs that are vested and earned by the named executive officers under the 2018 PSU grants as of the date of this proxy statement.</w:t>
      </w:r>
    </w:p>
    <w:p>
      <w:pPr>
        <w:spacing w:after="0" w:line="110"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200" w:type="dxa"/>
            <w:vAlign w:val="bottom"/>
            <w:vMerge w:val="restart"/>
          </w:tcPr>
          <w:p>
            <w:pPr>
              <w:spacing w:after="0"/>
              <w:rPr>
                <w:sz w:val="20"/>
                <w:szCs w:val="20"/>
                <w:color w:val="auto"/>
              </w:rPr>
            </w:pPr>
            <w:r>
              <w:rPr>
                <w:rFonts w:ascii="Arial" w:cs="Arial" w:eastAsia="Arial" w:hAnsi="Arial"/>
                <w:sz w:val="14"/>
                <w:szCs w:val="14"/>
                <w:color w:val="231F20"/>
              </w:rPr>
              <w:t>Named Executive Officer</w:t>
            </w:r>
          </w:p>
        </w:tc>
        <w:tc>
          <w:tcPr>
            <w:tcW w:w="2720" w:type="dxa"/>
            <w:vAlign w:val="bottom"/>
            <w:vMerge w:val="restart"/>
          </w:tcPr>
          <w:p>
            <w:pPr>
              <w:jc w:val="right"/>
              <w:ind w:right="468"/>
              <w:spacing w:after="0"/>
              <w:rPr>
                <w:sz w:val="20"/>
                <w:szCs w:val="20"/>
                <w:color w:val="auto"/>
              </w:rPr>
            </w:pPr>
            <w:r>
              <w:rPr>
                <w:rFonts w:ascii="Arial" w:cs="Arial" w:eastAsia="Arial" w:hAnsi="Arial"/>
                <w:sz w:val="14"/>
                <w:szCs w:val="14"/>
                <w:color w:val="231F20"/>
              </w:rPr>
              <w:t>Performance Period End</w:t>
            </w:r>
          </w:p>
        </w:tc>
        <w:tc>
          <w:tcPr>
            <w:tcW w:w="2200" w:type="dxa"/>
            <w:vAlign w:val="bottom"/>
          </w:tcPr>
          <w:p>
            <w:pPr>
              <w:jc w:val="right"/>
              <w:ind w:right="528"/>
              <w:spacing w:after="0"/>
              <w:rPr>
                <w:sz w:val="20"/>
                <w:szCs w:val="20"/>
                <w:color w:val="auto"/>
              </w:rPr>
            </w:pPr>
            <w:r>
              <w:rPr>
                <w:rFonts w:ascii="Arial" w:cs="Arial" w:eastAsia="Arial" w:hAnsi="Arial"/>
                <w:sz w:val="14"/>
                <w:szCs w:val="14"/>
                <w:color w:val="231F20"/>
              </w:rPr>
              <w:t>Date Vested,</w:t>
            </w:r>
          </w:p>
        </w:tc>
        <w:tc>
          <w:tcPr>
            <w:tcW w:w="2060" w:type="dxa"/>
            <w:vAlign w:val="bottom"/>
          </w:tcPr>
          <w:p>
            <w:pPr>
              <w:jc w:val="right"/>
              <w:ind w:right="408"/>
              <w:spacing w:after="0"/>
              <w:rPr>
                <w:sz w:val="20"/>
                <w:szCs w:val="20"/>
                <w:color w:val="auto"/>
              </w:rPr>
            </w:pPr>
            <w:r>
              <w:rPr>
                <w:rFonts w:ascii="Arial" w:cs="Arial" w:eastAsia="Arial" w:hAnsi="Arial"/>
                <w:sz w:val="14"/>
                <w:szCs w:val="14"/>
                <w:color w:val="231F20"/>
              </w:rPr>
              <w:t>Number of PSU</w:t>
            </w:r>
          </w:p>
        </w:tc>
        <w:tc>
          <w:tcPr>
            <w:tcW w:w="1720" w:type="dxa"/>
            <w:vAlign w:val="bottom"/>
          </w:tcPr>
          <w:p>
            <w:pPr>
              <w:jc w:val="right"/>
              <w:spacing w:after="0"/>
              <w:rPr>
                <w:sz w:val="20"/>
                <w:szCs w:val="20"/>
                <w:color w:val="auto"/>
              </w:rPr>
            </w:pPr>
            <w:r>
              <w:rPr>
                <w:rFonts w:ascii="Arial" w:cs="Arial" w:eastAsia="Arial" w:hAnsi="Arial"/>
                <w:sz w:val="14"/>
                <w:szCs w:val="14"/>
                <w:color w:val="231F20"/>
              </w:rPr>
              <w:t>Number of</w:t>
            </w:r>
          </w:p>
        </w:tc>
        <w:tc>
          <w:tcPr>
            <w:tcW w:w="0" w:type="dxa"/>
            <w:vAlign w:val="bottom"/>
          </w:tcPr>
          <w:p>
            <w:pPr>
              <w:spacing w:after="0"/>
              <w:rPr>
                <w:sz w:val="1"/>
                <w:szCs w:val="1"/>
                <w:color w:val="auto"/>
              </w:rPr>
            </w:pPr>
          </w:p>
        </w:tc>
      </w:tr>
      <w:tr>
        <w:trPr>
          <w:trHeight w:val="197"/>
        </w:trPr>
        <w:tc>
          <w:tcPr>
            <w:tcW w:w="2200" w:type="dxa"/>
            <w:vAlign w:val="bottom"/>
            <w:tcBorders>
              <w:bottom w:val="single" w:sz="8" w:color="231F20"/>
            </w:tcBorders>
            <w:vMerge w:val="continue"/>
          </w:tcPr>
          <w:p>
            <w:pPr>
              <w:spacing w:after="0"/>
              <w:rPr>
                <w:sz w:val="17"/>
                <w:szCs w:val="17"/>
                <w:color w:val="auto"/>
              </w:rPr>
            </w:pPr>
          </w:p>
        </w:tc>
        <w:tc>
          <w:tcPr>
            <w:tcW w:w="2720" w:type="dxa"/>
            <w:vAlign w:val="bottom"/>
            <w:tcBorders>
              <w:bottom w:val="single" w:sz="8" w:color="231F20"/>
            </w:tcBorders>
            <w:vMerge w:val="continue"/>
          </w:tcPr>
          <w:p>
            <w:pPr>
              <w:spacing w:after="0"/>
              <w:rPr>
                <w:sz w:val="17"/>
                <w:szCs w:val="17"/>
                <w:color w:val="auto"/>
              </w:rPr>
            </w:pPr>
          </w:p>
        </w:tc>
        <w:tc>
          <w:tcPr>
            <w:tcW w:w="2200" w:type="dxa"/>
            <w:vAlign w:val="bottom"/>
            <w:tcBorders>
              <w:bottom w:val="single" w:sz="8" w:color="231F20"/>
            </w:tcBorders>
          </w:tcPr>
          <w:p>
            <w:pPr>
              <w:jc w:val="right"/>
              <w:ind w:right="488"/>
              <w:spacing w:after="0"/>
              <w:rPr>
                <w:sz w:val="20"/>
                <w:szCs w:val="20"/>
                <w:color w:val="auto"/>
              </w:rPr>
            </w:pPr>
            <w:r>
              <w:rPr>
                <w:rFonts w:ascii="Arial" w:cs="Arial" w:eastAsia="Arial" w:hAnsi="Arial"/>
                <w:sz w:val="14"/>
                <w:szCs w:val="14"/>
                <w:color w:val="231F20"/>
              </w:rPr>
              <w:t>Earned and Paid</w:t>
            </w:r>
          </w:p>
        </w:tc>
        <w:tc>
          <w:tcPr>
            <w:tcW w:w="2060" w:type="dxa"/>
            <w:vAlign w:val="bottom"/>
            <w:tcBorders>
              <w:bottom w:val="single" w:sz="8" w:color="231F20"/>
            </w:tcBorders>
          </w:tcPr>
          <w:p>
            <w:pPr>
              <w:jc w:val="right"/>
              <w:ind w:right="368"/>
              <w:spacing w:after="0"/>
              <w:rPr>
                <w:sz w:val="20"/>
                <w:szCs w:val="20"/>
                <w:color w:val="auto"/>
              </w:rPr>
            </w:pPr>
            <w:r>
              <w:rPr>
                <w:rFonts w:ascii="Arial" w:cs="Arial" w:eastAsia="Arial" w:hAnsi="Arial"/>
                <w:sz w:val="14"/>
                <w:szCs w:val="14"/>
                <w:color w:val="231F20"/>
              </w:rPr>
              <w:t>Shares Issued</w:t>
            </w:r>
          </w:p>
        </w:tc>
        <w:tc>
          <w:tcPr>
            <w:tcW w:w="1720" w:type="dxa"/>
            <w:vAlign w:val="bottom"/>
            <w:tcBorders>
              <w:bottom w:val="single" w:sz="8" w:color="231F20"/>
            </w:tcBorders>
          </w:tcPr>
          <w:p>
            <w:pPr>
              <w:jc w:val="right"/>
              <w:spacing w:after="0"/>
              <w:rPr>
                <w:sz w:val="20"/>
                <w:szCs w:val="20"/>
                <w:color w:val="auto"/>
              </w:rPr>
            </w:pPr>
            <w:r>
              <w:rPr>
                <w:rFonts w:ascii="Arial" w:cs="Arial" w:eastAsia="Arial" w:hAnsi="Arial"/>
                <w:sz w:val="14"/>
                <w:szCs w:val="14"/>
                <w:color w:val="231F20"/>
              </w:rPr>
              <w:t>RSU Shares Issued</w:t>
            </w:r>
          </w:p>
        </w:tc>
        <w:tc>
          <w:tcPr>
            <w:tcW w:w="0" w:type="dxa"/>
            <w:vAlign w:val="bottom"/>
          </w:tcPr>
          <w:p>
            <w:pPr>
              <w:spacing w:after="0"/>
              <w:rPr>
                <w:sz w:val="1"/>
                <w:szCs w:val="1"/>
                <w:color w:val="auto"/>
              </w:rPr>
            </w:pPr>
          </w:p>
        </w:tc>
      </w:tr>
      <w:tr>
        <w:trPr>
          <w:trHeight w:val="197"/>
        </w:trPr>
        <w:tc>
          <w:tcPr>
            <w:tcW w:w="2200" w:type="dxa"/>
            <w:vAlign w:val="bottom"/>
            <w:tcBorders>
              <w:bottom w:val="single" w:sz="8" w:color="231F20"/>
            </w:tcBorders>
          </w:tcPr>
          <w:p>
            <w:pPr>
              <w:spacing w:after="0"/>
              <w:rPr>
                <w:sz w:val="20"/>
                <w:szCs w:val="20"/>
                <w:color w:val="auto"/>
              </w:rPr>
            </w:pPr>
            <w:r>
              <w:rPr>
                <w:rFonts w:ascii="Arial" w:cs="Arial" w:eastAsia="Arial" w:hAnsi="Arial"/>
                <w:sz w:val="14"/>
                <w:szCs w:val="14"/>
                <w:color w:val="231F20"/>
              </w:rPr>
              <w:t>Franklin</w:t>
            </w:r>
          </w:p>
        </w:tc>
        <w:tc>
          <w:tcPr>
            <w:tcW w:w="2720" w:type="dxa"/>
            <w:vAlign w:val="bottom"/>
            <w:tcBorders>
              <w:bottom w:val="single" w:sz="8" w:color="231F20"/>
            </w:tcBorders>
          </w:tcPr>
          <w:p>
            <w:pPr>
              <w:jc w:val="right"/>
              <w:ind w:right="468"/>
              <w:spacing w:after="0"/>
              <w:rPr>
                <w:sz w:val="20"/>
                <w:szCs w:val="20"/>
                <w:color w:val="auto"/>
              </w:rPr>
            </w:pPr>
            <w:r>
              <w:rPr>
                <w:rFonts w:ascii="Arial" w:cs="Arial" w:eastAsia="Arial" w:hAnsi="Arial"/>
                <w:sz w:val="14"/>
                <w:szCs w:val="14"/>
                <w:color w:val="231F20"/>
              </w:rPr>
              <w:t>12/31/2020</w:t>
            </w:r>
          </w:p>
        </w:tc>
        <w:tc>
          <w:tcPr>
            <w:tcW w:w="2200" w:type="dxa"/>
            <w:vAlign w:val="bottom"/>
            <w:tcBorders>
              <w:bottom w:val="single" w:sz="8" w:color="231F20"/>
            </w:tcBorders>
          </w:tcPr>
          <w:p>
            <w:pPr>
              <w:jc w:val="right"/>
              <w:ind w:right="488"/>
              <w:spacing w:after="0"/>
              <w:rPr>
                <w:sz w:val="20"/>
                <w:szCs w:val="20"/>
                <w:color w:val="auto"/>
              </w:rPr>
            </w:pPr>
            <w:r>
              <w:rPr>
                <w:rFonts w:ascii="Arial" w:cs="Arial" w:eastAsia="Arial" w:hAnsi="Arial"/>
                <w:sz w:val="14"/>
                <w:szCs w:val="14"/>
                <w:color w:val="231F20"/>
              </w:rPr>
              <w:t>2/27/2021</w:t>
            </w:r>
          </w:p>
        </w:tc>
        <w:tc>
          <w:tcPr>
            <w:tcW w:w="2060" w:type="dxa"/>
            <w:vAlign w:val="bottom"/>
            <w:tcBorders>
              <w:bottom w:val="single" w:sz="8" w:color="231F20"/>
            </w:tcBorders>
          </w:tcPr>
          <w:p>
            <w:pPr>
              <w:jc w:val="right"/>
              <w:ind w:right="368"/>
              <w:spacing w:after="0"/>
              <w:rPr>
                <w:sz w:val="20"/>
                <w:szCs w:val="20"/>
                <w:color w:val="auto"/>
              </w:rPr>
            </w:pPr>
            <w:r>
              <w:rPr>
                <w:rFonts w:ascii="Arial" w:cs="Arial" w:eastAsia="Arial" w:hAnsi="Arial"/>
                <w:sz w:val="14"/>
                <w:szCs w:val="14"/>
                <w:color w:val="231F20"/>
              </w:rPr>
              <w:t>33,302</w:t>
            </w:r>
          </w:p>
        </w:tc>
        <w:tc>
          <w:tcPr>
            <w:tcW w:w="1720" w:type="dxa"/>
            <w:vAlign w:val="bottom"/>
            <w:tcBorders>
              <w:bottom w:val="single" w:sz="8" w:color="231F20"/>
            </w:tcBorders>
          </w:tcPr>
          <w:p>
            <w:pPr>
              <w:jc w:val="right"/>
              <w:spacing w:after="0"/>
              <w:rPr>
                <w:sz w:val="20"/>
                <w:szCs w:val="20"/>
                <w:color w:val="auto"/>
              </w:rPr>
            </w:pPr>
            <w:r>
              <w:rPr>
                <w:rFonts w:ascii="Arial" w:cs="Arial" w:eastAsia="Arial" w:hAnsi="Arial"/>
                <w:sz w:val="14"/>
                <w:szCs w:val="14"/>
                <w:color w:val="231F20"/>
              </w:rPr>
              <w:t>12,668</w:t>
            </w:r>
          </w:p>
        </w:tc>
        <w:tc>
          <w:tcPr>
            <w:tcW w:w="0" w:type="dxa"/>
            <w:vAlign w:val="bottom"/>
          </w:tcPr>
          <w:p>
            <w:pPr>
              <w:spacing w:after="0"/>
              <w:rPr>
                <w:sz w:val="1"/>
                <w:szCs w:val="1"/>
                <w:color w:val="auto"/>
              </w:rPr>
            </w:pPr>
          </w:p>
        </w:tc>
      </w:tr>
      <w:tr>
        <w:trPr>
          <w:trHeight w:val="197"/>
        </w:trPr>
        <w:tc>
          <w:tcPr>
            <w:tcW w:w="2200" w:type="dxa"/>
            <w:vAlign w:val="bottom"/>
            <w:tcBorders>
              <w:bottom w:val="single" w:sz="8" w:color="231F20"/>
            </w:tcBorders>
          </w:tcPr>
          <w:p>
            <w:pPr>
              <w:spacing w:after="0"/>
              <w:rPr>
                <w:sz w:val="20"/>
                <w:szCs w:val="20"/>
                <w:color w:val="auto"/>
              </w:rPr>
            </w:pPr>
            <w:r>
              <w:rPr>
                <w:rFonts w:ascii="Arial" w:cs="Arial" w:eastAsia="Arial" w:hAnsi="Arial"/>
                <w:sz w:val="14"/>
                <w:szCs w:val="14"/>
                <w:color w:val="231F20"/>
              </w:rPr>
              <w:t>Schuller</w:t>
            </w:r>
          </w:p>
        </w:tc>
        <w:tc>
          <w:tcPr>
            <w:tcW w:w="2720" w:type="dxa"/>
            <w:vAlign w:val="bottom"/>
            <w:tcBorders>
              <w:bottom w:val="single" w:sz="8" w:color="231F20"/>
            </w:tcBorders>
          </w:tcPr>
          <w:p>
            <w:pPr>
              <w:jc w:val="right"/>
              <w:ind w:right="468"/>
              <w:spacing w:after="0"/>
              <w:rPr>
                <w:sz w:val="20"/>
                <w:szCs w:val="20"/>
                <w:color w:val="auto"/>
              </w:rPr>
            </w:pPr>
            <w:r>
              <w:rPr>
                <w:rFonts w:ascii="Arial" w:cs="Arial" w:eastAsia="Arial" w:hAnsi="Arial"/>
                <w:sz w:val="14"/>
                <w:szCs w:val="14"/>
                <w:color w:val="231F20"/>
              </w:rPr>
              <w:t>12/31/2020</w:t>
            </w:r>
          </w:p>
        </w:tc>
        <w:tc>
          <w:tcPr>
            <w:tcW w:w="2200" w:type="dxa"/>
            <w:vAlign w:val="bottom"/>
            <w:tcBorders>
              <w:bottom w:val="single" w:sz="8" w:color="231F20"/>
            </w:tcBorders>
          </w:tcPr>
          <w:p>
            <w:pPr>
              <w:jc w:val="right"/>
              <w:ind w:right="488"/>
              <w:spacing w:after="0"/>
              <w:rPr>
                <w:sz w:val="20"/>
                <w:szCs w:val="20"/>
                <w:color w:val="auto"/>
              </w:rPr>
            </w:pPr>
            <w:r>
              <w:rPr>
                <w:rFonts w:ascii="Arial" w:cs="Arial" w:eastAsia="Arial" w:hAnsi="Arial"/>
                <w:sz w:val="14"/>
                <w:szCs w:val="14"/>
                <w:color w:val="231F20"/>
              </w:rPr>
              <w:t>2/27/2021</w:t>
            </w:r>
          </w:p>
        </w:tc>
        <w:tc>
          <w:tcPr>
            <w:tcW w:w="2060" w:type="dxa"/>
            <w:vAlign w:val="bottom"/>
            <w:tcBorders>
              <w:bottom w:val="single" w:sz="8" w:color="231F20"/>
            </w:tcBorders>
          </w:tcPr>
          <w:p>
            <w:pPr>
              <w:jc w:val="right"/>
              <w:ind w:right="368"/>
              <w:spacing w:after="0"/>
              <w:rPr>
                <w:sz w:val="20"/>
                <w:szCs w:val="20"/>
                <w:color w:val="auto"/>
              </w:rPr>
            </w:pPr>
            <w:r>
              <w:rPr>
                <w:rFonts w:ascii="Arial" w:cs="Arial" w:eastAsia="Arial" w:hAnsi="Arial"/>
                <w:sz w:val="14"/>
                <w:szCs w:val="14"/>
                <w:color w:val="231F20"/>
              </w:rPr>
              <w:t>8,312</w:t>
            </w:r>
          </w:p>
        </w:tc>
        <w:tc>
          <w:tcPr>
            <w:tcW w:w="1720" w:type="dxa"/>
            <w:vAlign w:val="bottom"/>
            <w:tcBorders>
              <w:bottom w:val="single" w:sz="8" w:color="231F20"/>
            </w:tcBorders>
          </w:tcPr>
          <w:p>
            <w:pPr>
              <w:jc w:val="right"/>
              <w:spacing w:after="0"/>
              <w:rPr>
                <w:sz w:val="20"/>
                <w:szCs w:val="20"/>
                <w:color w:val="auto"/>
              </w:rPr>
            </w:pPr>
            <w:r>
              <w:rPr>
                <w:rFonts w:ascii="Arial" w:cs="Arial" w:eastAsia="Arial" w:hAnsi="Arial"/>
                <w:sz w:val="14"/>
                <w:szCs w:val="14"/>
                <w:color w:val="231F20"/>
              </w:rPr>
              <w:t>3,162</w:t>
            </w:r>
          </w:p>
        </w:tc>
        <w:tc>
          <w:tcPr>
            <w:tcW w:w="0" w:type="dxa"/>
            <w:vAlign w:val="bottom"/>
          </w:tcPr>
          <w:p>
            <w:pPr>
              <w:spacing w:after="0"/>
              <w:rPr>
                <w:sz w:val="1"/>
                <w:szCs w:val="1"/>
                <w:color w:val="auto"/>
              </w:rPr>
            </w:pPr>
          </w:p>
        </w:tc>
      </w:tr>
      <w:tr>
        <w:trPr>
          <w:trHeight w:val="197"/>
        </w:trPr>
        <w:tc>
          <w:tcPr>
            <w:tcW w:w="2200" w:type="dxa"/>
            <w:vAlign w:val="bottom"/>
            <w:tcBorders>
              <w:bottom w:val="single" w:sz="8" w:color="231F20"/>
            </w:tcBorders>
          </w:tcPr>
          <w:p>
            <w:pPr>
              <w:spacing w:after="0"/>
              <w:rPr>
                <w:sz w:val="20"/>
                <w:szCs w:val="20"/>
                <w:color w:val="auto"/>
              </w:rPr>
            </w:pPr>
            <w:r>
              <w:rPr>
                <w:rFonts w:ascii="Arial" w:cs="Arial" w:eastAsia="Arial" w:hAnsi="Arial"/>
                <w:sz w:val="14"/>
                <w:szCs w:val="14"/>
                <w:color w:val="231F20"/>
              </w:rPr>
              <w:t>Fox</w:t>
            </w:r>
          </w:p>
        </w:tc>
        <w:tc>
          <w:tcPr>
            <w:tcW w:w="2720" w:type="dxa"/>
            <w:vAlign w:val="bottom"/>
            <w:tcBorders>
              <w:bottom w:val="single" w:sz="8" w:color="231F20"/>
            </w:tcBorders>
          </w:tcPr>
          <w:p>
            <w:pPr>
              <w:jc w:val="right"/>
              <w:ind w:right="468"/>
              <w:spacing w:after="0"/>
              <w:rPr>
                <w:sz w:val="20"/>
                <w:szCs w:val="20"/>
                <w:color w:val="auto"/>
              </w:rPr>
            </w:pPr>
            <w:r>
              <w:rPr>
                <w:rFonts w:ascii="Arial" w:cs="Arial" w:eastAsia="Arial" w:hAnsi="Arial"/>
                <w:sz w:val="14"/>
                <w:szCs w:val="14"/>
                <w:color w:val="231F20"/>
              </w:rPr>
              <w:t>12/31/2020</w:t>
            </w:r>
          </w:p>
        </w:tc>
        <w:tc>
          <w:tcPr>
            <w:tcW w:w="2200" w:type="dxa"/>
            <w:vAlign w:val="bottom"/>
            <w:tcBorders>
              <w:bottom w:val="single" w:sz="8" w:color="231F20"/>
            </w:tcBorders>
          </w:tcPr>
          <w:p>
            <w:pPr>
              <w:jc w:val="right"/>
              <w:ind w:right="488"/>
              <w:spacing w:after="0"/>
              <w:rPr>
                <w:sz w:val="20"/>
                <w:szCs w:val="20"/>
                <w:color w:val="auto"/>
              </w:rPr>
            </w:pPr>
            <w:r>
              <w:rPr>
                <w:rFonts w:ascii="Arial" w:cs="Arial" w:eastAsia="Arial" w:hAnsi="Arial"/>
                <w:sz w:val="14"/>
                <w:szCs w:val="14"/>
                <w:color w:val="231F20"/>
              </w:rPr>
              <w:t>2/27/2021</w:t>
            </w:r>
          </w:p>
        </w:tc>
        <w:tc>
          <w:tcPr>
            <w:tcW w:w="2060" w:type="dxa"/>
            <w:vAlign w:val="bottom"/>
            <w:tcBorders>
              <w:bottom w:val="single" w:sz="8" w:color="231F20"/>
            </w:tcBorders>
          </w:tcPr>
          <w:p>
            <w:pPr>
              <w:jc w:val="right"/>
              <w:ind w:right="368"/>
              <w:spacing w:after="0"/>
              <w:rPr>
                <w:sz w:val="20"/>
                <w:szCs w:val="20"/>
                <w:color w:val="auto"/>
              </w:rPr>
            </w:pPr>
            <w:r>
              <w:rPr>
                <w:rFonts w:ascii="Arial" w:cs="Arial" w:eastAsia="Arial" w:hAnsi="Arial"/>
                <w:sz w:val="14"/>
                <w:szCs w:val="14"/>
                <w:color w:val="231F20"/>
              </w:rPr>
              <w:t>8,520</w:t>
            </w:r>
          </w:p>
        </w:tc>
        <w:tc>
          <w:tcPr>
            <w:tcW w:w="1720" w:type="dxa"/>
            <w:vAlign w:val="bottom"/>
            <w:tcBorders>
              <w:bottom w:val="single" w:sz="8" w:color="231F20"/>
            </w:tcBorders>
          </w:tcPr>
          <w:p>
            <w:pPr>
              <w:jc w:val="right"/>
              <w:spacing w:after="0"/>
              <w:rPr>
                <w:sz w:val="20"/>
                <w:szCs w:val="20"/>
                <w:color w:val="auto"/>
              </w:rPr>
            </w:pPr>
            <w:r>
              <w:rPr>
                <w:rFonts w:ascii="Arial" w:cs="Arial" w:eastAsia="Arial" w:hAnsi="Arial"/>
                <w:sz w:val="14"/>
                <w:szCs w:val="14"/>
                <w:color w:val="231F20"/>
              </w:rPr>
              <w:t>3,241</w:t>
            </w:r>
          </w:p>
        </w:tc>
        <w:tc>
          <w:tcPr>
            <w:tcW w:w="0" w:type="dxa"/>
            <w:vAlign w:val="bottom"/>
          </w:tcPr>
          <w:p>
            <w:pPr>
              <w:spacing w:after="0"/>
              <w:rPr>
                <w:sz w:val="1"/>
                <w:szCs w:val="1"/>
                <w:color w:val="auto"/>
              </w:rPr>
            </w:pPr>
          </w:p>
        </w:tc>
      </w:tr>
      <w:tr>
        <w:trPr>
          <w:trHeight w:val="197"/>
        </w:trPr>
        <w:tc>
          <w:tcPr>
            <w:tcW w:w="2200" w:type="dxa"/>
            <w:vAlign w:val="bottom"/>
            <w:tcBorders>
              <w:bottom w:val="single" w:sz="8" w:color="231F20"/>
            </w:tcBorders>
          </w:tcPr>
          <w:p>
            <w:pPr>
              <w:spacing w:after="0"/>
              <w:rPr>
                <w:sz w:val="20"/>
                <w:szCs w:val="20"/>
                <w:color w:val="auto"/>
              </w:rPr>
            </w:pPr>
            <w:r>
              <w:rPr>
                <w:rFonts w:ascii="Arial" w:cs="Arial" w:eastAsia="Arial" w:hAnsi="Arial"/>
                <w:sz w:val="14"/>
                <w:szCs w:val="14"/>
                <w:color w:val="231F20"/>
              </w:rPr>
              <w:t>Rhodes</w:t>
            </w:r>
          </w:p>
        </w:tc>
        <w:tc>
          <w:tcPr>
            <w:tcW w:w="2720" w:type="dxa"/>
            <w:vAlign w:val="bottom"/>
            <w:tcBorders>
              <w:bottom w:val="single" w:sz="8" w:color="231F20"/>
            </w:tcBorders>
          </w:tcPr>
          <w:p>
            <w:pPr>
              <w:jc w:val="right"/>
              <w:ind w:right="468"/>
              <w:spacing w:after="0"/>
              <w:rPr>
                <w:sz w:val="20"/>
                <w:szCs w:val="20"/>
                <w:color w:val="auto"/>
              </w:rPr>
            </w:pPr>
            <w:r>
              <w:rPr>
                <w:rFonts w:ascii="Arial" w:cs="Arial" w:eastAsia="Arial" w:hAnsi="Arial"/>
                <w:sz w:val="14"/>
                <w:szCs w:val="14"/>
                <w:color w:val="231F20"/>
              </w:rPr>
              <w:t>12/31/2020</w:t>
            </w:r>
          </w:p>
        </w:tc>
        <w:tc>
          <w:tcPr>
            <w:tcW w:w="2200" w:type="dxa"/>
            <w:vAlign w:val="bottom"/>
            <w:tcBorders>
              <w:bottom w:val="single" w:sz="8" w:color="231F20"/>
            </w:tcBorders>
          </w:tcPr>
          <w:p>
            <w:pPr>
              <w:jc w:val="right"/>
              <w:ind w:right="488"/>
              <w:spacing w:after="0"/>
              <w:rPr>
                <w:sz w:val="20"/>
                <w:szCs w:val="20"/>
                <w:color w:val="auto"/>
              </w:rPr>
            </w:pPr>
            <w:r>
              <w:rPr>
                <w:rFonts w:ascii="Arial" w:cs="Arial" w:eastAsia="Arial" w:hAnsi="Arial"/>
                <w:sz w:val="14"/>
                <w:szCs w:val="14"/>
                <w:color w:val="231F20"/>
              </w:rPr>
              <w:t>2/27/2021</w:t>
            </w:r>
          </w:p>
        </w:tc>
        <w:tc>
          <w:tcPr>
            <w:tcW w:w="2060" w:type="dxa"/>
            <w:vAlign w:val="bottom"/>
            <w:tcBorders>
              <w:bottom w:val="single" w:sz="8" w:color="231F20"/>
            </w:tcBorders>
          </w:tcPr>
          <w:p>
            <w:pPr>
              <w:jc w:val="right"/>
              <w:ind w:right="368"/>
              <w:spacing w:after="0"/>
              <w:rPr>
                <w:sz w:val="20"/>
                <w:szCs w:val="20"/>
                <w:color w:val="auto"/>
              </w:rPr>
            </w:pPr>
            <w:r>
              <w:rPr>
                <w:rFonts w:ascii="Arial" w:cs="Arial" w:eastAsia="Arial" w:hAnsi="Arial"/>
                <w:sz w:val="14"/>
                <w:szCs w:val="14"/>
                <w:color w:val="231F20"/>
              </w:rPr>
              <w:t>8,020</w:t>
            </w:r>
          </w:p>
        </w:tc>
        <w:tc>
          <w:tcPr>
            <w:tcW w:w="1720" w:type="dxa"/>
            <w:vAlign w:val="bottom"/>
            <w:tcBorders>
              <w:bottom w:val="single" w:sz="8" w:color="231F20"/>
            </w:tcBorders>
          </w:tcPr>
          <w:p>
            <w:pPr>
              <w:jc w:val="right"/>
              <w:spacing w:after="0"/>
              <w:rPr>
                <w:sz w:val="20"/>
                <w:szCs w:val="20"/>
                <w:color w:val="auto"/>
              </w:rPr>
            </w:pPr>
            <w:r>
              <w:rPr>
                <w:rFonts w:ascii="Arial" w:cs="Arial" w:eastAsia="Arial" w:hAnsi="Arial"/>
                <w:sz w:val="14"/>
                <w:szCs w:val="14"/>
                <w:color w:val="231F20"/>
              </w:rPr>
              <w:t>2,605</w:t>
            </w:r>
          </w:p>
        </w:tc>
        <w:tc>
          <w:tcPr>
            <w:tcW w:w="0" w:type="dxa"/>
            <w:vAlign w:val="bottom"/>
          </w:tcPr>
          <w:p>
            <w:pPr>
              <w:spacing w:after="0"/>
              <w:rPr>
                <w:sz w:val="1"/>
                <w:szCs w:val="1"/>
                <w:color w:val="auto"/>
              </w:rPr>
            </w:pPr>
          </w:p>
        </w:tc>
      </w:tr>
      <w:tr>
        <w:trPr>
          <w:trHeight w:val="197"/>
        </w:trPr>
        <w:tc>
          <w:tcPr>
            <w:tcW w:w="2200" w:type="dxa"/>
            <w:vAlign w:val="bottom"/>
            <w:tcBorders>
              <w:bottom w:val="single" w:sz="8" w:color="231F20"/>
            </w:tcBorders>
          </w:tcPr>
          <w:p>
            <w:pPr>
              <w:spacing w:after="0"/>
              <w:rPr>
                <w:sz w:val="20"/>
                <w:szCs w:val="20"/>
                <w:color w:val="auto"/>
              </w:rPr>
            </w:pPr>
            <w:r>
              <w:rPr>
                <w:rFonts w:ascii="Arial" w:cs="Arial" w:eastAsia="Arial" w:hAnsi="Arial"/>
                <w:sz w:val="14"/>
                <w:szCs w:val="14"/>
                <w:color w:val="231F20"/>
              </w:rPr>
              <w:t>Luning</w:t>
            </w:r>
          </w:p>
        </w:tc>
        <w:tc>
          <w:tcPr>
            <w:tcW w:w="2720" w:type="dxa"/>
            <w:vAlign w:val="bottom"/>
            <w:tcBorders>
              <w:bottom w:val="single" w:sz="8" w:color="231F20"/>
            </w:tcBorders>
          </w:tcPr>
          <w:p>
            <w:pPr>
              <w:jc w:val="right"/>
              <w:ind w:right="468"/>
              <w:spacing w:after="0"/>
              <w:rPr>
                <w:sz w:val="20"/>
                <w:szCs w:val="20"/>
                <w:color w:val="auto"/>
              </w:rPr>
            </w:pPr>
            <w:r>
              <w:rPr>
                <w:rFonts w:ascii="Arial" w:cs="Arial" w:eastAsia="Arial" w:hAnsi="Arial"/>
                <w:sz w:val="14"/>
                <w:szCs w:val="14"/>
                <w:color w:val="231F20"/>
              </w:rPr>
              <w:t>12/31/2020</w:t>
            </w:r>
          </w:p>
        </w:tc>
        <w:tc>
          <w:tcPr>
            <w:tcW w:w="2200" w:type="dxa"/>
            <w:vAlign w:val="bottom"/>
            <w:tcBorders>
              <w:bottom w:val="single" w:sz="8" w:color="231F20"/>
            </w:tcBorders>
          </w:tcPr>
          <w:p>
            <w:pPr>
              <w:jc w:val="right"/>
              <w:ind w:right="488"/>
              <w:spacing w:after="0"/>
              <w:rPr>
                <w:sz w:val="20"/>
                <w:szCs w:val="20"/>
                <w:color w:val="auto"/>
              </w:rPr>
            </w:pPr>
            <w:r>
              <w:rPr>
                <w:rFonts w:ascii="Arial" w:cs="Arial" w:eastAsia="Arial" w:hAnsi="Arial"/>
                <w:sz w:val="14"/>
                <w:szCs w:val="14"/>
                <w:color w:val="231F20"/>
              </w:rPr>
              <w:t>2/27/2021</w:t>
            </w:r>
          </w:p>
        </w:tc>
        <w:tc>
          <w:tcPr>
            <w:tcW w:w="2060" w:type="dxa"/>
            <w:vAlign w:val="bottom"/>
            <w:tcBorders>
              <w:bottom w:val="single" w:sz="8" w:color="231F20"/>
            </w:tcBorders>
          </w:tcPr>
          <w:p>
            <w:pPr>
              <w:jc w:val="right"/>
              <w:ind w:right="368"/>
              <w:spacing w:after="0"/>
              <w:rPr>
                <w:sz w:val="20"/>
                <w:szCs w:val="20"/>
                <w:color w:val="auto"/>
              </w:rPr>
            </w:pPr>
            <w:r>
              <w:rPr>
                <w:rFonts w:ascii="Arial" w:cs="Arial" w:eastAsia="Arial" w:hAnsi="Arial"/>
                <w:sz w:val="14"/>
                <w:szCs w:val="14"/>
                <w:color w:val="231F20"/>
              </w:rPr>
              <w:t>6,875</w:t>
            </w:r>
          </w:p>
        </w:tc>
        <w:tc>
          <w:tcPr>
            <w:tcW w:w="1720" w:type="dxa"/>
            <w:vAlign w:val="bottom"/>
            <w:tcBorders>
              <w:bottom w:val="single" w:sz="8" w:color="231F20"/>
            </w:tcBorders>
          </w:tcPr>
          <w:p>
            <w:pPr>
              <w:jc w:val="right"/>
              <w:spacing w:after="0"/>
              <w:rPr>
                <w:sz w:val="20"/>
                <w:szCs w:val="20"/>
                <w:color w:val="auto"/>
              </w:rPr>
            </w:pPr>
            <w:r>
              <w:rPr>
                <w:rFonts w:ascii="Arial" w:cs="Arial" w:eastAsia="Arial" w:hAnsi="Arial"/>
                <w:sz w:val="14"/>
                <w:szCs w:val="14"/>
                <w:color w:val="231F20"/>
              </w:rPr>
              <w:t>2,616</w:t>
            </w:r>
          </w:p>
        </w:tc>
        <w:tc>
          <w:tcPr>
            <w:tcW w:w="0" w:type="dxa"/>
            <w:vAlign w:val="bottom"/>
          </w:tcPr>
          <w:p>
            <w:pPr>
              <w:spacing w:after="0"/>
              <w:rPr>
                <w:sz w:val="1"/>
                <w:szCs w:val="1"/>
                <w:color w:val="auto"/>
              </w:rPr>
            </w:pPr>
          </w:p>
        </w:tc>
      </w:tr>
    </w:tbl>
    <w:p>
      <w:pPr>
        <w:spacing w:after="0" w:line="121" w:lineRule="exact"/>
        <w:rPr>
          <w:sz w:val="20"/>
          <w:szCs w:val="20"/>
          <w:color w:val="auto"/>
        </w:rPr>
      </w:pPr>
    </w:p>
    <w:p>
      <w:pPr>
        <w:spacing w:after="0"/>
        <w:rPr>
          <w:sz w:val="20"/>
          <w:szCs w:val="20"/>
          <w:color w:val="auto"/>
        </w:rPr>
      </w:pPr>
      <w:r>
        <w:rPr>
          <w:rFonts w:ascii="Arial" w:cs="Arial" w:eastAsia="Arial" w:hAnsi="Arial"/>
          <w:sz w:val="24"/>
          <w:szCs w:val="24"/>
          <w:b w:val="1"/>
          <w:bCs w:val="1"/>
          <w:color w:val="455986"/>
        </w:rPr>
        <w:t>Options Exercised and Stock Vested</w:t>
      </w:r>
    </w:p>
    <w:p>
      <w:pPr>
        <w:spacing w:after="0" w:line="169" w:lineRule="exact"/>
        <w:rPr>
          <w:sz w:val="20"/>
          <w:szCs w:val="20"/>
          <w:color w:val="auto"/>
        </w:rPr>
      </w:pPr>
    </w:p>
    <w:p>
      <w:pPr>
        <w:spacing w:after="0" w:line="253" w:lineRule="auto"/>
        <w:rPr>
          <w:sz w:val="20"/>
          <w:szCs w:val="20"/>
          <w:color w:val="auto"/>
        </w:rPr>
      </w:pPr>
      <w:r>
        <w:rPr>
          <w:rFonts w:ascii="Arial" w:cs="Arial" w:eastAsia="Arial" w:hAnsi="Arial"/>
          <w:sz w:val="14"/>
          <w:szCs w:val="14"/>
          <w:color w:val="231F20"/>
        </w:rPr>
        <w:t>The following table shows (1) the number of shares of stock options, restricted shares, PSUs or RSUs previously granted to the named executive officers that were exercised, vested or were earned during 2020, and (2) the value realized by those officers upon the exercise, vesting, or payment of such shares based on the closing market price for our shares of Common Stock on the exercise or vesting date.</w:t>
      </w:r>
    </w:p>
    <w:p>
      <w:pPr>
        <w:spacing w:after="0" w:line="106" w:lineRule="exact"/>
        <w:rPr>
          <w:sz w:val="20"/>
          <w:szCs w:val="20"/>
          <w:color w:val="auto"/>
        </w:rPr>
      </w:pPr>
    </w:p>
    <w:p>
      <w:pPr>
        <w:spacing w:after="0"/>
        <w:rPr>
          <w:sz w:val="20"/>
          <w:szCs w:val="20"/>
          <w:color w:val="auto"/>
        </w:rPr>
      </w:pPr>
      <w:r>
        <w:rPr>
          <w:rFonts w:ascii="Arial" w:cs="Arial" w:eastAsia="Arial" w:hAnsi="Arial"/>
          <w:sz w:val="15"/>
          <w:szCs w:val="15"/>
          <w:b w:val="1"/>
          <w:bCs w:val="1"/>
          <w:color w:val="231F20"/>
        </w:rPr>
        <w:t>Options Exercised and Stock Vested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2100" w:type="dxa"/>
            <w:vAlign w:val="bottom"/>
          </w:tcPr>
          <w:p>
            <w:pPr>
              <w:spacing w:after="0"/>
              <w:rPr>
                <w:sz w:val="14"/>
                <w:szCs w:val="14"/>
                <w:color w:val="auto"/>
              </w:rPr>
            </w:pPr>
          </w:p>
        </w:tc>
        <w:tc>
          <w:tcPr>
            <w:tcW w:w="2000" w:type="dxa"/>
            <w:vAlign w:val="bottom"/>
            <w:tcBorders>
              <w:bottom w:val="single" w:sz="8" w:color="4395D4"/>
            </w:tcBorders>
          </w:tcPr>
          <w:p>
            <w:pPr>
              <w:jc w:val="right"/>
              <w:ind w:right="72"/>
              <w:spacing w:after="0"/>
              <w:rPr>
                <w:sz w:val="20"/>
                <w:szCs w:val="20"/>
                <w:color w:val="auto"/>
              </w:rPr>
            </w:pPr>
            <w:r>
              <w:rPr>
                <w:rFonts w:ascii="Arial" w:cs="Arial" w:eastAsia="Arial" w:hAnsi="Arial"/>
                <w:sz w:val="14"/>
                <w:szCs w:val="14"/>
                <w:color w:val="455986"/>
              </w:rPr>
              <w:t>Option Awards</w:t>
            </w:r>
          </w:p>
        </w:tc>
        <w:tc>
          <w:tcPr>
            <w:tcW w:w="860" w:type="dxa"/>
            <w:vAlign w:val="bottom"/>
            <w:tcBorders>
              <w:bottom w:val="single" w:sz="8" w:color="4395D4"/>
            </w:tcBorders>
          </w:tcPr>
          <w:p>
            <w:pPr>
              <w:spacing w:after="0"/>
              <w:rPr>
                <w:sz w:val="14"/>
                <w:szCs w:val="14"/>
                <w:color w:val="auto"/>
              </w:rPr>
            </w:pPr>
          </w:p>
        </w:tc>
        <w:tc>
          <w:tcPr>
            <w:tcW w:w="300" w:type="dxa"/>
            <w:vAlign w:val="bottom"/>
          </w:tcPr>
          <w:p>
            <w:pPr>
              <w:spacing w:after="0"/>
              <w:rPr>
                <w:sz w:val="14"/>
                <w:szCs w:val="14"/>
                <w:color w:val="auto"/>
              </w:rPr>
            </w:pPr>
          </w:p>
        </w:tc>
        <w:tc>
          <w:tcPr>
            <w:tcW w:w="2720" w:type="dxa"/>
            <w:vAlign w:val="bottom"/>
            <w:tcBorders>
              <w:bottom w:val="single" w:sz="8" w:color="4395D4"/>
            </w:tcBorders>
            <w:gridSpan w:val="2"/>
          </w:tcPr>
          <w:p>
            <w:pPr>
              <w:jc w:val="right"/>
              <w:ind w:right="873"/>
              <w:spacing w:after="0"/>
              <w:rPr>
                <w:sz w:val="20"/>
                <w:szCs w:val="20"/>
                <w:color w:val="auto"/>
              </w:rPr>
            </w:pPr>
            <w:r>
              <w:rPr>
                <w:rFonts w:ascii="Arial" w:cs="Arial" w:eastAsia="Arial" w:hAnsi="Arial"/>
                <w:sz w:val="14"/>
                <w:szCs w:val="14"/>
                <w:color w:val="455986"/>
              </w:rPr>
              <w:t>Stock Awards</w:t>
            </w:r>
          </w:p>
        </w:tc>
      </w:tr>
      <w:tr>
        <w:trPr>
          <w:trHeight w:val="134"/>
        </w:trPr>
        <w:tc>
          <w:tcPr>
            <w:tcW w:w="2100" w:type="dxa"/>
            <w:vAlign w:val="bottom"/>
          </w:tcPr>
          <w:p>
            <w:pPr>
              <w:spacing w:after="0"/>
              <w:rPr>
                <w:sz w:val="11"/>
                <w:szCs w:val="11"/>
                <w:color w:val="auto"/>
              </w:rPr>
            </w:pPr>
          </w:p>
        </w:tc>
        <w:tc>
          <w:tcPr>
            <w:tcW w:w="2000" w:type="dxa"/>
            <w:vAlign w:val="bottom"/>
          </w:tcPr>
          <w:p>
            <w:pPr>
              <w:spacing w:after="0"/>
              <w:rPr>
                <w:sz w:val="11"/>
                <w:szCs w:val="11"/>
                <w:color w:val="auto"/>
              </w:rPr>
            </w:pPr>
          </w:p>
        </w:tc>
        <w:tc>
          <w:tcPr>
            <w:tcW w:w="860" w:type="dxa"/>
            <w:vAlign w:val="bottom"/>
          </w:tcPr>
          <w:p>
            <w:pPr>
              <w:jc w:val="right"/>
              <w:spacing w:after="0" w:line="135" w:lineRule="exact"/>
              <w:rPr>
                <w:sz w:val="20"/>
                <w:szCs w:val="20"/>
                <w:color w:val="auto"/>
              </w:rPr>
            </w:pPr>
            <w:r>
              <w:rPr>
                <w:rFonts w:ascii="Arial" w:cs="Arial" w:eastAsia="Arial" w:hAnsi="Arial"/>
                <w:sz w:val="14"/>
                <w:szCs w:val="14"/>
                <w:color w:val="455986"/>
              </w:rPr>
              <w:t>Value</w:t>
            </w:r>
          </w:p>
        </w:tc>
        <w:tc>
          <w:tcPr>
            <w:tcW w:w="300" w:type="dxa"/>
            <w:vAlign w:val="bottom"/>
          </w:tcPr>
          <w:p>
            <w:pPr>
              <w:spacing w:after="0"/>
              <w:rPr>
                <w:sz w:val="11"/>
                <w:szCs w:val="11"/>
                <w:color w:val="auto"/>
              </w:rPr>
            </w:pPr>
          </w:p>
        </w:tc>
        <w:tc>
          <w:tcPr>
            <w:tcW w:w="1480" w:type="dxa"/>
            <w:vAlign w:val="bottom"/>
          </w:tcPr>
          <w:p>
            <w:pPr>
              <w:jc w:val="right"/>
              <w:ind w:right="132"/>
              <w:spacing w:after="0" w:line="135" w:lineRule="exact"/>
              <w:rPr>
                <w:sz w:val="20"/>
                <w:szCs w:val="20"/>
                <w:color w:val="auto"/>
              </w:rPr>
            </w:pPr>
            <w:r>
              <w:rPr>
                <w:rFonts w:ascii="Arial" w:cs="Arial" w:eastAsia="Arial" w:hAnsi="Arial"/>
                <w:sz w:val="14"/>
                <w:szCs w:val="14"/>
                <w:color w:val="455986"/>
              </w:rPr>
              <w:t>Number of</w:t>
            </w:r>
          </w:p>
        </w:tc>
        <w:tc>
          <w:tcPr>
            <w:tcW w:w="1240" w:type="dxa"/>
            <w:vAlign w:val="bottom"/>
          </w:tcPr>
          <w:p>
            <w:pPr>
              <w:spacing w:after="0"/>
              <w:rPr>
                <w:sz w:val="11"/>
                <w:szCs w:val="11"/>
                <w:color w:val="auto"/>
              </w:rPr>
            </w:pPr>
          </w:p>
        </w:tc>
      </w:tr>
      <w:tr>
        <w:trPr>
          <w:trHeight w:val="153"/>
        </w:trPr>
        <w:tc>
          <w:tcPr>
            <w:tcW w:w="2100" w:type="dxa"/>
            <w:vAlign w:val="bottom"/>
          </w:tcPr>
          <w:p>
            <w:pPr>
              <w:spacing w:after="0"/>
              <w:rPr>
                <w:sz w:val="13"/>
                <w:szCs w:val="13"/>
                <w:color w:val="auto"/>
              </w:rPr>
            </w:pPr>
          </w:p>
        </w:tc>
        <w:tc>
          <w:tcPr>
            <w:tcW w:w="2000" w:type="dxa"/>
            <w:vAlign w:val="bottom"/>
          </w:tcPr>
          <w:p>
            <w:pPr>
              <w:jc w:val="right"/>
              <w:ind w:right="332"/>
              <w:spacing w:after="0" w:line="153" w:lineRule="exact"/>
              <w:rPr>
                <w:sz w:val="20"/>
                <w:szCs w:val="20"/>
                <w:color w:val="auto"/>
              </w:rPr>
            </w:pPr>
            <w:r>
              <w:rPr>
                <w:rFonts w:ascii="Arial" w:cs="Arial" w:eastAsia="Arial" w:hAnsi="Arial"/>
                <w:sz w:val="14"/>
                <w:szCs w:val="14"/>
                <w:color w:val="455986"/>
              </w:rPr>
              <w:t>Number of Shares</w:t>
            </w:r>
          </w:p>
        </w:tc>
        <w:tc>
          <w:tcPr>
            <w:tcW w:w="1160" w:type="dxa"/>
            <w:vAlign w:val="bottom"/>
            <w:gridSpan w:val="2"/>
          </w:tcPr>
          <w:p>
            <w:pPr>
              <w:jc w:val="right"/>
              <w:ind w:right="300"/>
              <w:spacing w:after="0" w:line="153" w:lineRule="exact"/>
              <w:rPr>
                <w:sz w:val="20"/>
                <w:szCs w:val="20"/>
                <w:color w:val="auto"/>
              </w:rPr>
            </w:pPr>
            <w:r>
              <w:rPr>
                <w:rFonts w:ascii="Arial" w:cs="Arial" w:eastAsia="Arial" w:hAnsi="Arial"/>
                <w:sz w:val="14"/>
                <w:szCs w:val="14"/>
                <w:color w:val="455986"/>
              </w:rPr>
              <w:t>Realized on</w:t>
            </w:r>
          </w:p>
        </w:tc>
        <w:tc>
          <w:tcPr>
            <w:tcW w:w="1480" w:type="dxa"/>
            <w:vAlign w:val="bottom"/>
          </w:tcPr>
          <w:p>
            <w:pPr>
              <w:jc w:val="right"/>
              <w:ind w:right="92"/>
              <w:spacing w:after="0" w:line="153" w:lineRule="exact"/>
              <w:rPr>
                <w:sz w:val="20"/>
                <w:szCs w:val="20"/>
                <w:color w:val="auto"/>
              </w:rPr>
            </w:pPr>
            <w:r>
              <w:rPr>
                <w:rFonts w:ascii="Arial" w:cs="Arial" w:eastAsia="Arial" w:hAnsi="Arial"/>
                <w:sz w:val="14"/>
                <w:szCs w:val="14"/>
                <w:color w:val="455986"/>
              </w:rPr>
              <w:t>Shares Acquired</w:t>
            </w:r>
          </w:p>
        </w:tc>
        <w:tc>
          <w:tcPr>
            <w:tcW w:w="1240" w:type="dxa"/>
            <w:vAlign w:val="bottom"/>
          </w:tcPr>
          <w:p>
            <w:pPr>
              <w:jc w:val="right"/>
              <w:spacing w:after="0" w:line="153" w:lineRule="exact"/>
              <w:rPr>
                <w:sz w:val="20"/>
                <w:szCs w:val="20"/>
                <w:color w:val="auto"/>
              </w:rPr>
            </w:pPr>
            <w:r>
              <w:rPr>
                <w:rFonts w:ascii="Arial" w:cs="Arial" w:eastAsia="Arial" w:hAnsi="Arial"/>
                <w:sz w:val="14"/>
                <w:szCs w:val="14"/>
                <w:color w:val="455986"/>
              </w:rPr>
              <w:t>Value Realized on</w:t>
            </w:r>
          </w:p>
        </w:tc>
      </w:tr>
      <w:tr>
        <w:trPr>
          <w:trHeight w:val="165"/>
        </w:trPr>
        <w:tc>
          <w:tcPr>
            <w:tcW w:w="2100" w:type="dxa"/>
            <w:vAlign w:val="bottom"/>
          </w:tcPr>
          <w:p>
            <w:pPr>
              <w:spacing w:after="0"/>
              <w:rPr>
                <w:sz w:val="14"/>
                <w:szCs w:val="14"/>
                <w:color w:val="auto"/>
              </w:rPr>
            </w:pPr>
          </w:p>
        </w:tc>
        <w:tc>
          <w:tcPr>
            <w:tcW w:w="2000" w:type="dxa"/>
            <w:vAlign w:val="bottom"/>
          </w:tcPr>
          <w:p>
            <w:pPr>
              <w:jc w:val="right"/>
              <w:ind w:right="332"/>
              <w:spacing w:after="0"/>
              <w:rPr>
                <w:sz w:val="20"/>
                <w:szCs w:val="20"/>
                <w:color w:val="auto"/>
              </w:rPr>
            </w:pPr>
            <w:r>
              <w:rPr>
                <w:rFonts w:ascii="Arial" w:cs="Arial" w:eastAsia="Arial" w:hAnsi="Arial"/>
                <w:sz w:val="14"/>
                <w:szCs w:val="14"/>
                <w:color w:val="455986"/>
              </w:rPr>
              <w:t>Acquired on Exercise</w:t>
            </w:r>
          </w:p>
        </w:tc>
        <w:tc>
          <w:tcPr>
            <w:tcW w:w="1160" w:type="dxa"/>
            <w:vAlign w:val="bottom"/>
            <w:gridSpan w:val="2"/>
          </w:tcPr>
          <w:p>
            <w:pPr>
              <w:jc w:val="right"/>
              <w:ind w:right="300"/>
              <w:spacing w:after="0"/>
              <w:rPr>
                <w:sz w:val="20"/>
                <w:szCs w:val="20"/>
                <w:color w:val="auto"/>
              </w:rPr>
            </w:pPr>
            <w:r>
              <w:rPr>
                <w:rFonts w:ascii="Arial" w:cs="Arial" w:eastAsia="Arial" w:hAnsi="Arial"/>
                <w:sz w:val="14"/>
                <w:szCs w:val="14"/>
                <w:color w:val="455986"/>
              </w:rPr>
              <w:t>Exercise</w:t>
            </w:r>
          </w:p>
        </w:tc>
        <w:tc>
          <w:tcPr>
            <w:tcW w:w="1480" w:type="dxa"/>
            <w:vAlign w:val="bottom"/>
          </w:tcPr>
          <w:p>
            <w:pPr>
              <w:jc w:val="right"/>
              <w:ind w:right="92"/>
              <w:spacing w:after="0"/>
              <w:rPr>
                <w:sz w:val="20"/>
                <w:szCs w:val="20"/>
                <w:color w:val="auto"/>
              </w:rPr>
            </w:pPr>
            <w:r>
              <w:rPr>
                <w:rFonts w:ascii="Arial" w:cs="Arial" w:eastAsia="Arial" w:hAnsi="Arial"/>
                <w:sz w:val="14"/>
                <w:szCs w:val="14"/>
                <w:color w:val="455986"/>
              </w:rPr>
              <w:t>on Vesting</w:t>
            </w:r>
          </w:p>
        </w:tc>
        <w:tc>
          <w:tcPr>
            <w:tcW w:w="1240" w:type="dxa"/>
            <w:vAlign w:val="bottom"/>
          </w:tcPr>
          <w:p>
            <w:pPr>
              <w:jc w:val="right"/>
              <w:spacing w:after="0"/>
              <w:rPr>
                <w:sz w:val="20"/>
                <w:szCs w:val="20"/>
                <w:color w:val="auto"/>
              </w:rPr>
            </w:pPr>
            <w:r>
              <w:rPr>
                <w:rFonts w:ascii="Arial" w:cs="Arial" w:eastAsia="Arial" w:hAnsi="Arial"/>
                <w:sz w:val="14"/>
                <w:szCs w:val="14"/>
                <w:color w:val="455986"/>
              </w:rPr>
              <w:t>Vesting</w:t>
            </w:r>
          </w:p>
        </w:tc>
      </w:tr>
      <w:tr>
        <w:trPr>
          <w:trHeight w:val="179"/>
        </w:trPr>
        <w:tc>
          <w:tcPr>
            <w:tcW w:w="2100" w:type="dxa"/>
            <w:vAlign w:val="bottom"/>
            <w:tcBorders>
              <w:bottom w:val="single" w:sz="8" w:color="4395D4"/>
            </w:tcBorders>
          </w:tcPr>
          <w:p>
            <w:pPr>
              <w:spacing w:after="0"/>
              <w:rPr>
                <w:sz w:val="20"/>
                <w:szCs w:val="20"/>
                <w:color w:val="auto"/>
              </w:rPr>
            </w:pPr>
            <w:r>
              <w:rPr>
                <w:rFonts w:ascii="Arial" w:cs="Arial" w:eastAsia="Arial" w:hAnsi="Arial"/>
                <w:sz w:val="14"/>
                <w:szCs w:val="14"/>
                <w:color w:val="455986"/>
              </w:rPr>
              <w:t>Name</w:t>
            </w:r>
          </w:p>
        </w:tc>
        <w:tc>
          <w:tcPr>
            <w:tcW w:w="2000" w:type="dxa"/>
            <w:vAlign w:val="bottom"/>
            <w:tcBorders>
              <w:bottom w:val="single" w:sz="8" w:color="4395D4"/>
            </w:tcBorders>
          </w:tcPr>
          <w:p>
            <w:pPr>
              <w:jc w:val="right"/>
              <w:ind w:right="332"/>
              <w:spacing w:after="0"/>
              <w:rPr>
                <w:sz w:val="20"/>
                <w:szCs w:val="20"/>
                <w:color w:val="auto"/>
              </w:rPr>
            </w:pPr>
            <w:r>
              <w:rPr>
                <w:rFonts w:ascii="Arial" w:cs="Arial" w:eastAsia="Arial" w:hAnsi="Arial"/>
                <w:sz w:val="14"/>
                <w:szCs w:val="14"/>
                <w:color w:val="455986"/>
              </w:rPr>
              <w:t>(#)</w:t>
            </w:r>
          </w:p>
        </w:tc>
        <w:tc>
          <w:tcPr>
            <w:tcW w:w="1160" w:type="dxa"/>
            <w:vAlign w:val="bottom"/>
            <w:tcBorders>
              <w:bottom w:val="single" w:sz="8" w:color="4395D4"/>
            </w:tcBorders>
            <w:gridSpan w:val="2"/>
          </w:tcPr>
          <w:p>
            <w:pPr>
              <w:jc w:val="right"/>
              <w:ind w:right="300"/>
              <w:spacing w:after="0"/>
              <w:rPr>
                <w:sz w:val="20"/>
                <w:szCs w:val="20"/>
                <w:color w:val="auto"/>
              </w:rPr>
            </w:pPr>
            <w:r>
              <w:rPr>
                <w:rFonts w:ascii="Arial" w:cs="Arial" w:eastAsia="Arial" w:hAnsi="Arial"/>
                <w:sz w:val="14"/>
                <w:szCs w:val="14"/>
                <w:color w:val="455986"/>
              </w:rPr>
              <w:t>($)</w:t>
            </w:r>
          </w:p>
        </w:tc>
        <w:tc>
          <w:tcPr>
            <w:tcW w:w="1480" w:type="dxa"/>
            <w:vAlign w:val="bottom"/>
            <w:tcBorders>
              <w:bottom w:val="single" w:sz="8" w:color="4395D4"/>
            </w:tcBorders>
          </w:tcPr>
          <w:p>
            <w:pPr>
              <w:jc w:val="right"/>
              <w:ind w:right="92"/>
              <w:spacing w:after="0" w:line="179" w:lineRule="exact"/>
              <w:rPr>
                <w:sz w:val="20"/>
                <w:szCs w:val="20"/>
                <w:color w:val="auto"/>
              </w:rPr>
            </w:pPr>
            <w:r>
              <w:rPr>
                <w:rFonts w:ascii="Arial" w:cs="Arial" w:eastAsia="Arial" w:hAnsi="Arial"/>
                <w:sz w:val="13"/>
                <w:szCs w:val="13"/>
                <w:color w:val="455986"/>
              </w:rPr>
              <w:t>(#)</w:t>
            </w:r>
            <w:r>
              <w:rPr>
                <w:rFonts w:ascii="Arial" w:cs="Arial" w:eastAsia="Arial" w:hAnsi="Arial"/>
                <w:sz w:val="20"/>
                <w:szCs w:val="20"/>
                <w:color w:val="455986"/>
                <w:vertAlign w:val="superscript"/>
              </w:rPr>
              <w:t>(1)</w:t>
            </w:r>
          </w:p>
        </w:tc>
        <w:tc>
          <w:tcPr>
            <w:tcW w:w="1240" w:type="dxa"/>
            <w:vAlign w:val="bottom"/>
            <w:tcBorders>
              <w:bottom w:val="single" w:sz="8" w:color="4395D4"/>
            </w:tcBorders>
          </w:tcPr>
          <w:p>
            <w:pPr>
              <w:jc w:val="right"/>
              <w:spacing w:after="0" w:line="179" w:lineRule="exact"/>
              <w:rPr>
                <w:sz w:val="20"/>
                <w:szCs w:val="20"/>
                <w:color w:val="auto"/>
              </w:rPr>
            </w:pPr>
            <w:r>
              <w:rPr>
                <w:rFonts w:ascii="Arial" w:cs="Arial" w:eastAsia="Arial" w:hAnsi="Arial"/>
                <w:sz w:val="13"/>
                <w:szCs w:val="13"/>
                <w:color w:val="455986"/>
              </w:rPr>
              <w:t>($)</w:t>
            </w:r>
            <w:r>
              <w:rPr>
                <w:rFonts w:ascii="Arial" w:cs="Arial" w:eastAsia="Arial" w:hAnsi="Arial"/>
                <w:sz w:val="20"/>
                <w:szCs w:val="20"/>
                <w:color w:val="455986"/>
                <w:vertAlign w:val="superscript"/>
              </w:rPr>
              <w:t>(2)</w:t>
            </w:r>
          </w:p>
        </w:tc>
      </w:tr>
      <w:tr>
        <w:trPr>
          <w:trHeight w:val="221"/>
        </w:trPr>
        <w:tc>
          <w:tcPr>
            <w:tcW w:w="2100" w:type="dxa"/>
            <w:vAlign w:val="bottom"/>
          </w:tcPr>
          <w:p>
            <w:pPr>
              <w:spacing w:after="0"/>
              <w:rPr>
                <w:sz w:val="20"/>
                <w:szCs w:val="20"/>
                <w:color w:val="auto"/>
              </w:rPr>
            </w:pPr>
            <w:r>
              <w:rPr>
                <w:rFonts w:ascii="Arial" w:cs="Arial" w:eastAsia="Arial" w:hAnsi="Arial"/>
                <w:sz w:val="14"/>
                <w:szCs w:val="14"/>
                <w:b w:val="1"/>
                <w:bCs w:val="1"/>
                <w:color w:val="455986"/>
              </w:rPr>
              <w:t>Franklin</w:t>
            </w:r>
          </w:p>
        </w:tc>
        <w:tc>
          <w:tcPr>
            <w:tcW w:w="2000" w:type="dxa"/>
            <w:vAlign w:val="bottom"/>
          </w:tcPr>
          <w:p>
            <w:pPr>
              <w:jc w:val="right"/>
              <w:ind w:right="332"/>
              <w:spacing w:after="0"/>
              <w:rPr>
                <w:sz w:val="20"/>
                <w:szCs w:val="20"/>
                <w:color w:val="auto"/>
              </w:rPr>
            </w:pPr>
            <w:r>
              <w:rPr>
                <w:rFonts w:ascii="Arial" w:cs="Arial" w:eastAsia="Arial" w:hAnsi="Arial"/>
                <w:sz w:val="14"/>
                <w:szCs w:val="14"/>
                <w:color w:val="231F20"/>
              </w:rPr>
              <w:t>—</w:t>
            </w:r>
          </w:p>
        </w:tc>
        <w:tc>
          <w:tcPr>
            <w:tcW w:w="1160" w:type="dxa"/>
            <w:vAlign w:val="bottom"/>
            <w:gridSpan w:val="2"/>
          </w:tcPr>
          <w:p>
            <w:pPr>
              <w:jc w:val="right"/>
              <w:ind w:right="300"/>
              <w:spacing w:after="0"/>
              <w:rPr>
                <w:sz w:val="20"/>
                <w:szCs w:val="20"/>
                <w:color w:val="auto"/>
              </w:rPr>
            </w:pPr>
            <w:r>
              <w:rPr>
                <w:rFonts w:ascii="Arial" w:cs="Arial" w:eastAsia="Arial" w:hAnsi="Arial"/>
                <w:sz w:val="14"/>
                <w:szCs w:val="14"/>
                <w:color w:val="231F20"/>
              </w:rPr>
              <w:t>—</w:t>
            </w:r>
          </w:p>
        </w:tc>
        <w:tc>
          <w:tcPr>
            <w:tcW w:w="1480" w:type="dxa"/>
            <w:vAlign w:val="bottom"/>
          </w:tcPr>
          <w:p>
            <w:pPr>
              <w:jc w:val="right"/>
              <w:ind w:right="92"/>
              <w:spacing w:after="0"/>
              <w:rPr>
                <w:sz w:val="20"/>
                <w:szCs w:val="20"/>
                <w:color w:val="auto"/>
              </w:rPr>
            </w:pPr>
            <w:r>
              <w:rPr>
                <w:rFonts w:ascii="Arial" w:cs="Arial" w:eastAsia="Arial" w:hAnsi="Arial"/>
                <w:sz w:val="14"/>
                <w:szCs w:val="14"/>
                <w:color w:val="231F20"/>
              </w:rPr>
              <w:t>45,970</w:t>
            </w:r>
          </w:p>
        </w:tc>
        <w:tc>
          <w:tcPr>
            <w:tcW w:w="1240" w:type="dxa"/>
            <w:vAlign w:val="bottom"/>
          </w:tcPr>
          <w:p>
            <w:pPr>
              <w:jc w:val="right"/>
              <w:spacing w:after="0"/>
              <w:rPr>
                <w:sz w:val="20"/>
                <w:szCs w:val="20"/>
                <w:color w:val="auto"/>
              </w:rPr>
            </w:pPr>
            <w:r>
              <w:rPr>
                <w:rFonts w:ascii="Arial" w:cs="Arial" w:eastAsia="Arial" w:hAnsi="Arial"/>
                <w:sz w:val="14"/>
                <w:szCs w:val="14"/>
                <w:color w:val="231F20"/>
              </w:rPr>
              <w:t>2,095,335</w:t>
            </w:r>
          </w:p>
        </w:tc>
      </w:tr>
      <w:tr>
        <w:trPr>
          <w:trHeight w:val="27"/>
        </w:trPr>
        <w:tc>
          <w:tcPr>
            <w:tcW w:w="2100" w:type="dxa"/>
            <w:vAlign w:val="bottom"/>
            <w:tcBorders>
              <w:bottom w:val="single" w:sz="8" w:color="231F20"/>
            </w:tcBorders>
          </w:tcPr>
          <w:p>
            <w:pPr>
              <w:spacing w:after="0"/>
              <w:rPr>
                <w:sz w:val="2"/>
                <w:szCs w:val="2"/>
                <w:color w:val="auto"/>
              </w:rPr>
            </w:pPr>
          </w:p>
        </w:tc>
        <w:tc>
          <w:tcPr>
            <w:tcW w:w="2000" w:type="dxa"/>
            <w:vAlign w:val="bottom"/>
            <w:tcBorders>
              <w:bottom w:val="single" w:sz="8" w:color="231F20"/>
            </w:tcBorders>
          </w:tcPr>
          <w:p>
            <w:pPr>
              <w:spacing w:after="0"/>
              <w:rPr>
                <w:sz w:val="2"/>
                <w:szCs w:val="2"/>
                <w:color w:val="auto"/>
              </w:rPr>
            </w:pPr>
          </w:p>
        </w:tc>
        <w:tc>
          <w:tcPr>
            <w:tcW w:w="860" w:type="dxa"/>
            <w:vAlign w:val="bottom"/>
            <w:tcBorders>
              <w:bottom w:val="single" w:sz="8" w:color="231F20"/>
            </w:tcBorders>
          </w:tcPr>
          <w:p>
            <w:pPr>
              <w:spacing w:after="0"/>
              <w:rPr>
                <w:sz w:val="2"/>
                <w:szCs w:val="2"/>
                <w:color w:val="auto"/>
              </w:rPr>
            </w:pPr>
          </w:p>
        </w:tc>
        <w:tc>
          <w:tcPr>
            <w:tcW w:w="300" w:type="dxa"/>
            <w:vAlign w:val="bottom"/>
            <w:tcBorders>
              <w:bottom w:val="single" w:sz="8" w:color="231F20"/>
            </w:tcBorders>
          </w:tcPr>
          <w:p>
            <w:pPr>
              <w:spacing w:after="0"/>
              <w:rPr>
                <w:sz w:val="2"/>
                <w:szCs w:val="2"/>
                <w:color w:val="auto"/>
              </w:rPr>
            </w:pPr>
          </w:p>
        </w:tc>
        <w:tc>
          <w:tcPr>
            <w:tcW w:w="1480" w:type="dxa"/>
            <w:vAlign w:val="bottom"/>
            <w:tcBorders>
              <w:bottom w:val="single" w:sz="8" w:color="231F20"/>
            </w:tcBorders>
          </w:tcPr>
          <w:p>
            <w:pPr>
              <w:spacing w:after="0"/>
              <w:rPr>
                <w:sz w:val="2"/>
                <w:szCs w:val="2"/>
                <w:color w:val="auto"/>
              </w:rPr>
            </w:pPr>
          </w:p>
        </w:tc>
        <w:tc>
          <w:tcPr>
            <w:tcW w:w="1240" w:type="dxa"/>
            <w:vAlign w:val="bottom"/>
            <w:tcBorders>
              <w:bottom w:val="single" w:sz="8" w:color="231F20"/>
            </w:tcBorders>
          </w:tcPr>
          <w:p>
            <w:pPr>
              <w:spacing w:after="0"/>
              <w:rPr>
                <w:sz w:val="2"/>
                <w:szCs w:val="2"/>
                <w:color w:val="auto"/>
              </w:rPr>
            </w:pPr>
          </w:p>
        </w:tc>
      </w:tr>
      <w:tr>
        <w:trPr>
          <w:trHeight w:val="221"/>
        </w:trPr>
        <w:tc>
          <w:tcPr>
            <w:tcW w:w="2100" w:type="dxa"/>
            <w:vAlign w:val="bottom"/>
          </w:tcPr>
          <w:p>
            <w:pPr>
              <w:spacing w:after="0"/>
              <w:rPr>
                <w:sz w:val="20"/>
                <w:szCs w:val="20"/>
                <w:color w:val="auto"/>
              </w:rPr>
            </w:pPr>
            <w:r>
              <w:rPr>
                <w:rFonts w:ascii="Arial" w:cs="Arial" w:eastAsia="Arial" w:hAnsi="Arial"/>
                <w:sz w:val="14"/>
                <w:szCs w:val="14"/>
                <w:b w:val="1"/>
                <w:bCs w:val="1"/>
                <w:color w:val="455986"/>
              </w:rPr>
              <w:t>Schuller</w:t>
            </w:r>
          </w:p>
        </w:tc>
        <w:tc>
          <w:tcPr>
            <w:tcW w:w="2000" w:type="dxa"/>
            <w:vAlign w:val="bottom"/>
          </w:tcPr>
          <w:p>
            <w:pPr>
              <w:jc w:val="right"/>
              <w:ind w:right="332"/>
              <w:spacing w:after="0"/>
              <w:rPr>
                <w:sz w:val="20"/>
                <w:szCs w:val="20"/>
                <w:color w:val="auto"/>
              </w:rPr>
            </w:pPr>
            <w:r>
              <w:rPr>
                <w:rFonts w:ascii="Arial" w:cs="Arial" w:eastAsia="Arial" w:hAnsi="Arial"/>
                <w:sz w:val="14"/>
                <w:szCs w:val="14"/>
                <w:color w:val="231F20"/>
              </w:rPr>
              <w:t>—</w:t>
            </w:r>
          </w:p>
        </w:tc>
        <w:tc>
          <w:tcPr>
            <w:tcW w:w="1160" w:type="dxa"/>
            <w:vAlign w:val="bottom"/>
            <w:gridSpan w:val="2"/>
          </w:tcPr>
          <w:p>
            <w:pPr>
              <w:jc w:val="right"/>
              <w:ind w:right="300"/>
              <w:spacing w:after="0"/>
              <w:rPr>
                <w:sz w:val="20"/>
                <w:szCs w:val="20"/>
                <w:color w:val="auto"/>
              </w:rPr>
            </w:pPr>
            <w:r>
              <w:rPr>
                <w:rFonts w:ascii="Arial" w:cs="Arial" w:eastAsia="Arial" w:hAnsi="Arial"/>
                <w:sz w:val="14"/>
                <w:szCs w:val="14"/>
                <w:color w:val="231F20"/>
              </w:rPr>
              <w:t>—</w:t>
            </w:r>
          </w:p>
        </w:tc>
        <w:tc>
          <w:tcPr>
            <w:tcW w:w="1480" w:type="dxa"/>
            <w:vAlign w:val="bottom"/>
          </w:tcPr>
          <w:p>
            <w:pPr>
              <w:jc w:val="right"/>
              <w:ind w:right="92"/>
              <w:spacing w:after="0"/>
              <w:rPr>
                <w:sz w:val="20"/>
                <w:szCs w:val="20"/>
                <w:color w:val="auto"/>
              </w:rPr>
            </w:pPr>
            <w:r>
              <w:rPr>
                <w:rFonts w:ascii="Arial" w:cs="Arial" w:eastAsia="Arial" w:hAnsi="Arial"/>
                <w:sz w:val="14"/>
                <w:szCs w:val="14"/>
                <w:color w:val="231F20"/>
              </w:rPr>
              <w:t>11.474</w:t>
            </w:r>
          </w:p>
        </w:tc>
        <w:tc>
          <w:tcPr>
            <w:tcW w:w="1240" w:type="dxa"/>
            <w:vAlign w:val="bottom"/>
          </w:tcPr>
          <w:p>
            <w:pPr>
              <w:jc w:val="right"/>
              <w:spacing w:after="0"/>
              <w:rPr>
                <w:sz w:val="20"/>
                <w:szCs w:val="20"/>
                <w:color w:val="auto"/>
              </w:rPr>
            </w:pPr>
            <w:r>
              <w:rPr>
                <w:rFonts w:ascii="Arial" w:cs="Arial" w:eastAsia="Arial" w:hAnsi="Arial"/>
                <w:sz w:val="14"/>
                <w:szCs w:val="14"/>
                <w:color w:val="231F20"/>
              </w:rPr>
              <w:t>523,007</w:t>
            </w:r>
          </w:p>
        </w:tc>
      </w:tr>
      <w:tr>
        <w:trPr>
          <w:trHeight w:val="27"/>
        </w:trPr>
        <w:tc>
          <w:tcPr>
            <w:tcW w:w="2100" w:type="dxa"/>
            <w:vAlign w:val="bottom"/>
            <w:tcBorders>
              <w:bottom w:val="single" w:sz="8" w:color="231F20"/>
            </w:tcBorders>
          </w:tcPr>
          <w:p>
            <w:pPr>
              <w:spacing w:after="0"/>
              <w:rPr>
                <w:sz w:val="2"/>
                <w:szCs w:val="2"/>
                <w:color w:val="auto"/>
              </w:rPr>
            </w:pPr>
          </w:p>
        </w:tc>
        <w:tc>
          <w:tcPr>
            <w:tcW w:w="2000" w:type="dxa"/>
            <w:vAlign w:val="bottom"/>
            <w:tcBorders>
              <w:bottom w:val="single" w:sz="8" w:color="231F20"/>
            </w:tcBorders>
          </w:tcPr>
          <w:p>
            <w:pPr>
              <w:spacing w:after="0"/>
              <w:rPr>
                <w:sz w:val="2"/>
                <w:szCs w:val="2"/>
                <w:color w:val="auto"/>
              </w:rPr>
            </w:pPr>
          </w:p>
        </w:tc>
        <w:tc>
          <w:tcPr>
            <w:tcW w:w="860" w:type="dxa"/>
            <w:vAlign w:val="bottom"/>
            <w:tcBorders>
              <w:bottom w:val="single" w:sz="8" w:color="231F20"/>
            </w:tcBorders>
          </w:tcPr>
          <w:p>
            <w:pPr>
              <w:spacing w:after="0"/>
              <w:rPr>
                <w:sz w:val="2"/>
                <w:szCs w:val="2"/>
                <w:color w:val="auto"/>
              </w:rPr>
            </w:pPr>
          </w:p>
        </w:tc>
        <w:tc>
          <w:tcPr>
            <w:tcW w:w="300" w:type="dxa"/>
            <w:vAlign w:val="bottom"/>
            <w:tcBorders>
              <w:bottom w:val="single" w:sz="8" w:color="231F20"/>
            </w:tcBorders>
          </w:tcPr>
          <w:p>
            <w:pPr>
              <w:spacing w:after="0"/>
              <w:rPr>
                <w:sz w:val="2"/>
                <w:szCs w:val="2"/>
                <w:color w:val="auto"/>
              </w:rPr>
            </w:pPr>
          </w:p>
        </w:tc>
        <w:tc>
          <w:tcPr>
            <w:tcW w:w="1480" w:type="dxa"/>
            <w:vAlign w:val="bottom"/>
            <w:tcBorders>
              <w:bottom w:val="single" w:sz="8" w:color="231F20"/>
            </w:tcBorders>
          </w:tcPr>
          <w:p>
            <w:pPr>
              <w:spacing w:after="0"/>
              <w:rPr>
                <w:sz w:val="2"/>
                <w:szCs w:val="2"/>
                <w:color w:val="auto"/>
              </w:rPr>
            </w:pPr>
          </w:p>
        </w:tc>
        <w:tc>
          <w:tcPr>
            <w:tcW w:w="1240" w:type="dxa"/>
            <w:vAlign w:val="bottom"/>
            <w:tcBorders>
              <w:bottom w:val="single" w:sz="8" w:color="231F20"/>
            </w:tcBorders>
          </w:tcPr>
          <w:p>
            <w:pPr>
              <w:spacing w:after="0"/>
              <w:rPr>
                <w:sz w:val="2"/>
                <w:szCs w:val="2"/>
                <w:color w:val="auto"/>
              </w:rPr>
            </w:pPr>
          </w:p>
        </w:tc>
      </w:tr>
      <w:tr>
        <w:trPr>
          <w:trHeight w:val="221"/>
        </w:trPr>
        <w:tc>
          <w:tcPr>
            <w:tcW w:w="2100" w:type="dxa"/>
            <w:vAlign w:val="bottom"/>
          </w:tcPr>
          <w:p>
            <w:pPr>
              <w:spacing w:after="0"/>
              <w:rPr>
                <w:sz w:val="20"/>
                <w:szCs w:val="20"/>
                <w:color w:val="auto"/>
              </w:rPr>
            </w:pPr>
            <w:r>
              <w:rPr>
                <w:rFonts w:ascii="Arial" w:cs="Arial" w:eastAsia="Arial" w:hAnsi="Arial"/>
                <w:sz w:val="14"/>
                <w:szCs w:val="14"/>
                <w:b w:val="1"/>
                <w:bCs w:val="1"/>
                <w:color w:val="455986"/>
              </w:rPr>
              <w:t>Fox</w:t>
            </w:r>
          </w:p>
        </w:tc>
        <w:tc>
          <w:tcPr>
            <w:tcW w:w="2000" w:type="dxa"/>
            <w:vAlign w:val="bottom"/>
          </w:tcPr>
          <w:p>
            <w:pPr>
              <w:jc w:val="right"/>
              <w:ind w:right="332"/>
              <w:spacing w:after="0"/>
              <w:rPr>
                <w:sz w:val="20"/>
                <w:szCs w:val="20"/>
                <w:color w:val="auto"/>
              </w:rPr>
            </w:pPr>
            <w:r>
              <w:rPr>
                <w:rFonts w:ascii="Arial" w:cs="Arial" w:eastAsia="Arial" w:hAnsi="Arial"/>
                <w:sz w:val="14"/>
                <w:szCs w:val="14"/>
                <w:color w:val="231F20"/>
              </w:rPr>
              <w:t>—</w:t>
            </w:r>
          </w:p>
        </w:tc>
        <w:tc>
          <w:tcPr>
            <w:tcW w:w="1160" w:type="dxa"/>
            <w:vAlign w:val="bottom"/>
            <w:gridSpan w:val="2"/>
          </w:tcPr>
          <w:p>
            <w:pPr>
              <w:jc w:val="right"/>
              <w:ind w:right="300"/>
              <w:spacing w:after="0"/>
              <w:rPr>
                <w:sz w:val="20"/>
                <w:szCs w:val="20"/>
                <w:color w:val="auto"/>
              </w:rPr>
            </w:pPr>
            <w:r>
              <w:rPr>
                <w:rFonts w:ascii="Arial" w:cs="Arial" w:eastAsia="Arial" w:hAnsi="Arial"/>
                <w:sz w:val="14"/>
                <w:szCs w:val="14"/>
                <w:color w:val="231F20"/>
              </w:rPr>
              <w:t>—</w:t>
            </w:r>
          </w:p>
        </w:tc>
        <w:tc>
          <w:tcPr>
            <w:tcW w:w="1480" w:type="dxa"/>
            <w:vAlign w:val="bottom"/>
          </w:tcPr>
          <w:p>
            <w:pPr>
              <w:jc w:val="right"/>
              <w:ind w:right="92"/>
              <w:spacing w:after="0"/>
              <w:rPr>
                <w:sz w:val="20"/>
                <w:szCs w:val="20"/>
                <w:color w:val="auto"/>
              </w:rPr>
            </w:pPr>
            <w:r>
              <w:rPr>
                <w:rFonts w:ascii="Arial" w:cs="Arial" w:eastAsia="Arial" w:hAnsi="Arial"/>
                <w:sz w:val="14"/>
                <w:szCs w:val="14"/>
                <w:color w:val="231F20"/>
              </w:rPr>
              <w:t>11,761</w:t>
            </w:r>
          </w:p>
        </w:tc>
        <w:tc>
          <w:tcPr>
            <w:tcW w:w="1240" w:type="dxa"/>
            <w:vAlign w:val="bottom"/>
          </w:tcPr>
          <w:p>
            <w:pPr>
              <w:jc w:val="right"/>
              <w:spacing w:after="0"/>
              <w:rPr>
                <w:sz w:val="20"/>
                <w:szCs w:val="20"/>
                <w:color w:val="auto"/>
              </w:rPr>
            </w:pPr>
            <w:r>
              <w:rPr>
                <w:rFonts w:ascii="Arial" w:cs="Arial" w:eastAsia="Arial" w:hAnsi="Arial"/>
                <w:sz w:val="14"/>
                <w:szCs w:val="14"/>
                <w:color w:val="231F20"/>
              </w:rPr>
              <w:t>536,100</w:t>
            </w:r>
          </w:p>
        </w:tc>
      </w:tr>
      <w:tr>
        <w:trPr>
          <w:trHeight w:val="27"/>
        </w:trPr>
        <w:tc>
          <w:tcPr>
            <w:tcW w:w="2100" w:type="dxa"/>
            <w:vAlign w:val="bottom"/>
            <w:tcBorders>
              <w:bottom w:val="single" w:sz="8" w:color="231F20"/>
            </w:tcBorders>
          </w:tcPr>
          <w:p>
            <w:pPr>
              <w:spacing w:after="0"/>
              <w:rPr>
                <w:sz w:val="2"/>
                <w:szCs w:val="2"/>
                <w:color w:val="auto"/>
              </w:rPr>
            </w:pPr>
          </w:p>
        </w:tc>
        <w:tc>
          <w:tcPr>
            <w:tcW w:w="2000" w:type="dxa"/>
            <w:vAlign w:val="bottom"/>
            <w:tcBorders>
              <w:bottom w:val="single" w:sz="8" w:color="231F20"/>
            </w:tcBorders>
          </w:tcPr>
          <w:p>
            <w:pPr>
              <w:spacing w:after="0"/>
              <w:rPr>
                <w:sz w:val="2"/>
                <w:szCs w:val="2"/>
                <w:color w:val="auto"/>
              </w:rPr>
            </w:pPr>
          </w:p>
        </w:tc>
        <w:tc>
          <w:tcPr>
            <w:tcW w:w="860" w:type="dxa"/>
            <w:vAlign w:val="bottom"/>
            <w:tcBorders>
              <w:bottom w:val="single" w:sz="8" w:color="231F20"/>
            </w:tcBorders>
          </w:tcPr>
          <w:p>
            <w:pPr>
              <w:spacing w:after="0"/>
              <w:rPr>
                <w:sz w:val="2"/>
                <w:szCs w:val="2"/>
                <w:color w:val="auto"/>
              </w:rPr>
            </w:pPr>
          </w:p>
        </w:tc>
        <w:tc>
          <w:tcPr>
            <w:tcW w:w="300" w:type="dxa"/>
            <w:vAlign w:val="bottom"/>
            <w:tcBorders>
              <w:bottom w:val="single" w:sz="8" w:color="231F20"/>
            </w:tcBorders>
          </w:tcPr>
          <w:p>
            <w:pPr>
              <w:spacing w:after="0"/>
              <w:rPr>
                <w:sz w:val="2"/>
                <w:szCs w:val="2"/>
                <w:color w:val="auto"/>
              </w:rPr>
            </w:pPr>
          </w:p>
        </w:tc>
        <w:tc>
          <w:tcPr>
            <w:tcW w:w="1480" w:type="dxa"/>
            <w:vAlign w:val="bottom"/>
            <w:tcBorders>
              <w:bottom w:val="single" w:sz="8" w:color="231F20"/>
            </w:tcBorders>
          </w:tcPr>
          <w:p>
            <w:pPr>
              <w:spacing w:after="0"/>
              <w:rPr>
                <w:sz w:val="2"/>
                <w:szCs w:val="2"/>
                <w:color w:val="auto"/>
              </w:rPr>
            </w:pPr>
          </w:p>
        </w:tc>
        <w:tc>
          <w:tcPr>
            <w:tcW w:w="1240" w:type="dxa"/>
            <w:vAlign w:val="bottom"/>
            <w:tcBorders>
              <w:bottom w:val="single" w:sz="8" w:color="231F20"/>
            </w:tcBorders>
          </w:tcPr>
          <w:p>
            <w:pPr>
              <w:spacing w:after="0"/>
              <w:rPr>
                <w:sz w:val="2"/>
                <w:szCs w:val="2"/>
                <w:color w:val="auto"/>
              </w:rPr>
            </w:pPr>
          </w:p>
        </w:tc>
      </w:tr>
      <w:tr>
        <w:trPr>
          <w:trHeight w:val="221"/>
        </w:trPr>
        <w:tc>
          <w:tcPr>
            <w:tcW w:w="2100" w:type="dxa"/>
            <w:vAlign w:val="bottom"/>
          </w:tcPr>
          <w:p>
            <w:pPr>
              <w:spacing w:after="0"/>
              <w:rPr>
                <w:sz w:val="20"/>
                <w:szCs w:val="20"/>
                <w:color w:val="auto"/>
              </w:rPr>
            </w:pPr>
            <w:r>
              <w:rPr>
                <w:rFonts w:ascii="Arial" w:cs="Arial" w:eastAsia="Arial" w:hAnsi="Arial"/>
                <w:sz w:val="14"/>
                <w:szCs w:val="14"/>
                <w:b w:val="1"/>
                <w:bCs w:val="1"/>
                <w:color w:val="455986"/>
              </w:rPr>
              <w:t>Rhodes</w:t>
            </w:r>
          </w:p>
        </w:tc>
        <w:tc>
          <w:tcPr>
            <w:tcW w:w="2000" w:type="dxa"/>
            <w:vAlign w:val="bottom"/>
          </w:tcPr>
          <w:p>
            <w:pPr>
              <w:jc w:val="right"/>
              <w:ind w:right="332"/>
              <w:spacing w:after="0"/>
              <w:rPr>
                <w:sz w:val="20"/>
                <w:szCs w:val="20"/>
                <w:color w:val="auto"/>
              </w:rPr>
            </w:pPr>
            <w:r>
              <w:rPr>
                <w:rFonts w:ascii="Arial" w:cs="Arial" w:eastAsia="Arial" w:hAnsi="Arial"/>
                <w:sz w:val="14"/>
                <w:szCs w:val="14"/>
                <w:color w:val="231F20"/>
              </w:rPr>
              <w:t>—</w:t>
            </w:r>
          </w:p>
        </w:tc>
        <w:tc>
          <w:tcPr>
            <w:tcW w:w="1160" w:type="dxa"/>
            <w:vAlign w:val="bottom"/>
            <w:gridSpan w:val="2"/>
          </w:tcPr>
          <w:p>
            <w:pPr>
              <w:jc w:val="right"/>
              <w:ind w:right="300"/>
              <w:spacing w:after="0"/>
              <w:rPr>
                <w:sz w:val="20"/>
                <w:szCs w:val="20"/>
                <w:color w:val="auto"/>
              </w:rPr>
            </w:pPr>
            <w:r>
              <w:rPr>
                <w:rFonts w:ascii="Arial" w:cs="Arial" w:eastAsia="Arial" w:hAnsi="Arial"/>
                <w:sz w:val="14"/>
                <w:szCs w:val="14"/>
                <w:color w:val="231F20"/>
              </w:rPr>
              <w:t>—</w:t>
            </w:r>
          </w:p>
        </w:tc>
        <w:tc>
          <w:tcPr>
            <w:tcW w:w="1480" w:type="dxa"/>
            <w:vAlign w:val="bottom"/>
          </w:tcPr>
          <w:p>
            <w:pPr>
              <w:jc w:val="right"/>
              <w:ind w:right="92"/>
              <w:spacing w:after="0"/>
              <w:rPr>
                <w:sz w:val="20"/>
                <w:szCs w:val="20"/>
                <w:color w:val="auto"/>
              </w:rPr>
            </w:pPr>
            <w:r>
              <w:rPr>
                <w:rFonts w:ascii="Arial" w:cs="Arial" w:eastAsia="Arial" w:hAnsi="Arial"/>
                <w:sz w:val="14"/>
                <w:szCs w:val="14"/>
                <w:color w:val="231F20"/>
              </w:rPr>
              <w:t>10,625</w:t>
            </w:r>
          </w:p>
        </w:tc>
        <w:tc>
          <w:tcPr>
            <w:tcW w:w="1240" w:type="dxa"/>
            <w:vAlign w:val="bottom"/>
          </w:tcPr>
          <w:p>
            <w:pPr>
              <w:jc w:val="right"/>
              <w:spacing w:after="0"/>
              <w:rPr>
                <w:sz w:val="20"/>
                <w:szCs w:val="20"/>
                <w:color w:val="auto"/>
              </w:rPr>
            </w:pPr>
            <w:r>
              <w:rPr>
                <w:rFonts w:ascii="Arial" w:cs="Arial" w:eastAsia="Arial" w:hAnsi="Arial"/>
                <w:sz w:val="14"/>
                <w:szCs w:val="14"/>
                <w:color w:val="231F20"/>
              </w:rPr>
              <w:t>483,765</w:t>
            </w:r>
          </w:p>
        </w:tc>
      </w:tr>
      <w:tr>
        <w:trPr>
          <w:trHeight w:val="27"/>
        </w:trPr>
        <w:tc>
          <w:tcPr>
            <w:tcW w:w="2100" w:type="dxa"/>
            <w:vAlign w:val="bottom"/>
            <w:tcBorders>
              <w:bottom w:val="single" w:sz="8" w:color="231F20"/>
            </w:tcBorders>
          </w:tcPr>
          <w:p>
            <w:pPr>
              <w:spacing w:after="0"/>
              <w:rPr>
                <w:sz w:val="2"/>
                <w:szCs w:val="2"/>
                <w:color w:val="auto"/>
              </w:rPr>
            </w:pPr>
          </w:p>
        </w:tc>
        <w:tc>
          <w:tcPr>
            <w:tcW w:w="2000" w:type="dxa"/>
            <w:vAlign w:val="bottom"/>
            <w:tcBorders>
              <w:bottom w:val="single" w:sz="8" w:color="231F20"/>
            </w:tcBorders>
          </w:tcPr>
          <w:p>
            <w:pPr>
              <w:spacing w:after="0"/>
              <w:rPr>
                <w:sz w:val="2"/>
                <w:szCs w:val="2"/>
                <w:color w:val="auto"/>
              </w:rPr>
            </w:pPr>
          </w:p>
        </w:tc>
        <w:tc>
          <w:tcPr>
            <w:tcW w:w="860" w:type="dxa"/>
            <w:vAlign w:val="bottom"/>
            <w:tcBorders>
              <w:bottom w:val="single" w:sz="8" w:color="231F20"/>
            </w:tcBorders>
          </w:tcPr>
          <w:p>
            <w:pPr>
              <w:spacing w:after="0"/>
              <w:rPr>
                <w:sz w:val="2"/>
                <w:szCs w:val="2"/>
                <w:color w:val="auto"/>
              </w:rPr>
            </w:pPr>
          </w:p>
        </w:tc>
        <w:tc>
          <w:tcPr>
            <w:tcW w:w="300" w:type="dxa"/>
            <w:vAlign w:val="bottom"/>
            <w:tcBorders>
              <w:bottom w:val="single" w:sz="8" w:color="231F20"/>
            </w:tcBorders>
          </w:tcPr>
          <w:p>
            <w:pPr>
              <w:spacing w:after="0"/>
              <w:rPr>
                <w:sz w:val="2"/>
                <w:szCs w:val="2"/>
                <w:color w:val="auto"/>
              </w:rPr>
            </w:pPr>
          </w:p>
        </w:tc>
        <w:tc>
          <w:tcPr>
            <w:tcW w:w="1480" w:type="dxa"/>
            <w:vAlign w:val="bottom"/>
            <w:tcBorders>
              <w:bottom w:val="single" w:sz="8" w:color="231F20"/>
            </w:tcBorders>
          </w:tcPr>
          <w:p>
            <w:pPr>
              <w:spacing w:after="0"/>
              <w:rPr>
                <w:sz w:val="2"/>
                <w:szCs w:val="2"/>
                <w:color w:val="auto"/>
              </w:rPr>
            </w:pPr>
          </w:p>
        </w:tc>
        <w:tc>
          <w:tcPr>
            <w:tcW w:w="1240" w:type="dxa"/>
            <w:vAlign w:val="bottom"/>
            <w:tcBorders>
              <w:bottom w:val="single" w:sz="8" w:color="231F20"/>
            </w:tcBorders>
          </w:tcPr>
          <w:p>
            <w:pPr>
              <w:spacing w:after="0"/>
              <w:rPr>
                <w:sz w:val="2"/>
                <w:szCs w:val="2"/>
                <w:color w:val="auto"/>
              </w:rPr>
            </w:pPr>
          </w:p>
        </w:tc>
      </w:tr>
      <w:tr>
        <w:trPr>
          <w:trHeight w:val="221"/>
        </w:trPr>
        <w:tc>
          <w:tcPr>
            <w:tcW w:w="2100" w:type="dxa"/>
            <w:vAlign w:val="bottom"/>
          </w:tcPr>
          <w:p>
            <w:pPr>
              <w:spacing w:after="0"/>
              <w:rPr>
                <w:sz w:val="20"/>
                <w:szCs w:val="20"/>
                <w:color w:val="auto"/>
              </w:rPr>
            </w:pPr>
            <w:r>
              <w:rPr>
                <w:rFonts w:ascii="Arial" w:cs="Arial" w:eastAsia="Arial" w:hAnsi="Arial"/>
                <w:sz w:val="14"/>
                <w:szCs w:val="14"/>
                <w:b w:val="1"/>
                <w:bCs w:val="1"/>
                <w:color w:val="455986"/>
              </w:rPr>
              <w:t>Luning</w:t>
            </w:r>
          </w:p>
        </w:tc>
        <w:tc>
          <w:tcPr>
            <w:tcW w:w="2000" w:type="dxa"/>
            <w:vAlign w:val="bottom"/>
          </w:tcPr>
          <w:p>
            <w:pPr>
              <w:jc w:val="right"/>
              <w:ind w:right="332"/>
              <w:spacing w:after="0"/>
              <w:rPr>
                <w:sz w:val="20"/>
                <w:szCs w:val="20"/>
                <w:color w:val="auto"/>
              </w:rPr>
            </w:pPr>
            <w:r>
              <w:rPr>
                <w:rFonts w:ascii="Arial" w:cs="Arial" w:eastAsia="Arial" w:hAnsi="Arial"/>
                <w:sz w:val="14"/>
                <w:szCs w:val="14"/>
                <w:color w:val="231F20"/>
              </w:rPr>
              <w:t>—</w:t>
            </w:r>
          </w:p>
        </w:tc>
        <w:tc>
          <w:tcPr>
            <w:tcW w:w="1160" w:type="dxa"/>
            <w:vAlign w:val="bottom"/>
            <w:gridSpan w:val="2"/>
          </w:tcPr>
          <w:p>
            <w:pPr>
              <w:jc w:val="right"/>
              <w:ind w:right="300"/>
              <w:spacing w:after="0"/>
              <w:rPr>
                <w:sz w:val="20"/>
                <w:szCs w:val="20"/>
                <w:color w:val="auto"/>
              </w:rPr>
            </w:pPr>
            <w:r>
              <w:rPr>
                <w:rFonts w:ascii="Arial" w:cs="Arial" w:eastAsia="Arial" w:hAnsi="Arial"/>
                <w:sz w:val="14"/>
                <w:szCs w:val="14"/>
                <w:color w:val="231F20"/>
              </w:rPr>
              <w:t>—</w:t>
            </w:r>
          </w:p>
        </w:tc>
        <w:tc>
          <w:tcPr>
            <w:tcW w:w="1480" w:type="dxa"/>
            <w:vAlign w:val="bottom"/>
          </w:tcPr>
          <w:p>
            <w:pPr>
              <w:jc w:val="right"/>
              <w:ind w:right="92"/>
              <w:spacing w:after="0"/>
              <w:rPr>
                <w:sz w:val="20"/>
                <w:szCs w:val="20"/>
                <w:color w:val="auto"/>
              </w:rPr>
            </w:pPr>
            <w:r>
              <w:rPr>
                <w:rFonts w:ascii="Arial" w:cs="Arial" w:eastAsia="Arial" w:hAnsi="Arial"/>
                <w:sz w:val="14"/>
                <w:szCs w:val="14"/>
                <w:color w:val="231F20"/>
              </w:rPr>
              <w:t>9,491</w:t>
            </w:r>
          </w:p>
        </w:tc>
        <w:tc>
          <w:tcPr>
            <w:tcW w:w="1240" w:type="dxa"/>
            <w:vAlign w:val="bottom"/>
          </w:tcPr>
          <w:p>
            <w:pPr>
              <w:jc w:val="right"/>
              <w:spacing w:after="0"/>
              <w:rPr>
                <w:sz w:val="20"/>
                <w:szCs w:val="20"/>
                <w:color w:val="auto"/>
              </w:rPr>
            </w:pPr>
            <w:r>
              <w:rPr>
                <w:rFonts w:ascii="Arial" w:cs="Arial" w:eastAsia="Arial" w:hAnsi="Arial"/>
                <w:sz w:val="14"/>
                <w:szCs w:val="14"/>
                <w:color w:val="231F20"/>
              </w:rPr>
              <w:t>432,633</w:t>
            </w:r>
          </w:p>
        </w:tc>
      </w:tr>
      <w:tr>
        <w:trPr>
          <w:trHeight w:val="27"/>
        </w:trPr>
        <w:tc>
          <w:tcPr>
            <w:tcW w:w="2100" w:type="dxa"/>
            <w:vAlign w:val="bottom"/>
            <w:tcBorders>
              <w:bottom w:val="single" w:sz="8" w:color="231F20"/>
            </w:tcBorders>
          </w:tcPr>
          <w:p>
            <w:pPr>
              <w:spacing w:after="0"/>
              <w:rPr>
                <w:sz w:val="2"/>
                <w:szCs w:val="2"/>
                <w:color w:val="auto"/>
              </w:rPr>
            </w:pPr>
          </w:p>
        </w:tc>
        <w:tc>
          <w:tcPr>
            <w:tcW w:w="2000" w:type="dxa"/>
            <w:vAlign w:val="bottom"/>
            <w:tcBorders>
              <w:bottom w:val="single" w:sz="8" w:color="231F20"/>
            </w:tcBorders>
          </w:tcPr>
          <w:p>
            <w:pPr>
              <w:spacing w:after="0"/>
              <w:rPr>
                <w:sz w:val="2"/>
                <w:szCs w:val="2"/>
                <w:color w:val="auto"/>
              </w:rPr>
            </w:pPr>
          </w:p>
        </w:tc>
        <w:tc>
          <w:tcPr>
            <w:tcW w:w="860" w:type="dxa"/>
            <w:vAlign w:val="bottom"/>
            <w:tcBorders>
              <w:bottom w:val="single" w:sz="8" w:color="231F20"/>
            </w:tcBorders>
          </w:tcPr>
          <w:p>
            <w:pPr>
              <w:spacing w:after="0"/>
              <w:rPr>
                <w:sz w:val="2"/>
                <w:szCs w:val="2"/>
                <w:color w:val="auto"/>
              </w:rPr>
            </w:pPr>
          </w:p>
        </w:tc>
        <w:tc>
          <w:tcPr>
            <w:tcW w:w="300" w:type="dxa"/>
            <w:vAlign w:val="bottom"/>
            <w:tcBorders>
              <w:bottom w:val="single" w:sz="8" w:color="231F20"/>
            </w:tcBorders>
          </w:tcPr>
          <w:p>
            <w:pPr>
              <w:spacing w:after="0"/>
              <w:rPr>
                <w:sz w:val="2"/>
                <w:szCs w:val="2"/>
                <w:color w:val="auto"/>
              </w:rPr>
            </w:pPr>
          </w:p>
        </w:tc>
        <w:tc>
          <w:tcPr>
            <w:tcW w:w="1480" w:type="dxa"/>
            <w:vAlign w:val="bottom"/>
            <w:tcBorders>
              <w:bottom w:val="single" w:sz="8" w:color="231F20"/>
            </w:tcBorders>
          </w:tcPr>
          <w:p>
            <w:pPr>
              <w:spacing w:after="0"/>
              <w:rPr>
                <w:sz w:val="2"/>
                <w:szCs w:val="2"/>
                <w:color w:val="auto"/>
              </w:rPr>
            </w:pPr>
          </w:p>
        </w:tc>
        <w:tc>
          <w:tcPr>
            <w:tcW w:w="1240" w:type="dxa"/>
            <w:vAlign w:val="bottom"/>
            <w:tcBorders>
              <w:bottom w:val="single" w:sz="8" w:color="231F20"/>
            </w:tcBorders>
          </w:tcPr>
          <w:p>
            <w:pPr>
              <w:spacing w:after="0"/>
              <w:rPr>
                <w:sz w:val="2"/>
                <w:szCs w:val="2"/>
                <w:color w:val="auto"/>
              </w:rPr>
            </w:pPr>
          </w:p>
        </w:tc>
      </w:tr>
    </w:tbl>
    <w:p>
      <w:pPr>
        <w:spacing w:after="0" w:line="73" w:lineRule="exact"/>
        <w:rPr>
          <w:sz w:val="20"/>
          <w:szCs w:val="20"/>
          <w:color w:val="auto"/>
        </w:rPr>
      </w:pPr>
    </w:p>
    <w:p>
      <w:pPr>
        <w:ind w:left="200" w:hanging="198"/>
        <w:spacing w:after="0"/>
        <w:tabs>
          <w:tab w:leader="none" w:pos="200" w:val="left"/>
        </w:tabs>
        <w:numPr>
          <w:ilvl w:val="0"/>
          <w:numId w:val="136"/>
        </w:numPr>
        <w:rPr>
          <w:rFonts w:ascii="Arial" w:cs="Arial" w:eastAsia="Arial" w:hAnsi="Arial"/>
          <w:sz w:val="13"/>
          <w:szCs w:val="13"/>
          <w:color w:val="231F20"/>
        </w:rPr>
      </w:pPr>
      <w:r>
        <w:rPr>
          <w:rFonts w:ascii="Arial" w:cs="Arial" w:eastAsia="Arial" w:hAnsi="Arial"/>
          <w:sz w:val="13"/>
          <w:szCs w:val="13"/>
          <w:color w:val="231F20"/>
        </w:rPr>
        <w:t>The Number of Shares Acquired on Vesting column represents the number of shares of common stock issued upon the earning and vesting of the 2018 PSUs and RSUs in 2021.</w:t>
      </w:r>
    </w:p>
    <w:p>
      <w:pPr>
        <w:spacing w:after="0" w:line="67" w:lineRule="exact"/>
        <w:rPr>
          <w:rFonts w:ascii="Arial" w:cs="Arial" w:eastAsia="Arial" w:hAnsi="Arial"/>
          <w:sz w:val="13"/>
          <w:szCs w:val="13"/>
          <w:color w:val="231F20"/>
        </w:rPr>
      </w:pPr>
    </w:p>
    <w:p>
      <w:pPr>
        <w:ind w:left="200" w:right="140" w:hanging="198"/>
        <w:spacing w:after="0" w:line="260" w:lineRule="auto"/>
        <w:tabs>
          <w:tab w:leader="none" w:pos="200" w:val="left"/>
        </w:tabs>
        <w:numPr>
          <w:ilvl w:val="0"/>
          <w:numId w:val="136"/>
        </w:numPr>
        <w:rPr>
          <w:rFonts w:ascii="Arial" w:cs="Arial" w:eastAsia="Arial" w:hAnsi="Arial"/>
          <w:sz w:val="13"/>
          <w:szCs w:val="13"/>
          <w:color w:val="231F20"/>
        </w:rPr>
      </w:pPr>
      <w:r>
        <w:rPr>
          <w:rFonts w:ascii="Arial" w:cs="Arial" w:eastAsia="Arial" w:hAnsi="Arial"/>
          <w:sz w:val="13"/>
          <w:szCs w:val="13"/>
          <w:color w:val="231F20"/>
        </w:rPr>
        <w:t>The Value Realized on Vesting column includes the fair value of the shares paid on the vesting date plus dividend equivalents paid for PSUs and RSUs vesting in the amount of $127,338 for Mr. Franklin, $31,784 for Mr. Schuller, $32,580 for Mr. Fox, $28,899 for Mr. Rhodes, and $26,292 for Mr. Luning.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96520</wp:posOffset>
            </wp:positionV>
            <wp:extent cx="7139940" cy="825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7139940" cy="8255"/>
                    </a:xfrm>
                    <a:prstGeom prst="rect">
                      <a:avLst/>
                    </a:prstGeom>
                    <a:noFill/>
                  </pic:spPr>
                </pic:pic>
              </a:graphicData>
            </a:graphic>
          </wp:anchor>
        </w:drawing>
      </w:r>
    </w:p>
    <w:p>
      <w:pPr>
        <w:spacing w:after="0" w:line="202" w:lineRule="exact"/>
        <w:rPr>
          <w:sz w:val="20"/>
          <w:szCs w:val="20"/>
          <w:color w:val="auto"/>
        </w:rPr>
      </w:pPr>
    </w:p>
    <w:p>
      <w:pPr>
        <w:ind w:left="300" w:hanging="298"/>
        <w:spacing w:after="0"/>
        <w:tabs>
          <w:tab w:leader="none" w:pos="300" w:val="left"/>
        </w:tabs>
        <w:numPr>
          <w:ilvl w:val="0"/>
          <w:numId w:val="137"/>
        </w:numPr>
        <w:rPr>
          <w:rFonts w:ascii="Arial" w:cs="Arial" w:eastAsia="Arial" w:hAnsi="Arial"/>
          <w:sz w:val="15"/>
          <w:szCs w:val="15"/>
          <w:color w:val="455986"/>
        </w:rPr>
      </w:pPr>
      <w:r>
        <w:rPr>
          <w:rFonts w:ascii="Arial" w:cs="Arial" w:eastAsia="Arial" w:hAnsi="Arial"/>
          <w:sz w:val="12"/>
          <w:szCs w:val="12"/>
          <w:color w:val="4395D4"/>
        </w:rPr>
        <w:t xml:space="preserve">ESSENTIAL UTILITIES, INC. </w:t>
      </w:r>
      <w:r>
        <w:rPr>
          <w:rFonts w:ascii="Arial" w:cs="Arial" w:eastAsia="Arial" w:hAnsi="Arial"/>
          <w:sz w:val="12"/>
          <w:szCs w:val="12"/>
          <w:color w:val="455986"/>
        </w:rPr>
        <w:t>2021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324485</wp:posOffset>
            </wp:positionV>
            <wp:extent cx="7139940" cy="24130"/>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7139940" cy="24130"/>
                    </a:xfrm>
                    <a:prstGeom prst="rect">
                      <a:avLst/>
                    </a:prstGeom>
                    <a:noFill/>
                  </pic:spPr>
                </pic:pic>
              </a:graphicData>
            </a:graphic>
          </wp:anchor>
        </w:drawing>
      </w:r>
    </w:p>
    <w:p>
      <w:pPr>
        <w:sectPr>
          <w:pgSz w:w="11900" w:h="16838" w:orient="portrait"/>
          <w:cols w:equalWidth="0" w:num="1">
            <w:col w:w="11220"/>
          </w:cols>
          <w:pgMar w:left="320" w:top="637" w:right="359" w:bottom="1440" w:gutter="0" w:footer="0" w:header="0"/>
        </w:sectPr>
      </w:pPr>
    </w:p>
    <w:bookmarkStart w:id="77" w:name="page78"/>
    <w:bookmarkEnd w:id="77"/>
    <w:p>
      <w:pPr>
        <w:spacing w:after="0"/>
        <w:rPr>
          <w:sz w:val="20"/>
          <w:szCs w:val="20"/>
          <w:color w:val="auto"/>
        </w:rPr>
      </w:pPr>
      <w:r>
        <w:rPr>
          <w:rFonts w:ascii="Arial" w:cs="Arial" w:eastAsia="Arial" w:hAnsi="Arial"/>
          <w:sz w:val="14"/>
          <w:szCs w:val="14"/>
          <w:b w:val="1"/>
          <w:bCs w:val="1"/>
          <w:color w:val="455986"/>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27940</wp:posOffset>
            </wp:positionV>
            <wp:extent cx="7139940" cy="825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7139940" cy="8255"/>
                    </a:xfrm>
                    <a:prstGeom prst="rect">
                      <a:avLst/>
                    </a:prstGeom>
                    <a:noFill/>
                  </pic:spPr>
                </pic:pic>
              </a:graphicData>
            </a:graphic>
          </wp:anchor>
        </w:drawing>
      </w:r>
    </w:p>
    <w:p>
      <w:pPr>
        <w:spacing w:after="0" w:line="76" w:lineRule="exact"/>
        <w:rPr>
          <w:sz w:val="20"/>
          <w:szCs w:val="20"/>
          <w:color w:val="auto"/>
        </w:rPr>
      </w:pPr>
    </w:p>
    <w:p>
      <w:pPr>
        <w:spacing w:after="0"/>
        <w:rPr>
          <w:sz w:val="20"/>
          <w:szCs w:val="20"/>
          <w:color w:val="auto"/>
        </w:rPr>
      </w:pPr>
      <w:r>
        <w:rPr>
          <w:rFonts w:ascii="Arial" w:cs="Arial" w:eastAsia="Arial" w:hAnsi="Arial"/>
          <w:sz w:val="14"/>
          <w:szCs w:val="14"/>
          <w:color w:val="231F20"/>
        </w:rPr>
        <w:t>CEO to Median Employee Pay Ratio</w:t>
      </w:r>
    </w:p>
    <w:p>
      <w:pPr>
        <w:spacing w:after="0" w:line="163" w:lineRule="exact"/>
        <w:rPr>
          <w:sz w:val="20"/>
          <w:szCs w:val="20"/>
          <w:color w:val="auto"/>
        </w:rPr>
      </w:pPr>
    </w:p>
    <w:p>
      <w:pPr>
        <w:spacing w:after="0"/>
        <w:rPr>
          <w:sz w:val="20"/>
          <w:szCs w:val="20"/>
          <w:color w:val="auto"/>
        </w:rPr>
      </w:pPr>
      <w:r>
        <w:rPr>
          <w:rFonts w:ascii="Arial" w:cs="Arial" w:eastAsia="Arial" w:hAnsi="Arial"/>
          <w:sz w:val="24"/>
          <w:szCs w:val="24"/>
          <w:b w:val="1"/>
          <w:bCs w:val="1"/>
          <w:color w:val="455986"/>
        </w:rPr>
        <w:t>CEO to Median Employee Pay Ratio</w:t>
      </w:r>
    </w:p>
    <w:p>
      <w:pPr>
        <w:spacing w:after="0" w:line="169" w:lineRule="exact"/>
        <w:rPr>
          <w:sz w:val="20"/>
          <w:szCs w:val="20"/>
          <w:color w:val="auto"/>
        </w:rPr>
      </w:pPr>
    </w:p>
    <w:p>
      <w:pPr>
        <w:spacing w:after="0"/>
        <w:rPr>
          <w:sz w:val="20"/>
          <w:szCs w:val="20"/>
          <w:color w:val="auto"/>
        </w:rPr>
      </w:pPr>
      <w:r>
        <w:rPr>
          <w:rFonts w:ascii="Arial" w:cs="Arial" w:eastAsia="Arial" w:hAnsi="Arial"/>
          <w:sz w:val="14"/>
          <w:szCs w:val="14"/>
          <w:color w:val="231F20"/>
        </w:rPr>
        <w:t>Here we provide information about the relationship of the annual total compensation of our employees and the annual total compensation of Mr. Franklin:</w:t>
      </w:r>
    </w:p>
    <w:p>
      <w:pPr>
        <w:spacing w:after="0" w:line="145" w:lineRule="exact"/>
        <w:rPr>
          <w:sz w:val="20"/>
          <w:szCs w:val="20"/>
          <w:color w:val="auto"/>
        </w:rPr>
      </w:pPr>
    </w:p>
    <w:p>
      <w:pPr>
        <w:spacing w:after="0"/>
        <w:rPr>
          <w:sz w:val="20"/>
          <w:szCs w:val="20"/>
          <w:color w:val="auto"/>
        </w:rPr>
      </w:pPr>
      <w:r>
        <w:rPr>
          <w:rFonts w:ascii="Arial" w:cs="Arial" w:eastAsia="Arial" w:hAnsi="Arial"/>
          <w:sz w:val="14"/>
          <w:szCs w:val="14"/>
          <w:color w:val="231F20"/>
        </w:rPr>
        <w:t>To determine our median employee, we chose base salary as our consistently applied compensation measure. We annualized this measure of compensation for those who began their employment during 2020. Using a determination date in December 2020, we calculated the median base salary for all required employees. The annual total compensation of the employee identified as the median employee of the Company (other than Mr. Franklin), was $171,731 and, the annual total compensation of Mr. Franklin was $7,173,359. The annual median employee number was higher than normal due to a gain of $80,448 In present value of the pension benefit. The annual total compensation for the median employee and Mr. Franklin were calculated under Item 402(c) of Regulation S-K.</w:t>
      </w:r>
    </w:p>
    <w:p>
      <w:pPr>
        <w:spacing w:after="0" w:line="112" w:lineRule="exact"/>
        <w:rPr>
          <w:sz w:val="20"/>
          <w:szCs w:val="20"/>
          <w:color w:val="auto"/>
        </w:rPr>
      </w:pPr>
    </w:p>
    <w:p>
      <w:pPr>
        <w:ind w:right="540"/>
        <w:spacing w:after="0" w:line="293" w:lineRule="auto"/>
        <w:rPr>
          <w:sz w:val="20"/>
          <w:szCs w:val="20"/>
          <w:color w:val="auto"/>
        </w:rPr>
      </w:pPr>
      <w:r>
        <w:rPr>
          <w:rFonts w:ascii="Arial" w:cs="Arial" w:eastAsia="Arial" w:hAnsi="Arial"/>
          <w:sz w:val="14"/>
          <w:szCs w:val="14"/>
          <w:b w:val="1"/>
          <w:bCs w:val="1"/>
          <w:color w:val="231F20"/>
        </w:rPr>
        <w:t>Accordingly, the ratio of the annual total compensation of Mr. Franklin to the median of the annual total compensation of all employees of the Company was estimated to be 42 to 1.</w:t>
      </w:r>
    </w:p>
    <w:p>
      <w:pPr>
        <w:spacing w:after="0" w:line="68" w:lineRule="exact"/>
        <w:rPr>
          <w:sz w:val="20"/>
          <w:szCs w:val="20"/>
          <w:color w:val="auto"/>
        </w:rPr>
      </w:pPr>
    </w:p>
    <w:p>
      <w:pPr>
        <w:jc w:val="both"/>
        <w:spacing w:after="0" w:line="245" w:lineRule="auto"/>
        <w:rPr>
          <w:sz w:val="20"/>
          <w:szCs w:val="20"/>
          <w:color w:val="auto"/>
        </w:rPr>
      </w:pPr>
      <w:r>
        <w:rPr>
          <w:rFonts w:ascii="Arial" w:cs="Arial" w:eastAsia="Arial" w:hAnsi="Arial"/>
          <w:sz w:val="14"/>
          <w:szCs w:val="14"/>
          <w:color w:val="231F20"/>
        </w:rPr>
        <w:t>This pay ratio is a reasonable estimate calculated in a manner consistent with SEC rules based on our payroll and employment records and the methodology described above. The SEC rules for identifying the median compensated employee and calculating the pay ratio based on that employee’s annual total compensation allow companies to adopt a variety of methodologies, to apply certain exclusions, and to make reasonable estimates and assumptions that reflect their compensation practices. As such, pay ratios reported by other companies may not be comparable to the pay ratio reported above.</w:t>
      </w:r>
    </w:p>
    <w:p>
      <w:pPr>
        <w:spacing w:after="0" w:line="97" w:lineRule="exact"/>
        <w:rPr>
          <w:sz w:val="20"/>
          <w:szCs w:val="20"/>
          <w:color w:val="auto"/>
        </w:rPr>
      </w:pPr>
    </w:p>
    <w:p>
      <w:pPr>
        <w:spacing w:after="0"/>
        <w:rPr>
          <w:sz w:val="20"/>
          <w:szCs w:val="20"/>
          <w:color w:val="auto"/>
        </w:rPr>
      </w:pPr>
      <w:r>
        <w:rPr>
          <w:rFonts w:ascii="Arial" w:cs="Arial" w:eastAsia="Arial" w:hAnsi="Arial"/>
          <w:sz w:val="24"/>
          <w:szCs w:val="24"/>
          <w:b w:val="1"/>
          <w:bCs w:val="1"/>
          <w:color w:val="455986"/>
        </w:rPr>
        <w:t>Retirement Plans and Other Post-Employment Benefits</w:t>
      </w:r>
    </w:p>
    <w:p>
      <w:pPr>
        <w:spacing w:after="0" w:line="156" w:lineRule="exact"/>
        <w:rPr>
          <w:sz w:val="20"/>
          <w:szCs w:val="20"/>
          <w:color w:val="auto"/>
        </w:rPr>
      </w:pPr>
    </w:p>
    <w:p>
      <w:pPr>
        <w:spacing w:after="0"/>
        <w:rPr>
          <w:sz w:val="20"/>
          <w:szCs w:val="20"/>
          <w:color w:val="auto"/>
        </w:rPr>
      </w:pPr>
      <w:r>
        <w:rPr>
          <w:rFonts w:ascii="Arial" w:cs="Arial" w:eastAsia="Arial" w:hAnsi="Arial"/>
          <w:sz w:val="20"/>
          <w:szCs w:val="20"/>
          <w:b w:val="1"/>
          <w:bCs w:val="1"/>
          <w:color w:val="231F20"/>
        </w:rPr>
        <w:t>Pension Benefits</w:t>
      </w:r>
    </w:p>
    <w:p>
      <w:pPr>
        <w:spacing w:after="0" w:line="166" w:lineRule="exact"/>
        <w:rPr>
          <w:sz w:val="20"/>
          <w:szCs w:val="20"/>
          <w:color w:val="auto"/>
        </w:rPr>
      </w:pPr>
    </w:p>
    <w:p>
      <w:pPr>
        <w:ind w:right="180"/>
        <w:spacing w:after="0" w:line="253" w:lineRule="auto"/>
        <w:rPr>
          <w:sz w:val="20"/>
          <w:szCs w:val="20"/>
          <w:color w:val="auto"/>
        </w:rPr>
      </w:pPr>
      <w:r>
        <w:rPr>
          <w:rFonts w:ascii="Arial" w:cs="Arial" w:eastAsia="Arial" w:hAnsi="Arial"/>
          <w:sz w:val="14"/>
          <w:szCs w:val="14"/>
          <w:color w:val="231F20"/>
        </w:rPr>
        <w:t>The following table shows: (1) the number of years of credited service for the named executive officers under our various retirement plans as of December 31, 2020; (2) the actuarial present value of accumulated benefits under those plans as of December 31, 2020; and, (3) any payments made to the named executive officers during 2020 under those plans.</w:t>
      </w:r>
    </w:p>
    <w:p>
      <w:pPr>
        <w:spacing w:after="0" w:line="106" w:lineRule="exact"/>
        <w:rPr>
          <w:sz w:val="20"/>
          <w:szCs w:val="20"/>
          <w:color w:val="auto"/>
        </w:rPr>
      </w:pPr>
    </w:p>
    <w:p>
      <w:pPr>
        <w:spacing w:after="0"/>
        <w:rPr>
          <w:sz w:val="20"/>
          <w:szCs w:val="20"/>
          <w:color w:val="auto"/>
        </w:rPr>
      </w:pPr>
      <w:r>
        <w:rPr>
          <w:rFonts w:ascii="Arial" w:cs="Arial" w:eastAsia="Arial" w:hAnsi="Arial"/>
          <w:sz w:val="15"/>
          <w:szCs w:val="15"/>
          <w:b w:val="1"/>
          <w:bCs w:val="1"/>
          <w:color w:val="231F20"/>
        </w:rPr>
        <w:t>Pension Benefits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800" w:type="dxa"/>
            <w:vAlign w:val="bottom"/>
          </w:tcPr>
          <w:p>
            <w:pPr>
              <w:spacing w:after="0"/>
              <w:rPr>
                <w:sz w:val="14"/>
                <w:szCs w:val="14"/>
                <w:color w:val="auto"/>
              </w:rPr>
            </w:pPr>
          </w:p>
        </w:tc>
        <w:tc>
          <w:tcPr>
            <w:tcW w:w="4560" w:type="dxa"/>
            <w:vAlign w:val="bottom"/>
          </w:tcPr>
          <w:p>
            <w:pPr>
              <w:spacing w:after="0"/>
              <w:rPr>
                <w:sz w:val="14"/>
                <w:szCs w:val="14"/>
                <w:color w:val="auto"/>
              </w:rPr>
            </w:pPr>
          </w:p>
        </w:tc>
        <w:tc>
          <w:tcPr>
            <w:tcW w:w="2520" w:type="dxa"/>
            <w:vAlign w:val="bottom"/>
          </w:tcPr>
          <w:p>
            <w:pPr>
              <w:jc w:val="right"/>
              <w:ind w:right="172"/>
              <w:spacing w:after="0"/>
              <w:rPr>
                <w:sz w:val="20"/>
                <w:szCs w:val="20"/>
                <w:color w:val="auto"/>
              </w:rPr>
            </w:pPr>
            <w:r>
              <w:rPr>
                <w:rFonts w:ascii="Arial" w:cs="Arial" w:eastAsia="Arial" w:hAnsi="Arial"/>
                <w:sz w:val="14"/>
                <w:szCs w:val="14"/>
                <w:color w:val="455986"/>
              </w:rPr>
              <w:t>Number of</w:t>
            </w:r>
          </w:p>
        </w:tc>
        <w:tc>
          <w:tcPr>
            <w:tcW w:w="1240" w:type="dxa"/>
            <w:vAlign w:val="bottom"/>
          </w:tcPr>
          <w:p>
            <w:pPr>
              <w:jc w:val="right"/>
              <w:ind w:right="72"/>
              <w:spacing w:after="0"/>
              <w:rPr>
                <w:sz w:val="20"/>
                <w:szCs w:val="20"/>
                <w:color w:val="auto"/>
              </w:rPr>
            </w:pPr>
            <w:r>
              <w:rPr>
                <w:rFonts w:ascii="Arial" w:cs="Arial" w:eastAsia="Arial" w:hAnsi="Arial"/>
                <w:sz w:val="14"/>
                <w:szCs w:val="14"/>
                <w:color w:val="455986"/>
              </w:rPr>
              <w:t>Present Value</w:t>
            </w:r>
          </w:p>
        </w:tc>
        <w:tc>
          <w:tcPr>
            <w:tcW w:w="1120" w:type="dxa"/>
            <w:vAlign w:val="bottom"/>
          </w:tcPr>
          <w:p>
            <w:pPr>
              <w:jc w:val="right"/>
              <w:spacing w:after="0"/>
              <w:rPr>
                <w:sz w:val="20"/>
                <w:szCs w:val="20"/>
                <w:color w:val="auto"/>
              </w:rPr>
            </w:pPr>
            <w:r>
              <w:rPr>
                <w:rFonts w:ascii="Arial" w:cs="Arial" w:eastAsia="Arial" w:hAnsi="Arial"/>
                <w:sz w:val="14"/>
                <w:szCs w:val="14"/>
                <w:color w:val="455986"/>
              </w:rPr>
              <w:t>Payments During</w:t>
            </w:r>
          </w:p>
        </w:tc>
      </w:tr>
      <w:tr>
        <w:trPr>
          <w:trHeight w:val="153"/>
        </w:trPr>
        <w:tc>
          <w:tcPr>
            <w:tcW w:w="1800" w:type="dxa"/>
            <w:vAlign w:val="bottom"/>
          </w:tcPr>
          <w:p>
            <w:pPr>
              <w:spacing w:after="0"/>
              <w:rPr>
                <w:sz w:val="13"/>
                <w:szCs w:val="13"/>
                <w:color w:val="auto"/>
              </w:rPr>
            </w:pPr>
          </w:p>
        </w:tc>
        <w:tc>
          <w:tcPr>
            <w:tcW w:w="4560" w:type="dxa"/>
            <w:vAlign w:val="bottom"/>
          </w:tcPr>
          <w:p>
            <w:pPr>
              <w:spacing w:after="0"/>
              <w:rPr>
                <w:sz w:val="13"/>
                <w:szCs w:val="13"/>
                <w:color w:val="auto"/>
              </w:rPr>
            </w:pPr>
          </w:p>
        </w:tc>
        <w:tc>
          <w:tcPr>
            <w:tcW w:w="2520" w:type="dxa"/>
            <w:vAlign w:val="bottom"/>
          </w:tcPr>
          <w:p>
            <w:pPr>
              <w:jc w:val="right"/>
              <w:ind w:right="152"/>
              <w:spacing w:after="0" w:line="153" w:lineRule="exact"/>
              <w:rPr>
                <w:sz w:val="20"/>
                <w:szCs w:val="20"/>
                <w:color w:val="auto"/>
              </w:rPr>
            </w:pPr>
            <w:r>
              <w:rPr>
                <w:rFonts w:ascii="Arial" w:cs="Arial" w:eastAsia="Arial" w:hAnsi="Arial"/>
                <w:sz w:val="14"/>
                <w:szCs w:val="14"/>
                <w:color w:val="455986"/>
              </w:rPr>
              <w:t>Years of Credited</w:t>
            </w:r>
          </w:p>
        </w:tc>
        <w:tc>
          <w:tcPr>
            <w:tcW w:w="1240" w:type="dxa"/>
            <w:vAlign w:val="bottom"/>
          </w:tcPr>
          <w:p>
            <w:pPr>
              <w:jc w:val="right"/>
              <w:ind w:right="32"/>
              <w:spacing w:after="0" w:line="153" w:lineRule="exact"/>
              <w:rPr>
                <w:sz w:val="20"/>
                <w:szCs w:val="20"/>
                <w:color w:val="auto"/>
              </w:rPr>
            </w:pPr>
            <w:r>
              <w:rPr>
                <w:rFonts w:ascii="Arial" w:cs="Arial" w:eastAsia="Arial" w:hAnsi="Arial"/>
                <w:sz w:val="14"/>
                <w:szCs w:val="14"/>
                <w:color w:val="455986"/>
              </w:rPr>
              <w:t>of Accumulated</w:t>
            </w:r>
          </w:p>
        </w:tc>
        <w:tc>
          <w:tcPr>
            <w:tcW w:w="1120" w:type="dxa"/>
            <w:vAlign w:val="bottom"/>
          </w:tcPr>
          <w:p>
            <w:pPr>
              <w:jc w:val="right"/>
              <w:spacing w:after="0" w:line="153" w:lineRule="exact"/>
              <w:rPr>
                <w:sz w:val="20"/>
                <w:szCs w:val="20"/>
                <w:color w:val="auto"/>
              </w:rPr>
            </w:pPr>
            <w:r>
              <w:rPr>
                <w:rFonts w:ascii="Arial" w:cs="Arial" w:eastAsia="Arial" w:hAnsi="Arial"/>
                <w:sz w:val="14"/>
                <w:szCs w:val="14"/>
                <w:color w:val="455986"/>
              </w:rPr>
              <w:t>Last Fiscal</w:t>
            </w:r>
          </w:p>
        </w:tc>
      </w:tr>
      <w:tr>
        <w:trPr>
          <w:trHeight w:val="165"/>
        </w:trPr>
        <w:tc>
          <w:tcPr>
            <w:tcW w:w="1800" w:type="dxa"/>
            <w:vAlign w:val="bottom"/>
            <w:tcBorders>
              <w:bottom w:val="single" w:sz="8" w:color="4395D4"/>
            </w:tcBorders>
          </w:tcPr>
          <w:p>
            <w:pPr>
              <w:spacing w:after="0"/>
              <w:rPr>
                <w:sz w:val="20"/>
                <w:szCs w:val="20"/>
                <w:color w:val="auto"/>
              </w:rPr>
            </w:pPr>
            <w:r>
              <w:rPr>
                <w:rFonts w:ascii="Arial" w:cs="Arial" w:eastAsia="Arial" w:hAnsi="Arial"/>
                <w:sz w:val="14"/>
                <w:szCs w:val="14"/>
                <w:color w:val="455986"/>
              </w:rPr>
              <w:t>Name</w:t>
            </w:r>
          </w:p>
        </w:tc>
        <w:tc>
          <w:tcPr>
            <w:tcW w:w="4560" w:type="dxa"/>
            <w:vAlign w:val="bottom"/>
            <w:tcBorders>
              <w:bottom w:val="single" w:sz="8" w:color="4395D4"/>
            </w:tcBorders>
          </w:tcPr>
          <w:p>
            <w:pPr>
              <w:spacing w:after="0"/>
              <w:rPr>
                <w:sz w:val="20"/>
                <w:szCs w:val="20"/>
                <w:color w:val="auto"/>
              </w:rPr>
            </w:pPr>
            <w:r>
              <w:rPr>
                <w:rFonts w:ascii="Arial" w:cs="Arial" w:eastAsia="Arial" w:hAnsi="Arial"/>
                <w:sz w:val="14"/>
                <w:szCs w:val="14"/>
                <w:color w:val="455986"/>
              </w:rPr>
              <w:t>Plan Name</w:t>
            </w:r>
          </w:p>
        </w:tc>
        <w:tc>
          <w:tcPr>
            <w:tcW w:w="2520" w:type="dxa"/>
            <w:vAlign w:val="bottom"/>
            <w:tcBorders>
              <w:bottom w:val="single" w:sz="8" w:color="4395D4"/>
            </w:tcBorders>
          </w:tcPr>
          <w:p>
            <w:pPr>
              <w:jc w:val="right"/>
              <w:ind w:right="152"/>
              <w:spacing w:after="0"/>
              <w:rPr>
                <w:sz w:val="20"/>
                <w:szCs w:val="20"/>
                <w:color w:val="auto"/>
              </w:rPr>
            </w:pPr>
            <w:r>
              <w:rPr>
                <w:rFonts w:ascii="Arial" w:cs="Arial" w:eastAsia="Arial" w:hAnsi="Arial"/>
                <w:sz w:val="14"/>
                <w:szCs w:val="14"/>
                <w:color w:val="455986"/>
              </w:rPr>
              <w:t>Service*(#)</w:t>
            </w:r>
          </w:p>
        </w:tc>
        <w:tc>
          <w:tcPr>
            <w:tcW w:w="1240" w:type="dxa"/>
            <w:vAlign w:val="bottom"/>
            <w:tcBorders>
              <w:bottom w:val="single" w:sz="8" w:color="4395D4"/>
            </w:tcBorders>
          </w:tcPr>
          <w:p>
            <w:pPr>
              <w:jc w:val="right"/>
              <w:ind w:right="32"/>
              <w:spacing w:after="0"/>
              <w:rPr>
                <w:sz w:val="20"/>
                <w:szCs w:val="20"/>
                <w:color w:val="auto"/>
              </w:rPr>
            </w:pPr>
            <w:r>
              <w:rPr>
                <w:rFonts w:ascii="Arial" w:cs="Arial" w:eastAsia="Arial" w:hAnsi="Arial"/>
                <w:sz w:val="14"/>
                <w:szCs w:val="14"/>
                <w:color w:val="455986"/>
              </w:rPr>
              <w:t>Benefit ($)</w:t>
            </w:r>
          </w:p>
        </w:tc>
        <w:tc>
          <w:tcPr>
            <w:tcW w:w="1120" w:type="dxa"/>
            <w:vAlign w:val="bottom"/>
            <w:tcBorders>
              <w:bottom w:val="single" w:sz="8" w:color="4395D4"/>
            </w:tcBorders>
          </w:tcPr>
          <w:p>
            <w:pPr>
              <w:jc w:val="right"/>
              <w:spacing w:after="0"/>
              <w:rPr>
                <w:sz w:val="20"/>
                <w:szCs w:val="20"/>
                <w:color w:val="auto"/>
              </w:rPr>
            </w:pPr>
            <w:r>
              <w:rPr>
                <w:rFonts w:ascii="Arial" w:cs="Arial" w:eastAsia="Arial" w:hAnsi="Arial"/>
                <w:sz w:val="14"/>
                <w:szCs w:val="14"/>
                <w:color w:val="455986"/>
              </w:rPr>
              <w:t>Year ($)</w:t>
            </w:r>
          </w:p>
        </w:tc>
      </w:tr>
      <w:tr>
        <w:trPr>
          <w:trHeight w:val="221"/>
        </w:trPr>
        <w:tc>
          <w:tcPr>
            <w:tcW w:w="1800" w:type="dxa"/>
            <w:vAlign w:val="bottom"/>
          </w:tcPr>
          <w:p>
            <w:pPr>
              <w:spacing w:after="0"/>
              <w:rPr>
                <w:sz w:val="20"/>
                <w:szCs w:val="20"/>
                <w:color w:val="auto"/>
              </w:rPr>
            </w:pPr>
            <w:r>
              <w:rPr>
                <w:rFonts w:ascii="Arial" w:cs="Arial" w:eastAsia="Arial" w:hAnsi="Arial"/>
                <w:sz w:val="14"/>
                <w:szCs w:val="14"/>
                <w:b w:val="1"/>
                <w:bCs w:val="1"/>
                <w:color w:val="455986"/>
              </w:rPr>
              <w:t>Franklin</w:t>
            </w:r>
          </w:p>
        </w:tc>
        <w:tc>
          <w:tcPr>
            <w:tcW w:w="4560" w:type="dxa"/>
            <w:vAlign w:val="bottom"/>
          </w:tcPr>
          <w:p>
            <w:pPr>
              <w:spacing w:after="0"/>
              <w:rPr>
                <w:sz w:val="20"/>
                <w:szCs w:val="20"/>
                <w:color w:val="auto"/>
              </w:rPr>
            </w:pPr>
            <w:r>
              <w:rPr>
                <w:rFonts w:ascii="Arial" w:cs="Arial" w:eastAsia="Arial" w:hAnsi="Arial"/>
                <w:sz w:val="14"/>
                <w:szCs w:val="14"/>
                <w:color w:val="231F20"/>
              </w:rPr>
              <w:t>Retirement Income Plan for Essential Utilities, Inc. and</w:t>
            </w:r>
          </w:p>
        </w:tc>
        <w:tc>
          <w:tcPr>
            <w:tcW w:w="2520" w:type="dxa"/>
            <w:vAlign w:val="bottom"/>
          </w:tcPr>
          <w:p>
            <w:pPr>
              <w:jc w:val="right"/>
              <w:ind w:right="152"/>
              <w:spacing w:after="0"/>
              <w:rPr>
                <w:sz w:val="20"/>
                <w:szCs w:val="20"/>
                <w:color w:val="auto"/>
              </w:rPr>
            </w:pPr>
            <w:r>
              <w:rPr>
                <w:rFonts w:ascii="Arial" w:cs="Arial" w:eastAsia="Arial" w:hAnsi="Arial"/>
                <w:sz w:val="14"/>
                <w:szCs w:val="14"/>
                <w:color w:val="231F20"/>
              </w:rPr>
              <w:t>22</w:t>
            </w:r>
          </w:p>
        </w:tc>
        <w:tc>
          <w:tcPr>
            <w:tcW w:w="1240" w:type="dxa"/>
            <w:vAlign w:val="bottom"/>
          </w:tcPr>
          <w:p>
            <w:pPr>
              <w:jc w:val="right"/>
              <w:ind w:right="32"/>
              <w:spacing w:after="0"/>
              <w:rPr>
                <w:sz w:val="20"/>
                <w:szCs w:val="20"/>
                <w:color w:val="auto"/>
              </w:rPr>
            </w:pPr>
            <w:r>
              <w:rPr>
                <w:rFonts w:ascii="Arial" w:cs="Arial" w:eastAsia="Arial" w:hAnsi="Arial"/>
                <w:sz w:val="14"/>
                <w:szCs w:val="14"/>
                <w:color w:val="231F20"/>
              </w:rPr>
              <w:t>1,336,754</w:t>
            </w:r>
          </w:p>
        </w:tc>
        <w:tc>
          <w:tcPr>
            <w:tcW w:w="1120" w:type="dxa"/>
            <w:vAlign w:val="bottom"/>
          </w:tcPr>
          <w:p>
            <w:pPr>
              <w:jc w:val="right"/>
              <w:spacing w:after="0"/>
              <w:rPr>
                <w:sz w:val="20"/>
                <w:szCs w:val="20"/>
                <w:color w:val="auto"/>
              </w:rPr>
            </w:pPr>
            <w:r>
              <w:rPr>
                <w:rFonts w:ascii="Arial" w:cs="Arial" w:eastAsia="Arial" w:hAnsi="Arial"/>
                <w:sz w:val="14"/>
                <w:szCs w:val="14"/>
                <w:color w:val="231F20"/>
              </w:rPr>
              <w:t>—</w:t>
            </w:r>
          </w:p>
        </w:tc>
      </w:tr>
      <w:tr>
        <w:trPr>
          <w:trHeight w:val="27"/>
        </w:trPr>
        <w:tc>
          <w:tcPr>
            <w:tcW w:w="1800" w:type="dxa"/>
            <w:vAlign w:val="bottom"/>
          </w:tcPr>
          <w:p>
            <w:pPr>
              <w:spacing w:after="0"/>
              <w:rPr>
                <w:sz w:val="2"/>
                <w:szCs w:val="2"/>
                <w:color w:val="auto"/>
              </w:rPr>
            </w:pPr>
          </w:p>
        </w:tc>
        <w:tc>
          <w:tcPr>
            <w:tcW w:w="4560" w:type="dxa"/>
            <w:vAlign w:val="bottom"/>
            <w:tcBorders>
              <w:bottom w:val="single" w:sz="8" w:color="231F20"/>
            </w:tcBorders>
          </w:tcPr>
          <w:p>
            <w:pPr>
              <w:spacing w:after="0"/>
              <w:rPr>
                <w:sz w:val="2"/>
                <w:szCs w:val="2"/>
                <w:color w:val="auto"/>
              </w:rPr>
            </w:pPr>
          </w:p>
        </w:tc>
        <w:tc>
          <w:tcPr>
            <w:tcW w:w="2520" w:type="dxa"/>
            <w:vAlign w:val="bottom"/>
            <w:tcBorders>
              <w:bottom w:val="single" w:sz="8" w:color="231F20"/>
            </w:tcBorders>
          </w:tcPr>
          <w:p>
            <w:pPr>
              <w:spacing w:after="0"/>
              <w:rPr>
                <w:sz w:val="2"/>
                <w:szCs w:val="2"/>
                <w:color w:val="auto"/>
              </w:rPr>
            </w:pPr>
          </w:p>
        </w:tc>
        <w:tc>
          <w:tcPr>
            <w:tcW w:w="1240" w:type="dxa"/>
            <w:vAlign w:val="bottom"/>
            <w:tcBorders>
              <w:bottom w:val="single" w:sz="8" w:color="231F20"/>
            </w:tcBorders>
          </w:tcPr>
          <w:p>
            <w:pPr>
              <w:spacing w:after="0"/>
              <w:rPr>
                <w:sz w:val="2"/>
                <w:szCs w:val="2"/>
                <w:color w:val="auto"/>
              </w:rPr>
            </w:pPr>
          </w:p>
        </w:tc>
        <w:tc>
          <w:tcPr>
            <w:tcW w:w="1120" w:type="dxa"/>
            <w:vAlign w:val="bottom"/>
            <w:tcBorders>
              <w:bottom w:val="single" w:sz="8" w:color="231F20"/>
            </w:tcBorders>
          </w:tcPr>
          <w:p>
            <w:pPr>
              <w:spacing w:after="0"/>
              <w:rPr>
                <w:sz w:val="2"/>
                <w:szCs w:val="2"/>
                <w:color w:val="auto"/>
              </w:rPr>
            </w:pPr>
          </w:p>
        </w:tc>
      </w:tr>
      <w:tr>
        <w:trPr>
          <w:trHeight w:val="215"/>
        </w:trPr>
        <w:tc>
          <w:tcPr>
            <w:tcW w:w="180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Arial" w:cs="Arial" w:eastAsia="Arial" w:hAnsi="Arial"/>
                <w:sz w:val="14"/>
                <w:szCs w:val="14"/>
                <w:color w:val="231F20"/>
              </w:rPr>
              <w:t>Subsidiaries Non-Qualified Retirement Plan</w:t>
            </w:r>
          </w:p>
        </w:tc>
        <w:tc>
          <w:tcPr>
            <w:tcW w:w="2520" w:type="dxa"/>
            <w:vAlign w:val="bottom"/>
          </w:tcPr>
          <w:p>
            <w:pPr>
              <w:jc w:val="right"/>
              <w:ind w:right="152"/>
              <w:spacing w:after="0"/>
              <w:rPr>
                <w:sz w:val="20"/>
                <w:szCs w:val="20"/>
                <w:color w:val="auto"/>
              </w:rPr>
            </w:pPr>
            <w:r>
              <w:rPr>
                <w:rFonts w:ascii="Arial" w:cs="Arial" w:eastAsia="Arial" w:hAnsi="Arial"/>
                <w:sz w:val="14"/>
                <w:szCs w:val="14"/>
                <w:color w:val="231F20"/>
              </w:rPr>
              <w:t>28</w:t>
            </w:r>
          </w:p>
        </w:tc>
        <w:tc>
          <w:tcPr>
            <w:tcW w:w="1240" w:type="dxa"/>
            <w:vAlign w:val="bottom"/>
          </w:tcPr>
          <w:p>
            <w:pPr>
              <w:jc w:val="right"/>
              <w:ind w:right="32"/>
              <w:spacing w:after="0"/>
              <w:rPr>
                <w:sz w:val="20"/>
                <w:szCs w:val="20"/>
                <w:color w:val="auto"/>
              </w:rPr>
            </w:pPr>
            <w:r>
              <w:rPr>
                <w:rFonts w:ascii="Arial" w:cs="Arial" w:eastAsia="Arial" w:hAnsi="Arial"/>
                <w:sz w:val="14"/>
                <w:szCs w:val="14"/>
                <w:color w:val="231F20"/>
              </w:rPr>
              <w:t>9,433,460</w:t>
            </w:r>
          </w:p>
        </w:tc>
        <w:tc>
          <w:tcPr>
            <w:tcW w:w="1120" w:type="dxa"/>
            <w:vAlign w:val="bottom"/>
          </w:tcPr>
          <w:p>
            <w:pPr>
              <w:jc w:val="right"/>
              <w:spacing w:after="0"/>
              <w:rPr>
                <w:sz w:val="20"/>
                <w:szCs w:val="20"/>
                <w:color w:val="auto"/>
              </w:rPr>
            </w:pPr>
            <w:r>
              <w:rPr>
                <w:rFonts w:ascii="Arial" w:cs="Arial" w:eastAsia="Arial" w:hAnsi="Arial"/>
                <w:sz w:val="14"/>
                <w:szCs w:val="14"/>
                <w:color w:val="231F20"/>
              </w:rPr>
              <w:t>—</w:t>
            </w:r>
          </w:p>
        </w:tc>
      </w:tr>
      <w:tr>
        <w:trPr>
          <w:trHeight w:val="33"/>
        </w:trPr>
        <w:tc>
          <w:tcPr>
            <w:tcW w:w="1800" w:type="dxa"/>
            <w:vAlign w:val="bottom"/>
            <w:tcBorders>
              <w:bottom w:val="single" w:sz="8" w:color="231F20"/>
            </w:tcBorders>
          </w:tcPr>
          <w:p>
            <w:pPr>
              <w:spacing w:after="0"/>
              <w:rPr>
                <w:sz w:val="2"/>
                <w:szCs w:val="2"/>
                <w:color w:val="auto"/>
              </w:rPr>
            </w:pPr>
          </w:p>
        </w:tc>
        <w:tc>
          <w:tcPr>
            <w:tcW w:w="4560" w:type="dxa"/>
            <w:vAlign w:val="bottom"/>
            <w:tcBorders>
              <w:bottom w:val="single" w:sz="8" w:color="231F20"/>
            </w:tcBorders>
          </w:tcPr>
          <w:p>
            <w:pPr>
              <w:spacing w:after="0"/>
              <w:rPr>
                <w:sz w:val="2"/>
                <w:szCs w:val="2"/>
                <w:color w:val="auto"/>
              </w:rPr>
            </w:pPr>
          </w:p>
        </w:tc>
        <w:tc>
          <w:tcPr>
            <w:tcW w:w="2520" w:type="dxa"/>
            <w:vAlign w:val="bottom"/>
            <w:tcBorders>
              <w:bottom w:val="single" w:sz="8" w:color="231F20"/>
            </w:tcBorders>
          </w:tcPr>
          <w:p>
            <w:pPr>
              <w:spacing w:after="0"/>
              <w:rPr>
                <w:sz w:val="2"/>
                <w:szCs w:val="2"/>
                <w:color w:val="auto"/>
              </w:rPr>
            </w:pPr>
          </w:p>
        </w:tc>
        <w:tc>
          <w:tcPr>
            <w:tcW w:w="1240" w:type="dxa"/>
            <w:vAlign w:val="bottom"/>
            <w:tcBorders>
              <w:bottom w:val="single" w:sz="8" w:color="231F20"/>
            </w:tcBorders>
          </w:tcPr>
          <w:p>
            <w:pPr>
              <w:spacing w:after="0"/>
              <w:rPr>
                <w:sz w:val="2"/>
                <w:szCs w:val="2"/>
                <w:color w:val="auto"/>
              </w:rPr>
            </w:pPr>
          </w:p>
        </w:tc>
        <w:tc>
          <w:tcPr>
            <w:tcW w:w="1120" w:type="dxa"/>
            <w:vAlign w:val="bottom"/>
            <w:tcBorders>
              <w:bottom w:val="single" w:sz="8" w:color="231F20"/>
            </w:tcBorders>
          </w:tcPr>
          <w:p>
            <w:pPr>
              <w:spacing w:after="0"/>
              <w:rPr>
                <w:sz w:val="2"/>
                <w:szCs w:val="2"/>
                <w:color w:val="auto"/>
              </w:rPr>
            </w:pPr>
          </w:p>
        </w:tc>
      </w:tr>
      <w:tr>
        <w:trPr>
          <w:trHeight w:val="221"/>
        </w:trPr>
        <w:tc>
          <w:tcPr>
            <w:tcW w:w="1800" w:type="dxa"/>
            <w:vAlign w:val="bottom"/>
          </w:tcPr>
          <w:p>
            <w:pPr>
              <w:spacing w:after="0"/>
              <w:rPr>
                <w:sz w:val="20"/>
                <w:szCs w:val="20"/>
                <w:color w:val="auto"/>
              </w:rPr>
            </w:pPr>
            <w:r>
              <w:rPr>
                <w:rFonts w:ascii="Arial" w:cs="Arial" w:eastAsia="Arial" w:hAnsi="Arial"/>
                <w:sz w:val="14"/>
                <w:szCs w:val="14"/>
                <w:b w:val="1"/>
                <w:bCs w:val="1"/>
                <w:color w:val="455986"/>
              </w:rPr>
              <w:t>Schuller</w:t>
            </w:r>
          </w:p>
        </w:tc>
        <w:tc>
          <w:tcPr>
            <w:tcW w:w="4560" w:type="dxa"/>
            <w:vAlign w:val="bottom"/>
          </w:tcPr>
          <w:p>
            <w:pPr>
              <w:spacing w:after="0"/>
              <w:rPr>
                <w:sz w:val="20"/>
                <w:szCs w:val="20"/>
                <w:color w:val="auto"/>
              </w:rPr>
            </w:pPr>
            <w:r>
              <w:rPr>
                <w:rFonts w:ascii="Arial" w:cs="Arial" w:eastAsia="Arial" w:hAnsi="Arial"/>
                <w:sz w:val="14"/>
                <w:szCs w:val="14"/>
                <w:color w:val="231F20"/>
              </w:rPr>
              <w:t>Retirement Income Plan for Essential Utilities, Inc. and</w:t>
            </w:r>
          </w:p>
        </w:tc>
        <w:tc>
          <w:tcPr>
            <w:tcW w:w="2520" w:type="dxa"/>
            <w:vAlign w:val="bottom"/>
          </w:tcPr>
          <w:p>
            <w:pPr>
              <w:jc w:val="right"/>
              <w:ind w:right="152"/>
              <w:spacing w:after="0"/>
              <w:rPr>
                <w:sz w:val="20"/>
                <w:szCs w:val="20"/>
                <w:color w:val="auto"/>
              </w:rPr>
            </w:pPr>
            <w:r>
              <w:rPr>
                <w:rFonts w:ascii="Arial" w:cs="Arial" w:eastAsia="Arial" w:hAnsi="Arial"/>
                <w:sz w:val="14"/>
                <w:szCs w:val="14"/>
                <w:color w:val="231F20"/>
              </w:rPr>
              <w:t>—</w:t>
            </w:r>
          </w:p>
        </w:tc>
        <w:tc>
          <w:tcPr>
            <w:tcW w:w="1240" w:type="dxa"/>
            <w:vAlign w:val="bottom"/>
          </w:tcPr>
          <w:p>
            <w:pPr>
              <w:jc w:val="right"/>
              <w:ind w:right="32"/>
              <w:spacing w:after="0"/>
              <w:rPr>
                <w:sz w:val="20"/>
                <w:szCs w:val="20"/>
                <w:color w:val="auto"/>
              </w:rPr>
            </w:pPr>
            <w:r>
              <w:rPr>
                <w:rFonts w:ascii="Arial" w:cs="Arial" w:eastAsia="Arial" w:hAnsi="Arial"/>
                <w:sz w:val="14"/>
                <w:szCs w:val="14"/>
                <w:color w:val="231F20"/>
              </w:rPr>
              <w:t>—</w:t>
            </w:r>
          </w:p>
        </w:tc>
        <w:tc>
          <w:tcPr>
            <w:tcW w:w="1120" w:type="dxa"/>
            <w:vAlign w:val="bottom"/>
          </w:tcPr>
          <w:p>
            <w:pPr>
              <w:jc w:val="right"/>
              <w:spacing w:after="0"/>
              <w:rPr>
                <w:sz w:val="20"/>
                <w:szCs w:val="20"/>
                <w:color w:val="auto"/>
              </w:rPr>
            </w:pPr>
            <w:r>
              <w:rPr>
                <w:rFonts w:ascii="Arial" w:cs="Arial" w:eastAsia="Arial" w:hAnsi="Arial"/>
                <w:sz w:val="14"/>
                <w:szCs w:val="14"/>
                <w:color w:val="231F20"/>
              </w:rPr>
              <w:t>—</w:t>
            </w:r>
          </w:p>
        </w:tc>
      </w:tr>
      <w:tr>
        <w:trPr>
          <w:trHeight w:val="27"/>
        </w:trPr>
        <w:tc>
          <w:tcPr>
            <w:tcW w:w="1800" w:type="dxa"/>
            <w:vAlign w:val="bottom"/>
          </w:tcPr>
          <w:p>
            <w:pPr>
              <w:spacing w:after="0"/>
              <w:rPr>
                <w:sz w:val="2"/>
                <w:szCs w:val="2"/>
                <w:color w:val="auto"/>
              </w:rPr>
            </w:pPr>
          </w:p>
        </w:tc>
        <w:tc>
          <w:tcPr>
            <w:tcW w:w="4560" w:type="dxa"/>
            <w:vAlign w:val="bottom"/>
            <w:tcBorders>
              <w:bottom w:val="single" w:sz="8" w:color="231F20"/>
            </w:tcBorders>
          </w:tcPr>
          <w:p>
            <w:pPr>
              <w:spacing w:after="0"/>
              <w:rPr>
                <w:sz w:val="2"/>
                <w:szCs w:val="2"/>
                <w:color w:val="auto"/>
              </w:rPr>
            </w:pPr>
          </w:p>
        </w:tc>
        <w:tc>
          <w:tcPr>
            <w:tcW w:w="2520" w:type="dxa"/>
            <w:vAlign w:val="bottom"/>
            <w:tcBorders>
              <w:bottom w:val="single" w:sz="8" w:color="231F20"/>
            </w:tcBorders>
          </w:tcPr>
          <w:p>
            <w:pPr>
              <w:spacing w:after="0"/>
              <w:rPr>
                <w:sz w:val="2"/>
                <w:szCs w:val="2"/>
                <w:color w:val="auto"/>
              </w:rPr>
            </w:pPr>
          </w:p>
        </w:tc>
        <w:tc>
          <w:tcPr>
            <w:tcW w:w="1240" w:type="dxa"/>
            <w:vAlign w:val="bottom"/>
            <w:tcBorders>
              <w:bottom w:val="single" w:sz="8" w:color="231F20"/>
            </w:tcBorders>
          </w:tcPr>
          <w:p>
            <w:pPr>
              <w:spacing w:after="0"/>
              <w:rPr>
                <w:sz w:val="2"/>
                <w:szCs w:val="2"/>
                <w:color w:val="auto"/>
              </w:rPr>
            </w:pPr>
          </w:p>
        </w:tc>
        <w:tc>
          <w:tcPr>
            <w:tcW w:w="1120" w:type="dxa"/>
            <w:vAlign w:val="bottom"/>
            <w:tcBorders>
              <w:bottom w:val="single" w:sz="8" w:color="231F20"/>
            </w:tcBorders>
          </w:tcPr>
          <w:p>
            <w:pPr>
              <w:spacing w:after="0"/>
              <w:rPr>
                <w:sz w:val="2"/>
                <w:szCs w:val="2"/>
                <w:color w:val="auto"/>
              </w:rPr>
            </w:pPr>
          </w:p>
        </w:tc>
      </w:tr>
      <w:tr>
        <w:trPr>
          <w:trHeight w:val="215"/>
        </w:trPr>
        <w:tc>
          <w:tcPr>
            <w:tcW w:w="180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Arial" w:cs="Arial" w:eastAsia="Arial" w:hAnsi="Arial"/>
                <w:sz w:val="14"/>
                <w:szCs w:val="14"/>
                <w:color w:val="231F20"/>
              </w:rPr>
              <w:t>Subsidiaries Non-Qualified Retirement Plan</w:t>
            </w:r>
          </w:p>
        </w:tc>
        <w:tc>
          <w:tcPr>
            <w:tcW w:w="2520" w:type="dxa"/>
            <w:vAlign w:val="bottom"/>
          </w:tcPr>
          <w:p>
            <w:pPr>
              <w:jc w:val="right"/>
              <w:ind w:right="152"/>
              <w:spacing w:after="0"/>
              <w:rPr>
                <w:sz w:val="20"/>
                <w:szCs w:val="20"/>
                <w:color w:val="auto"/>
              </w:rPr>
            </w:pPr>
            <w:r>
              <w:rPr>
                <w:rFonts w:ascii="Arial" w:cs="Arial" w:eastAsia="Arial" w:hAnsi="Arial"/>
                <w:sz w:val="14"/>
                <w:szCs w:val="14"/>
                <w:color w:val="231F20"/>
              </w:rPr>
              <w:t>—</w:t>
            </w:r>
          </w:p>
        </w:tc>
        <w:tc>
          <w:tcPr>
            <w:tcW w:w="1240" w:type="dxa"/>
            <w:vAlign w:val="bottom"/>
          </w:tcPr>
          <w:p>
            <w:pPr>
              <w:jc w:val="right"/>
              <w:ind w:right="32"/>
              <w:spacing w:after="0"/>
              <w:rPr>
                <w:sz w:val="20"/>
                <w:szCs w:val="20"/>
                <w:color w:val="auto"/>
              </w:rPr>
            </w:pPr>
            <w:r>
              <w:rPr>
                <w:rFonts w:ascii="Arial" w:cs="Arial" w:eastAsia="Arial" w:hAnsi="Arial"/>
                <w:sz w:val="14"/>
                <w:szCs w:val="14"/>
                <w:color w:val="231F20"/>
              </w:rPr>
              <w:t>—</w:t>
            </w:r>
          </w:p>
        </w:tc>
        <w:tc>
          <w:tcPr>
            <w:tcW w:w="1120" w:type="dxa"/>
            <w:vAlign w:val="bottom"/>
          </w:tcPr>
          <w:p>
            <w:pPr>
              <w:jc w:val="right"/>
              <w:spacing w:after="0"/>
              <w:rPr>
                <w:sz w:val="20"/>
                <w:szCs w:val="20"/>
                <w:color w:val="auto"/>
              </w:rPr>
            </w:pPr>
            <w:r>
              <w:rPr>
                <w:rFonts w:ascii="Arial" w:cs="Arial" w:eastAsia="Arial" w:hAnsi="Arial"/>
                <w:sz w:val="14"/>
                <w:szCs w:val="14"/>
                <w:color w:val="231F20"/>
              </w:rPr>
              <w:t>—</w:t>
            </w:r>
          </w:p>
        </w:tc>
      </w:tr>
      <w:tr>
        <w:trPr>
          <w:trHeight w:val="33"/>
        </w:trPr>
        <w:tc>
          <w:tcPr>
            <w:tcW w:w="1800" w:type="dxa"/>
            <w:vAlign w:val="bottom"/>
            <w:tcBorders>
              <w:bottom w:val="single" w:sz="8" w:color="231F20"/>
            </w:tcBorders>
          </w:tcPr>
          <w:p>
            <w:pPr>
              <w:spacing w:after="0"/>
              <w:rPr>
                <w:sz w:val="2"/>
                <w:szCs w:val="2"/>
                <w:color w:val="auto"/>
              </w:rPr>
            </w:pPr>
          </w:p>
        </w:tc>
        <w:tc>
          <w:tcPr>
            <w:tcW w:w="4560" w:type="dxa"/>
            <w:vAlign w:val="bottom"/>
            <w:tcBorders>
              <w:bottom w:val="single" w:sz="8" w:color="231F20"/>
            </w:tcBorders>
          </w:tcPr>
          <w:p>
            <w:pPr>
              <w:spacing w:after="0"/>
              <w:rPr>
                <w:sz w:val="2"/>
                <w:szCs w:val="2"/>
                <w:color w:val="auto"/>
              </w:rPr>
            </w:pPr>
          </w:p>
        </w:tc>
        <w:tc>
          <w:tcPr>
            <w:tcW w:w="2520" w:type="dxa"/>
            <w:vAlign w:val="bottom"/>
            <w:tcBorders>
              <w:bottom w:val="single" w:sz="8" w:color="231F20"/>
            </w:tcBorders>
          </w:tcPr>
          <w:p>
            <w:pPr>
              <w:spacing w:after="0"/>
              <w:rPr>
                <w:sz w:val="2"/>
                <w:szCs w:val="2"/>
                <w:color w:val="auto"/>
              </w:rPr>
            </w:pPr>
          </w:p>
        </w:tc>
        <w:tc>
          <w:tcPr>
            <w:tcW w:w="1240" w:type="dxa"/>
            <w:vAlign w:val="bottom"/>
            <w:tcBorders>
              <w:bottom w:val="single" w:sz="8" w:color="231F20"/>
            </w:tcBorders>
          </w:tcPr>
          <w:p>
            <w:pPr>
              <w:spacing w:after="0"/>
              <w:rPr>
                <w:sz w:val="2"/>
                <w:szCs w:val="2"/>
                <w:color w:val="auto"/>
              </w:rPr>
            </w:pPr>
          </w:p>
        </w:tc>
        <w:tc>
          <w:tcPr>
            <w:tcW w:w="1120" w:type="dxa"/>
            <w:vAlign w:val="bottom"/>
            <w:tcBorders>
              <w:bottom w:val="single" w:sz="8" w:color="231F20"/>
            </w:tcBorders>
          </w:tcPr>
          <w:p>
            <w:pPr>
              <w:spacing w:after="0"/>
              <w:rPr>
                <w:sz w:val="2"/>
                <w:szCs w:val="2"/>
                <w:color w:val="auto"/>
              </w:rPr>
            </w:pPr>
          </w:p>
        </w:tc>
      </w:tr>
      <w:tr>
        <w:trPr>
          <w:trHeight w:val="221"/>
        </w:trPr>
        <w:tc>
          <w:tcPr>
            <w:tcW w:w="1800" w:type="dxa"/>
            <w:vAlign w:val="bottom"/>
          </w:tcPr>
          <w:p>
            <w:pPr>
              <w:spacing w:after="0"/>
              <w:rPr>
                <w:sz w:val="20"/>
                <w:szCs w:val="20"/>
                <w:color w:val="auto"/>
              </w:rPr>
            </w:pPr>
            <w:r>
              <w:rPr>
                <w:rFonts w:ascii="Arial" w:cs="Arial" w:eastAsia="Arial" w:hAnsi="Arial"/>
                <w:sz w:val="14"/>
                <w:szCs w:val="14"/>
                <w:b w:val="1"/>
                <w:bCs w:val="1"/>
                <w:color w:val="455986"/>
              </w:rPr>
              <w:t>Fox</w:t>
            </w:r>
          </w:p>
        </w:tc>
        <w:tc>
          <w:tcPr>
            <w:tcW w:w="4560" w:type="dxa"/>
            <w:vAlign w:val="bottom"/>
          </w:tcPr>
          <w:p>
            <w:pPr>
              <w:spacing w:after="0"/>
              <w:rPr>
                <w:sz w:val="20"/>
                <w:szCs w:val="20"/>
                <w:color w:val="auto"/>
              </w:rPr>
            </w:pPr>
            <w:r>
              <w:rPr>
                <w:rFonts w:ascii="Arial" w:cs="Arial" w:eastAsia="Arial" w:hAnsi="Arial"/>
                <w:sz w:val="14"/>
                <w:szCs w:val="14"/>
                <w:color w:val="231F20"/>
              </w:rPr>
              <w:t>Retirement Income Plan for Essential Utilities, Inc. and</w:t>
            </w:r>
          </w:p>
        </w:tc>
        <w:tc>
          <w:tcPr>
            <w:tcW w:w="2520" w:type="dxa"/>
            <w:vAlign w:val="bottom"/>
          </w:tcPr>
          <w:p>
            <w:pPr>
              <w:jc w:val="right"/>
              <w:ind w:right="152"/>
              <w:spacing w:after="0"/>
              <w:rPr>
                <w:sz w:val="20"/>
                <w:szCs w:val="20"/>
                <w:color w:val="auto"/>
              </w:rPr>
            </w:pPr>
            <w:r>
              <w:rPr>
                <w:rFonts w:ascii="Arial" w:cs="Arial" w:eastAsia="Arial" w:hAnsi="Arial"/>
                <w:sz w:val="14"/>
                <w:szCs w:val="14"/>
                <w:color w:val="231F20"/>
              </w:rPr>
              <w:t>13</w:t>
            </w:r>
          </w:p>
        </w:tc>
        <w:tc>
          <w:tcPr>
            <w:tcW w:w="1240" w:type="dxa"/>
            <w:vAlign w:val="bottom"/>
          </w:tcPr>
          <w:p>
            <w:pPr>
              <w:jc w:val="right"/>
              <w:ind w:right="32"/>
              <w:spacing w:after="0"/>
              <w:rPr>
                <w:sz w:val="20"/>
                <w:szCs w:val="20"/>
                <w:color w:val="auto"/>
              </w:rPr>
            </w:pPr>
            <w:r>
              <w:rPr>
                <w:rFonts w:ascii="Arial" w:cs="Arial" w:eastAsia="Arial" w:hAnsi="Arial"/>
                <w:sz w:val="14"/>
                <w:szCs w:val="14"/>
                <w:color w:val="231F20"/>
              </w:rPr>
              <w:t>681,581</w:t>
            </w:r>
          </w:p>
        </w:tc>
        <w:tc>
          <w:tcPr>
            <w:tcW w:w="1120" w:type="dxa"/>
            <w:vAlign w:val="bottom"/>
          </w:tcPr>
          <w:p>
            <w:pPr>
              <w:jc w:val="right"/>
              <w:spacing w:after="0"/>
              <w:rPr>
                <w:sz w:val="20"/>
                <w:szCs w:val="20"/>
                <w:color w:val="auto"/>
              </w:rPr>
            </w:pPr>
            <w:r>
              <w:rPr>
                <w:rFonts w:ascii="Arial" w:cs="Arial" w:eastAsia="Arial" w:hAnsi="Arial"/>
                <w:sz w:val="14"/>
                <w:szCs w:val="14"/>
                <w:color w:val="231F20"/>
              </w:rPr>
              <w:t>—</w:t>
            </w:r>
          </w:p>
        </w:tc>
      </w:tr>
      <w:tr>
        <w:trPr>
          <w:trHeight w:val="27"/>
        </w:trPr>
        <w:tc>
          <w:tcPr>
            <w:tcW w:w="1800" w:type="dxa"/>
            <w:vAlign w:val="bottom"/>
          </w:tcPr>
          <w:p>
            <w:pPr>
              <w:spacing w:after="0"/>
              <w:rPr>
                <w:sz w:val="2"/>
                <w:szCs w:val="2"/>
                <w:color w:val="auto"/>
              </w:rPr>
            </w:pPr>
          </w:p>
        </w:tc>
        <w:tc>
          <w:tcPr>
            <w:tcW w:w="4560" w:type="dxa"/>
            <w:vAlign w:val="bottom"/>
            <w:tcBorders>
              <w:bottom w:val="single" w:sz="8" w:color="231F20"/>
            </w:tcBorders>
          </w:tcPr>
          <w:p>
            <w:pPr>
              <w:spacing w:after="0"/>
              <w:rPr>
                <w:sz w:val="2"/>
                <w:szCs w:val="2"/>
                <w:color w:val="auto"/>
              </w:rPr>
            </w:pPr>
          </w:p>
        </w:tc>
        <w:tc>
          <w:tcPr>
            <w:tcW w:w="2520" w:type="dxa"/>
            <w:vAlign w:val="bottom"/>
            <w:tcBorders>
              <w:bottom w:val="single" w:sz="8" w:color="231F20"/>
            </w:tcBorders>
          </w:tcPr>
          <w:p>
            <w:pPr>
              <w:spacing w:after="0"/>
              <w:rPr>
                <w:sz w:val="2"/>
                <w:szCs w:val="2"/>
                <w:color w:val="auto"/>
              </w:rPr>
            </w:pPr>
          </w:p>
        </w:tc>
        <w:tc>
          <w:tcPr>
            <w:tcW w:w="1240" w:type="dxa"/>
            <w:vAlign w:val="bottom"/>
            <w:tcBorders>
              <w:bottom w:val="single" w:sz="8" w:color="231F20"/>
            </w:tcBorders>
          </w:tcPr>
          <w:p>
            <w:pPr>
              <w:spacing w:after="0"/>
              <w:rPr>
                <w:sz w:val="2"/>
                <w:szCs w:val="2"/>
                <w:color w:val="auto"/>
              </w:rPr>
            </w:pPr>
          </w:p>
        </w:tc>
        <w:tc>
          <w:tcPr>
            <w:tcW w:w="1120" w:type="dxa"/>
            <w:vAlign w:val="bottom"/>
            <w:tcBorders>
              <w:bottom w:val="single" w:sz="8" w:color="231F20"/>
            </w:tcBorders>
          </w:tcPr>
          <w:p>
            <w:pPr>
              <w:spacing w:after="0"/>
              <w:rPr>
                <w:sz w:val="2"/>
                <w:szCs w:val="2"/>
                <w:color w:val="auto"/>
              </w:rPr>
            </w:pPr>
          </w:p>
        </w:tc>
      </w:tr>
      <w:tr>
        <w:trPr>
          <w:trHeight w:val="215"/>
        </w:trPr>
        <w:tc>
          <w:tcPr>
            <w:tcW w:w="180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Arial" w:cs="Arial" w:eastAsia="Arial" w:hAnsi="Arial"/>
                <w:sz w:val="14"/>
                <w:szCs w:val="14"/>
                <w:color w:val="231F20"/>
              </w:rPr>
              <w:t>Subsidiaries Non-Qualified Retirement Plan</w:t>
            </w:r>
          </w:p>
        </w:tc>
        <w:tc>
          <w:tcPr>
            <w:tcW w:w="2520" w:type="dxa"/>
            <w:vAlign w:val="bottom"/>
          </w:tcPr>
          <w:p>
            <w:pPr>
              <w:jc w:val="right"/>
              <w:ind w:right="152"/>
              <w:spacing w:after="0"/>
              <w:rPr>
                <w:sz w:val="20"/>
                <w:szCs w:val="20"/>
                <w:color w:val="auto"/>
              </w:rPr>
            </w:pPr>
            <w:r>
              <w:rPr>
                <w:rFonts w:ascii="Arial" w:cs="Arial" w:eastAsia="Arial" w:hAnsi="Arial"/>
                <w:sz w:val="14"/>
                <w:szCs w:val="14"/>
                <w:color w:val="231F20"/>
              </w:rPr>
              <w:t>19</w:t>
            </w:r>
          </w:p>
        </w:tc>
        <w:tc>
          <w:tcPr>
            <w:tcW w:w="1240" w:type="dxa"/>
            <w:vAlign w:val="bottom"/>
          </w:tcPr>
          <w:p>
            <w:pPr>
              <w:jc w:val="right"/>
              <w:ind w:right="32"/>
              <w:spacing w:after="0"/>
              <w:rPr>
                <w:sz w:val="20"/>
                <w:szCs w:val="20"/>
                <w:color w:val="auto"/>
              </w:rPr>
            </w:pPr>
            <w:r>
              <w:rPr>
                <w:rFonts w:ascii="Arial" w:cs="Arial" w:eastAsia="Arial" w:hAnsi="Arial"/>
                <w:sz w:val="14"/>
                <w:szCs w:val="14"/>
                <w:color w:val="231F20"/>
              </w:rPr>
              <w:t>2,215,104</w:t>
            </w:r>
          </w:p>
        </w:tc>
        <w:tc>
          <w:tcPr>
            <w:tcW w:w="1120" w:type="dxa"/>
            <w:vAlign w:val="bottom"/>
          </w:tcPr>
          <w:p>
            <w:pPr>
              <w:jc w:val="right"/>
              <w:spacing w:after="0"/>
              <w:rPr>
                <w:sz w:val="20"/>
                <w:szCs w:val="20"/>
                <w:color w:val="auto"/>
              </w:rPr>
            </w:pPr>
            <w:r>
              <w:rPr>
                <w:rFonts w:ascii="Arial" w:cs="Arial" w:eastAsia="Arial" w:hAnsi="Arial"/>
                <w:sz w:val="14"/>
                <w:szCs w:val="14"/>
                <w:color w:val="231F20"/>
              </w:rPr>
              <w:t>—</w:t>
            </w:r>
          </w:p>
        </w:tc>
      </w:tr>
      <w:tr>
        <w:trPr>
          <w:trHeight w:val="33"/>
        </w:trPr>
        <w:tc>
          <w:tcPr>
            <w:tcW w:w="1800" w:type="dxa"/>
            <w:vAlign w:val="bottom"/>
            <w:tcBorders>
              <w:bottom w:val="single" w:sz="8" w:color="231F20"/>
            </w:tcBorders>
          </w:tcPr>
          <w:p>
            <w:pPr>
              <w:spacing w:after="0"/>
              <w:rPr>
                <w:sz w:val="2"/>
                <w:szCs w:val="2"/>
                <w:color w:val="auto"/>
              </w:rPr>
            </w:pPr>
          </w:p>
        </w:tc>
        <w:tc>
          <w:tcPr>
            <w:tcW w:w="4560" w:type="dxa"/>
            <w:vAlign w:val="bottom"/>
            <w:tcBorders>
              <w:bottom w:val="single" w:sz="8" w:color="231F20"/>
            </w:tcBorders>
          </w:tcPr>
          <w:p>
            <w:pPr>
              <w:spacing w:after="0"/>
              <w:rPr>
                <w:sz w:val="2"/>
                <w:szCs w:val="2"/>
                <w:color w:val="auto"/>
              </w:rPr>
            </w:pPr>
          </w:p>
        </w:tc>
        <w:tc>
          <w:tcPr>
            <w:tcW w:w="2520" w:type="dxa"/>
            <w:vAlign w:val="bottom"/>
            <w:tcBorders>
              <w:bottom w:val="single" w:sz="8" w:color="231F20"/>
            </w:tcBorders>
          </w:tcPr>
          <w:p>
            <w:pPr>
              <w:spacing w:after="0"/>
              <w:rPr>
                <w:sz w:val="2"/>
                <w:szCs w:val="2"/>
                <w:color w:val="auto"/>
              </w:rPr>
            </w:pPr>
          </w:p>
        </w:tc>
        <w:tc>
          <w:tcPr>
            <w:tcW w:w="1240" w:type="dxa"/>
            <w:vAlign w:val="bottom"/>
            <w:tcBorders>
              <w:bottom w:val="single" w:sz="8" w:color="231F20"/>
            </w:tcBorders>
          </w:tcPr>
          <w:p>
            <w:pPr>
              <w:spacing w:after="0"/>
              <w:rPr>
                <w:sz w:val="2"/>
                <w:szCs w:val="2"/>
                <w:color w:val="auto"/>
              </w:rPr>
            </w:pPr>
          </w:p>
        </w:tc>
        <w:tc>
          <w:tcPr>
            <w:tcW w:w="1120" w:type="dxa"/>
            <w:vAlign w:val="bottom"/>
            <w:tcBorders>
              <w:bottom w:val="single" w:sz="8" w:color="231F20"/>
            </w:tcBorders>
          </w:tcPr>
          <w:p>
            <w:pPr>
              <w:spacing w:after="0"/>
              <w:rPr>
                <w:sz w:val="2"/>
                <w:szCs w:val="2"/>
                <w:color w:val="auto"/>
              </w:rPr>
            </w:pPr>
          </w:p>
        </w:tc>
      </w:tr>
      <w:tr>
        <w:trPr>
          <w:trHeight w:val="221"/>
        </w:trPr>
        <w:tc>
          <w:tcPr>
            <w:tcW w:w="1800" w:type="dxa"/>
            <w:vAlign w:val="bottom"/>
          </w:tcPr>
          <w:p>
            <w:pPr>
              <w:spacing w:after="0"/>
              <w:rPr>
                <w:sz w:val="20"/>
                <w:szCs w:val="20"/>
                <w:color w:val="auto"/>
              </w:rPr>
            </w:pPr>
            <w:r>
              <w:rPr>
                <w:rFonts w:ascii="Arial" w:cs="Arial" w:eastAsia="Arial" w:hAnsi="Arial"/>
                <w:sz w:val="14"/>
                <w:szCs w:val="14"/>
                <w:b w:val="1"/>
                <w:bCs w:val="1"/>
                <w:color w:val="455986"/>
              </w:rPr>
              <w:t>Rhodes</w:t>
            </w:r>
          </w:p>
        </w:tc>
        <w:tc>
          <w:tcPr>
            <w:tcW w:w="4560" w:type="dxa"/>
            <w:vAlign w:val="bottom"/>
          </w:tcPr>
          <w:p>
            <w:pPr>
              <w:spacing w:after="0"/>
              <w:rPr>
                <w:sz w:val="20"/>
                <w:szCs w:val="20"/>
                <w:color w:val="auto"/>
              </w:rPr>
            </w:pPr>
            <w:r>
              <w:rPr>
                <w:rFonts w:ascii="Arial" w:cs="Arial" w:eastAsia="Arial" w:hAnsi="Arial"/>
                <w:sz w:val="14"/>
                <w:szCs w:val="14"/>
                <w:color w:val="231F20"/>
              </w:rPr>
              <w:t>Retirement Income Plan for Essential Utilities, Inc. and</w:t>
            </w:r>
          </w:p>
        </w:tc>
        <w:tc>
          <w:tcPr>
            <w:tcW w:w="2520" w:type="dxa"/>
            <w:vAlign w:val="bottom"/>
          </w:tcPr>
          <w:p>
            <w:pPr>
              <w:jc w:val="right"/>
              <w:ind w:right="152"/>
              <w:spacing w:after="0"/>
              <w:rPr>
                <w:sz w:val="20"/>
                <w:szCs w:val="20"/>
                <w:color w:val="auto"/>
              </w:rPr>
            </w:pPr>
            <w:r>
              <w:rPr>
                <w:rFonts w:ascii="Arial" w:cs="Arial" w:eastAsia="Arial" w:hAnsi="Arial"/>
                <w:sz w:val="14"/>
                <w:szCs w:val="14"/>
                <w:color w:val="231F20"/>
              </w:rPr>
              <w:t>—</w:t>
            </w:r>
          </w:p>
        </w:tc>
        <w:tc>
          <w:tcPr>
            <w:tcW w:w="1240" w:type="dxa"/>
            <w:vAlign w:val="bottom"/>
          </w:tcPr>
          <w:p>
            <w:pPr>
              <w:jc w:val="right"/>
              <w:ind w:right="32"/>
              <w:spacing w:after="0"/>
              <w:rPr>
                <w:sz w:val="20"/>
                <w:szCs w:val="20"/>
                <w:color w:val="auto"/>
              </w:rPr>
            </w:pPr>
            <w:r>
              <w:rPr>
                <w:rFonts w:ascii="Arial" w:cs="Arial" w:eastAsia="Arial" w:hAnsi="Arial"/>
                <w:sz w:val="14"/>
                <w:szCs w:val="14"/>
                <w:color w:val="231F20"/>
              </w:rPr>
              <w:t>—</w:t>
            </w:r>
          </w:p>
        </w:tc>
        <w:tc>
          <w:tcPr>
            <w:tcW w:w="1120" w:type="dxa"/>
            <w:vAlign w:val="bottom"/>
          </w:tcPr>
          <w:p>
            <w:pPr>
              <w:jc w:val="right"/>
              <w:spacing w:after="0"/>
              <w:rPr>
                <w:sz w:val="20"/>
                <w:szCs w:val="20"/>
                <w:color w:val="auto"/>
              </w:rPr>
            </w:pPr>
            <w:r>
              <w:rPr>
                <w:rFonts w:ascii="Arial" w:cs="Arial" w:eastAsia="Arial" w:hAnsi="Arial"/>
                <w:sz w:val="14"/>
                <w:szCs w:val="14"/>
                <w:color w:val="231F20"/>
              </w:rPr>
              <w:t>—</w:t>
            </w:r>
          </w:p>
        </w:tc>
      </w:tr>
      <w:tr>
        <w:trPr>
          <w:trHeight w:val="27"/>
        </w:trPr>
        <w:tc>
          <w:tcPr>
            <w:tcW w:w="1800" w:type="dxa"/>
            <w:vAlign w:val="bottom"/>
          </w:tcPr>
          <w:p>
            <w:pPr>
              <w:spacing w:after="0"/>
              <w:rPr>
                <w:sz w:val="2"/>
                <w:szCs w:val="2"/>
                <w:color w:val="auto"/>
              </w:rPr>
            </w:pPr>
          </w:p>
        </w:tc>
        <w:tc>
          <w:tcPr>
            <w:tcW w:w="4560" w:type="dxa"/>
            <w:vAlign w:val="bottom"/>
            <w:tcBorders>
              <w:bottom w:val="single" w:sz="8" w:color="231F20"/>
            </w:tcBorders>
          </w:tcPr>
          <w:p>
            <w:pPr>
              <w:spacing w:after="0"/>
              <w:rPr>
                <w:sz w:val="2"/>
                <w:szCs w:val="2"/>
                <w:color w:val="auto"/>
              </w:rPr>
            </w:pPr>
          </w:p>
        </w:tc>
        <w:tc>
          <w:tcPr>
            <w:tcW w:w="2520" w:type="dxa"/>
            <w:vAlign w:val="bottom"/>
            <w:tcBorders>
              <w:bottom w:val="single" w:sz="8" w:color="231F20"/>
            </w:tcBorders>
          </w:tcPr>
          <w:p>
            <w:pPr>
              <w:spacing w:after="0"/>
              <w:rPr>
                <w:sz w:val="2"/>
                <w:szCs w:val="2"/>
                <w:color w:val="auto"/>
              </w:rPr>
            </w:pPr>
          </w:p>
        </w:tc>
        <w:tc>
          <w:tcPr>
            <w:tcW w:w="1240" w:type="dxa"/>
            <w:vAlign w:val="bottom"/>
            <w:tcBorders>
              <w:bottom w:val="single" w:sz="8" w:color="231F20"/>
            </w:tcBorders>
          </w:tcPr>
          <w:p>
            <w:pPr>
              <w:spacing w:after="0"/>
              <w:rPr>
                <w:sz w:val="2"/>
                <w:szCs w:val="2"/>
                <w:color w:val="auto"/>
              </w:rPr>
            </w:pPr>
          </w:p>
        </w:tc>
        <w:tc>
          <w:tcPr>
            <w:tcW w:w="1120" w:type="dxa"/>
            <w:vAlign w:val="bottom"/>
            <w:tcBorders>
              <w:bottom w:val="single" w:sz="8" w:color="231F20"/>
            </w:tcBorders>
          </w:tcPr>
          <w:p>
            <w:pPr>
              <w:spacing w:after="0"/>
              <w:rPr>
                <w:sz w:val="2"/>
                <w:szCs w:val="2"/>
                <w:color w:val="auto"/>
              </w:rPr>
            </w:pPr>
          </w:p>
        </w:tc>
      </w:tr>
      <w:tr>
        <w:trPr>
          <w:trHeight w:val="215"/>
        </w:trPr>
        <w:tc>
          <w:tcPr>
            <w:tcW w:w="180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Arial" w:cs="Arial" w:eastAsia="Arial" w:hAnsi="Arial"/>
                <w:sz w:val="14"/>
                <w:szCs w:val="14"/>
                <w:color w:val="231F20"/>
              </w:rPr>
              <w:t>Subsidiaries Non-Qualified Retirement Plan</w:t>
            </w:r>
          </w:p>
        </w:tc>
        <w:tc>
          <w:tcPr>
            <w:tcW w:w="2520" w:type="dxa"/>
            <w:vAlign w:val="bottom"/>
          </w:tcPr>
          <w:p>
            <w:pPr>
              <w:jc w:val="right"/>
              <w:ind w:right="152"/>
              <w:spacing w:after="0"/>
              <w:rPr>
                <w:sz w:val="20"/>
                <w:szCs w:val="20"/>
                <w:color w:val="auto"/>
              </w:rPr>
            </w:pPr>
            <w:r>
              <w:rPr>
                <w:rFonts w:ascii="Arial" w:cs="Arial" w:eastAsia="Arial" w:hAnsi="Arial"/>
                <w:sz w:val="14"/>
                <w:szCs w:val="14"/>
                <w:color w:val="231F20"/>
              </w:rPr>
              <w:t>—</w:t>
            </w:r>
          </w:p>
        </w:tc>
        <w:tc>
          <w:tcPr>
            <w:tcW w:w="1240" w:type="dxa"/>
            <w:vAlign w:val="bottom"/>
          </w:tcPr>
          <w:p>
            <w:pPr>
              <w:jc w:val="right"/>
              <w:ind w:right="32"/>
              <w:spacing w:after="0"/>
              <w:rPr>
                <w:sz w:val="20"/>
                <w:szCs w:val="20"/>
                <w:color w:val="auto"/>
              </w:rPr>
            </w:pPr>
            <w:r>
              <w:rPr>
                <w:rFonts w:ascii="Arial" w:cs="Arial" w:eastAsia="Arial" w:hAnsi="Arial"/>
                <w:sz w:val="14"/>
                <w:szCs w:val="14"/>
                <w:color w:val="231F20"/>
              </w:rPr>
              <w:t>—</w:t>
            </w:r>
          </w:p>
        </w:tc>
        <w:tc>
          <w:tcPr>
            <w:tcW w:w="1120" w:type="dxa"/>
            <w:vAlign w:val="bottom"/>
          </w:tcPr>
          <w:p>
            <w:pPr>
              <w:jc w:val="right"/>
              <w:spacing w:after="0"/>
              <w:rPr>
                <w:sz w:val="20"/>
                <w:szCs w:val="20"/>
                <w:color w:val="auto"/>
              </w:rPr>
            </w:pPr>
            <w:r>
              <w:rPr>
                <w:rFonts w:ascii="Arial" w:cs="Arial" w:eastAsia="Arial" w:hAnsi="Arial"/>
                <w:sz w:val="14"/>
                <w:szCs w:val="14"/>
                <w:color w:val="231F20"/>
              </w:rPr>
              <w:t>—</w:t>
            </w:r>
          </w:p>
        </w:tc>
      </w:tr>
      <w:tr>
        <w:trPr>
          <w:trHeight w:val="33"/>
        </w:trPr>
        <w:tc>
          <w:tcPr>
            <w:tcW w:w="1800" w:type="dxa"/>
            <w:vAlign w:val="bottom"/>
            <w:tcBorders>
              <w:bottom w:val="single" w:sz="8" w:color="231F20"/>
            </w:tcBorders>
          </w:tcPr>
          <w:p>
            <w:pPr>
              <w:spacing w:after="0"/>
              <w:rPr>
                <w:sz w:val="2"/>
                <w:szCs w:val="2"/>
                <w:color w:val="auto"/>
              </w:rPr>
            </w:pPr>
          </w:p>
        </w:tc>
        <w:tc>
          <w:tcPr>
            <w:tcW w:w="4560" w:type="dxa"/>
            <w:vAlign w:val="bottom"/>
            <w:tcBorders>
              <w:bottom w:val="single" w:sz="8" w:color="231F20"/>
            </w:tcBorders>
          </w:tcPr>
          <w:p>
            <w:pPr>
              <w:spacing w:after="0"/>
              <w:rPr>
                <w:sz w:val="2"/>
                <w:szCs w:val="2"/>
                <w:color w:val="auto"/>
              </w:rPr>
            </w:pPr>
          </w:p>
        </w:tc>
        <w:tc>
          <w:tcPr>
            <w:tcW w:w="2520" w:type="dxa"/>
            <w:vAlign w:val="bottom"/>
            <w:tcBorders>
              <w:bottom w:val="single" w:sz="8" w:color="231F20"/>
            </w:tcBorders>
          </w:tcPr>
          <w:p>
            <w:pPr>
              <w:spacing w:after="0"/>
              <w:rPr>
                <w:sz w:val="2"/>
                <w:szCs w:val="2"/>
                <w:color w:val="auto"/>
              </w:rPr>
            </w:pPr>
          </w:p>
        </w:tc>
        <w:tc>
          <w:tcPr>
            <w:tcW w:w="1240" w:type="dxa"/>
            <w:vAlign w:val="bottom"/>
            <w:tcBorders>
              <w:bottom w:val="single" w:sz="8" w:color="231F20"/>
            </w:tcBorders>
          </w:tcPr>
          <w:p>
            <w:pPr>
              <w:spacing w:after="0"/>
              <w:rPr>
                <w:sz w:val="2"/>
                <w:szCs w:val="2"/>
                <w:color w:val="auto"/>
              </w:rPr>
            </w:pPr>
          </w:p>
        </w:tc>
        <w:tc>
          <w:tcPr>
            <w:tcW w:w="1120" w:type="dxa"/>
            <w:vAlign w:val="bottom"/>
            <w:tcBorders>
              <w:bottom w:val="single" w:sz="8" w:color="231F20"/>
            </w:tcBorders>
          </w:tcPr>
          <w:p>
            <w:pPr>
              <w:spacing w:after="0"/>
              <w:rPr>
                <w:sz w:val="2"/>
                <w:szCs w:val="2"/>
                <w:color w:val="auto"/>
              </w:rPr>
            </w:pPr>
          </w:p>
        </w:tc>
      </w:tr>
      <w:tr>
        <w:trPr>
          <w:trHeight w:val="221"/>
        </w:trPr>
        <w:tc>
          <w:tcPr>
            <w:tcW w:w="1800" w:type="dxa"/>
            <w:vAlign w:val="bottom"/>
          </w:tcPr>
          <w:p>
            <w:pPr>
              <w:spacing w:after="0"/>
              <w:rPr>
                <w:sz w:val="20"/>
                <w:szCs w:val="20"/>
                <w:color w:val="auto"/>
              </w:rPr>
            </w:pPr>
            <w:r>
              <w:rPr>
                <w:rFonts w:ascii="Arial" w:cs="Arial" w:eastAsia="Arial" w:hAnsi="Arial"/>
                <w:sz w:val="14"/>
                <w:szCs w:val="14"/>
                <w:b w:val="1"/>
                <w:bCs w:val="1"/>
                <w:color w:val="455986"/>
              </w:rPr>
              <w:t>Luning</w:t>
            </w:r>
          </w:p>
        </w:tc>
        <w:tc>
          <w:tcPr>
            <w:tcW w:w="4560" w:type="dxa"/>
            <w:vAlign w:val="bottom"/>
          </w:tcPr>
          <w:p>
            <w:pPr>
              <w:spacing w:after="0"/>
              <w:rPr>
                <w:sz w:val="20"/>
                <w:szCs w:val="20"/>
                <w:color w:val="auto"/>
              </w:rPr>
            </w:pPr>
            <w:r>
              <w:rPr>
                <w:rFonts w:ascii="Arial" w:cs="Arial" w:eastAsia="Arial" w:hAnsi="Arial"/>
                <w:sz w:val="14"/>
                <w:szCs w:val="14"/>
                <w:color w:val="231F20"/>
              </w:rPr>
              <w:t>Retirement Income Plan for Essential Utilities, Inc. and</w:t>
            </w:r>
          </w:p>
        </w:tc>
        <w:tc>
          <w:tcPr>
            <w:tcW w:w="2520" w:type="dxa"/>
            <w:vAlign w:val="bottom"/>
          </w:tcPr>
          <w:p>
            <w:pPr>
              <w:jc w:val="right"/>
              <w:ind w:right="152"/>
              <w:spacing w:after="0"/>
              <w:rPr>
                <w:sz w:val="20"/>
                <w:szCs w:val="20"/>
                <w:color w:val="auto"/>
              </w:rPr>
            </w:pPr>
            <w:r>
              <w:rPr>
                <w:rFonts w:ascii="Arial" w:cs="Arial" w:eastAsia="Arial" w:hAnsi="Arial"/>
                <w:sz w:val="14"/>
                <w:szCs w:val="14"/>
                <w:color w:val="231F20"/>
              </w:rPr>
              <w:t>12</w:t>
            </w:r>
          </w:p>
        </w:tc>
        <w:tc>
          <w:tcPr>
            <w:tcW w:w="1240" w:type="dxa"/>
            <w:vAlign w:val="bottom"/>
          </w:tcPr>
          <w:p>
            <w:pPr>
              <w:jc w:val="right"/>
              <w:ind w:right="32"/>
              <w:spacing w:after="0"/>
              <w:rPr>
                <w:sz w:val="20"/>
                <w:szCs w:val="20"/>
                <w:color w:val="auto"/>
              </w:rPr>
            </w:pPr>
            <w:r>
              <w:rPr>
                <w:rFonts w:ascii="Arial" w:cs="Arial" w:eastAsia="Arial" w:hAnsi="Arial"/>
                <w:sz w:val="14"/>
                <w:szCs w:val="14"/>
                <w:color w:val="231F20"/>
              </w:rPr>
              <w:t>568,005</w:t>
            </w:r>
          </w:p>
        </w:tc>
        <w:tc>
          <w:tcPr>
            <w:tcW w:w="1120" w:type="dxa"/>
            <w:vAlign w:val="bottom"/>
          </w:tcPr>
          <w:p>
            <w:pPr>
              <w:jc w:val="right"/>
              <w:spacing w:after="0"/>
              <w:rPr>
                <w:sz w:val="20"/>
                <w:szCs w:val="20"/>
                <w:color w:val="auto"/>
              </w:rPr>
            </w:pPr>
            <w:r>
              <w:rPr>
                <w:rFonts w:ascii="Arial" w:cs="Arial" w:eastAsia="Arial" w:hAnsi="Arial"/>
                <w:sz w:val="14"/>
                <w:szCs w:val="14"/>
                <w:color w:val="231F20"/>
              </w:rPr>
              <w:t>—</w:t>
            </w:r>
          </w:p>
        </w:tc>
      </w:tr>
      <w:tr>
        <w:trPr>
          <w:trHeight w:val="27"/>
        </w:trPr>
        <w:tc>
          <w:tcPr>
            <w:tcW w:w="1800" w:type="dxa"/>
            <w:vAlign w:val="bottom"/>
          </w:tcPr>
          <w:p>
            <w:pPr>
              <w:spacing w:after="0"/>
              <w:rPr>
                <w:sz w:val="2"/>
                <w:szCs w:val="2"/>
                <w:color w:val="auto"/>
              </w:rPr>
            </w:pPr>
          </w:p>
        </w:tc>
        <w:tc>
          <w:tcPr>
            <w:tcW w:w="4560" w:type="dxa"/>
            <w:vAlign w:val="bottom"/>
            <w:tcBorders>
              <w:bottom w:val="single" w:sz="8" w:color="231F20"/>
            </w:tcBorders>
          </w:tcPr>
          <w:p>
            <w:pPr>
              <w:spacing w:after="0"/>
              <w:rPr>
                <w:sz w:val="2"/>
                <w:szCs w:val="2"/>
                <w:color w:val="auto"/>
              </w:rPr>
            </w:pPr>
          </w:p>
        </w:tc>
        <w:tc>
          <w:tcPr>
            <w:tcW w:w="2520" w:type="dxa"/>
            <w:vAlign w:val="bottom"/>
            <w:tcBorders>
              <w:bottom w:val="single" w:sz="8" w:color="231F20"/>
            </w:tcBorders>
          </w:tcPr>
          <w:p>
            <w:pPr>
              <w:spacing w:after="0"/>
              <w:rPr>
                <w:sz w:val="2"/>
                <w:szCs w:val="2"/>
                <w:color w:val="auto"/>
              </w:rPr>
            </w:pPr>
          </w:p>
        </w:tc>
        <w:tc>
          <w:tcPr>
            <w:tcW w:w="1240" w:type="dxa"/>
            <w:vAlign w:val="bottom"/>
            <w:tcBorders>
              <w:bottom w:val="single" w:sz="8" w:color="231F20"/>
            </w:tcBorders>
          </w:tcPr>
          <w:p>
            <w:pPr>
              <w:spacing w:after="0"/>
              <w:rPr>
                <w:sz w:val="2"/>
                <w:szCs w:val="2"/>
                <w:color w:val="auto"/>
              </w:rPr>
            </w:pPr>
          </w:p>
        </w:tc>
        <w:tc>
          <w:tcPr>
            <w:tcW w:w="1120" w:type="dxa"/>
            <w:vAlign w:val="bottom"/>
            <w:tcBorders>
              <w:bottom w:val="single" w:sz="8" w:color="231F20"/>
            </w:tcBorders>
          </w:tcPr>
          <w:p>
            <w:pPr>
              <w:spacing w:after="0"/>
              <w:rPr>
                <w:sz w:val="2"/>
                <w:szCs w:val="2"/>
                <w:color w:val="auto"/>
              </w:rPr>
            </w:pPr>
          </w:p>
        </w:tc>
      </w:tr>
      <w:tr>
        <w:trPr>
          <w:trHeight w:val="215"/>
        </w:trPr>
        <w:tc>
          <w:tcPr>
            <w:tcW w:w="180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Arial" w:cs="Arial" w:eastAsia="Arial" w:hAnsi="Arial"/>
                <w:sz w:val="14"/>
                <w:szCs w:val="14"/>
                <w:color w:val="231F20"/>
              </w:rPr>
              <w:t>Subsidiaries Non-Qualified Retirement Plan</w:t>
            </w:r>
          </w:p>
        </w:tc>
        <w:tc>
          <w:tcPr>
            <w:tcW w:w="2520" w:type="dxa"/>
            <w:vAlign w:val="bottom"/>
          </w:tcPr>
          <w:p>
            <w:pPr>
              <w:jc w:val="right"/>
              <w:ind w:right="152"/>
              <w:spacing w:after="0"/>
              <w:rPr>
                <w:sz w:val="20"/>
                <w:szCs w:val="20"/>
                <w:color w:val="auto"/>
              </w:rPr>
            </w:pPr>
            <w:r>
              <w:rPr>
                <w:rFonts w:ascii="Arial" w:cs="Arial" w:eastAsia="Arial" w:hAnsi="Arial"/>
                <w:sz w:val="14"/>
                <w:szCs w:val="14"/>
                <w:color w:val="231F20"/>
              </w:rPr>
              <w:t>18</w:t>
            </w:r>
          </w:p>
        </w:tc>
        <w:tc>
          <w:tcPr>
            <w:tcW w:w="1240" w:type="dxa"/>
            <w:vAlign w:val="bottom"/>
          </w:tcPr>
          <w:p>
            <w:pPr>
              <w:jc w:val="right"/>
              <w:ind w:right="32"/>
              <w:spacing w:after="0"/>
              <w:rPr>
                <w:sz w:val="20"/>
                <w:szCs w:val="20"/>
                <w:color w:val="auto"/>
              </w:rPr>
            </w:pPr>
            <w:r>
              <w:rPr>
                <w:rFonts w:ascii="Arial" w:cs="Arial" w:eastAsia="Arial" w:hAnsi="Arial"/>
                <w:sz w:val="14"/>
                <w:szCs w:val="14"/>
                <w:color w:val="231F20"/>
              </w:rPr>
              <w:t>1,470,351</w:t>
            </w:r>
          </w:p>
        </w:tc>
        <w:tc>
          <w:tcPr>
            <w:tcW w:w="1120" w:type="dxa"/>
            <w:vAlign w:val="bottom"/>
          </w:tcPr>
          <w:p>
            <w:pPr>
              <w:jc w:val="right"/>
              <w:spacing w:after="0"/>
              <w:rPr>
                <w:sz w:val="20"/>
                <w:szCs w:val="20"/>
                <w:color w:val="auto"/>
              </w:rPr>
            </w:pPr>
            <w:r>
              <w:rPr>
                <w:rFonts w:ascii="Arial" w:cs="Arial" w:eastAsia="Arial" w:hAnsi="Arial"/>
                <w:sz w:val="14"/>
                <w:szCs w:val="14"/>
                <w:color w:val="231F20"/>
              </w:rPr>
              <w:t>—</w:t>
            </w:r>
          </w:p>
        </w:tc>
      </w:tr>
      <w:tr>
        <w:trPr>
          <w:trHeight w:val="33"/>
        </w:trPr>
        <w:tc>
          <w:tcPr>
            <w:tcW w:w="1800" w:type="dxa"/>
            <w:vAlign w:val="bottom"/>
            <w:tcBorders>
              <w:bottom w:val="single" w:sz="8" w:color="231F20"/>
            </w:tcBorders>
          </w:tcPr>
          <w:p>
            <w:pPr>
              <w:spacing w:after="0"/>
              <w:rPr>
                <w:sz w:val="2"/>
                <w:szCs w:val="2"/>
                <w:color w:val="auto"/>
              </w:rPr>
            </w:pPr>
          </w:p>
        </w:tc>
        <w:tc>
          <w:tcPr>
            <w:tcW w:w="4560" w:type="dxa"/>
            <w:vAlign w:val="bottom"/>
            <w:tcBorders>
              <w:bottom w:val="single" w:sz="8" w:color="231F20"/>
            </w:tcBorders>
          </w:tcPr>
          <w:p>
            <w:pPr>
              <w:spacing w:after="0"/>
              <w:rPr>
                <w:sz w:val="2"/>
                <w:szCs w:val="2"/>
                <w:color w:val="auto"/>
              </w:rPr>
            </w:pPr>
          </w:p>
        </w:tc>
        <w:tc>
          <w:tcPr>
            <w:tcW w:w="2520" w:type="dxa"/>
            <w:vAlign w:val="bottom"/>
            <w:tcBorders>
              <w:bottom w:val="single" w:sz="8" w:color="231F20"/>
            </w:tcBorders>
          </w:tcPr>
          <w:p>
            <w:pPr>
              <w:spacing w:after="0"/>
              <w:rPr>
                <w:sz w:val="2"/>
                <w:szCs w:val="2"/>
                <w:color w:val="auto"/>
              </w:rPr>
            </w:pPr>
          </w:p>
        </w:tc>
        <w:tc>
          <w:tcPr>
            <w:tcW w:w="1240" w:type="dxa"/>
            <w:vAlign w:val="bottom"/>
            <w:tcBorders>
              <w:bottom w:val="single" w:sz="8" w:color="231F20"/>
            </w:tcBorders>
          </w:tcPr>
          <w:p>
            <w:pPr>
              <w:spacing w:after="0"/>
              <w:rPr>
                <w:sz w:val="2"/>
                <w:szCs w:val="2"/>
                <w:color w:val="auto"/>
              </w:rPr>
            </w:pPr>
          </w:p>
        </w:tc>
        <w:tc>
          <w:tcPr>
            <w:tcW w:w="1120" w:type="dxa"/>
            <w:vAlign w:val="bottom"/>
            <w:tcBorders>
              <w:bottom w:val="single" w:sz="8" w:color="231F20"/>
            </w:tcBorders>
          </w:tcPr>
          <w:p>
            <w:pPr>
              <w:spacing w:after="0"/>
              <w:rPr>
                <w:sz w:val="2"/>
                <w:szCs w:val="2"/>
                <w:color w:val="auto"/>
              </w:rPr>
            </w:pPr>
          </w:p>
        </w:tc>
      </w:tr>
    </w:tbl>
    <w:p>
      <w:pPr>
        <w:spacing w:after="0" w:line="60" w:lineRule="exact"/>
        <w:rPr>
          <w:sz w:val="20"/>
          <w:szCs w:val="20"/>
          <w:color w:val="auto"/>
        </w:rPr>
      </w:pPr>
    </w:p>
    <w:p>
      <w:pPr>
        <w:ind w:left="200" w:right="280" w:hanging="198"/>
        <w:spacing w:after="0" w:line="260" w:lineRule="auto"/>
        <w:tabs>
          <w:tab w:leader="none" w:pos="200" w:val="left"/>
        </w:tabs>
        <w:numPr>
          <w:ilvl w:val="0"/>
          <w:numId w:val="138"/>
        </w:numPr>
        <w:rPr>
          <w:rFonts w:ascii="Arial" w:cs="Arial" w:eastAsia="Arial" w:hAnsi="Arial"/>
          <w:sz w:val="13"/>
          <w:szCs w:val="13"/>
          <w:color w:val="231F20"/>
        </w:rPr>
      </w:pPr>
      <w:r>
        <w:rPr>
          <w:rFonts w:ascii="Arial" w:cs="Arial" w:eastAsia="Arial" w:hAnsi="Arial"/>
          <w:sz w:val="13"/>
          <w:szCs w:val="13"/>
          <w:color w:val="231F20"/>
        </w:rPr>
        <w:t>For benefit accrual purposes, credited service in the Qualified Plan is frozen as of December 31, 2014. For early retirement eligibility purposes, service continues to accrue after December 31, 2014 and will equal that shown for the Non-Qualified Retirement Plan.</w:t>
      </w:r>
    </w:p>
    <w:p>
      <w:pPr>
        <w:spacing w:after="0" w:line="105" w:lineRule="exact"/>
        <w:rPr>
          <w:sz w:val="20"/>
          <w:szCs w:val="20"/>
          <w:color w:val="auto"/>
        </w:rPr>
      </w:pPr>
    </w:p>
    <w:p>
      <w:pPr>
        <w:spacing w:after="0"/>
        <w:rPr>
          <w:sz w:val="20"/>
          <w:szCs w:val="20"/>
          <w:color w:val="auto"/>
        </w:rPr>
      </w:pPr>
      <w:r>
        <w:rPr>
          <w:rFonts w:ascii="Arial" w:cs="Arial" w:eastAsia="Arial" w:hAnsi="Arial"/>
          <w:sz w:val="14"/>
          <w:szCs w:val="14"/>
          <w:color w:val="231F20"/>
        </w:rPr>
        <w:t>Assumptions</w:t>
      </w:r>
    </w:p>
    <w:p>
      <w:pPr>
        <w:spacing w:after="0" w:line="10" w:lineRule="exact"/>
        <w:rPr>
          <w:sz w:val="20"/>
          <w:szCs w:val="20"/>
          <w:color w:val="auto"/>
        </w:rPr>
      </w:pPr>
    </w:p>
    <w:p>
      <w:pPr>
        <w:spacing w:after="0"/>
        <w:rPr>
          <w:sz w:val="20"/>
          <w:szCs w:val="20"/>
          <w:color w:val="auto"/>
        </w:rPr>
      </w:pPr>
      <w:r>
        <w:rPr>
          <w:rFonts w:ascii="Arial" w:cs="Arial" w:eastAsia="Arial" w:hAnsi="Arial"/>
          <w:sz w:val="14"/>
          <w:szCs w:val="14"/>
          <w:color w:val="231F20"/>
        </w:rPr>
        <w:t>Discount Rate: 2.57%</w:t>
      </w:r>
    </w:p>
    <w:p>
      <w:pPr>
        <w:spacing w:after="0" w:line="127" w:lineRule="exact"/>
        <w:rPr>
          <w:sz w:val="20"/>
          <w:szCs w:val="20"/>
          <w:color w:val="auto"/>
        </w:rPr>
      </w:pPr>
    </w:p>
    <w:p>
      <w:pPr>
        <w:ind w:right="60"/>
        <w:spacing w:after="0" w:line="278" w:lineRule="auto"/>
        <w:rPr>
          <w:sz w:val="20"/>
          <w:szCs w:val="20"/>
          <w:color w:val="auto"/>
        </w:rPr>
      </w:pPr>
      <w:r>
        <w:rPr>
          <w:rFonts w:ascii="Arial" w:cs="Arial" w:eastAsia="Arial" w:hAnsi="Arial"/>
          <w:sz w:val="14"/>
          <w:szCs w:val="14"/>
          <w:color w:val="231F20"/>
        </w:rPr>
        <w:t>Mortality: For Qualified Plan: blended 50% gender-specific and 50% unisex (blended 50% male and 50% female). Pri-2012 non-disabled annuitant mortality table without collar adjustments projected generationally from 2012 with Scale MP-2020 improvements.</w:t>
      </w:r>
    </w:p>
    <w:p>
      <w:pPr>
        <w:spacing w:after="0" w:line="86" w:lineRule="exact"/>
        <w:rPr>
          <w:sz w:val="20"/>
          <w:szCs w:val="20"/>
          <w:color w:val="auto"/>
        </w:rPr>
      </w:pPr>
    </w:p>
    <w:p>
      <w:pPr>
        <w:ind w:right="140"/>
        <w:spacing w:after="0" w:line="278" w:lineRule="auto"/>
        <w:rPr>
          <w:sz w:val="20"/>
          <w:szCs w:val="20"/>
          <w:color w:val="auto"/>
        </w:rPr>
      </w:pPr>
      <w:r>
        <w:rPr>
          <w:rFonts w:ascii="Arial" w:cs="Arial" w:eastAsia="Arial" w:hAnsi="Arial"/>
          <w:sz w:val="14"/>
          <w:szCs w:val="14"/>
          <w:color w:val="231F20"/>
        </w:rPr>
        <w:t>For Non-Qualified Plan: Pri-2012 unisex (blended 50% male and 50% female) non-disabled annuitant mortality tables without collar adjustments projected generationally from 2012 with Scale MP-2020 improvements.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92710</wp:posOffset>
            </wp:positionV>
            <wp:extent cx="7139940" cy="825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7139940" cy="8255"/>
                    </a:xfrm>
                    <a:prstGeom prst="rect">
                      <a:avLst/>
                    </a:prstGeom>
                    <a:noFill/>
                  </pic:spPr>
                </pic:pic>
              </a:graphicData>
            </a:graphic>
          </wp:anchor>
        </w:drawing>
      </w:r>
    </w:p>
    <w:p>
      <w:pPr>
        <w:spacing w:after="0" w:line="172" w:lineRule="exact"/>
        <w:rPr>
          <w:sz w:val="20"/>
          <w:szCs w:val="20"/>
          <w:color w:val="auto"/>
        </w:rPr>
      </w:pPr>
    </w:p>
    <w:p>
      <w:pPr>
        <w:ind w:left="7940"/>
        <w:spacing w:after="0"/>
        <w:tabs>
          <w:tab w:leader="none" w:pos="11060" w:val="left"/>
        </w:tabs>
        <w:rPr>
          <w:sz w:val="20"/>
          <w:szCs w:val="20"/>
          <w:color w:val="auto"/>
        </w:rPr>
      </w:pPr>
      <w:r>
        <w:rPr>
          <w:rFonts w:ascii="Arial" w:cs="Arial" w:eastAsia="Arial" w:hAnsi="Arial"/>
          <w:sz w:val="12"/>
          <w:szCs w:val="12"/>
          <w:color w:val="4395D4"/>
        </w:rPr>
        <w:t xml:space="preserve">ESSENTIAL UTILITIES, INC. </w:t>
      </w:r>
      <w:r>
        <w:rPr>
          <w:rFonts w:ascii="Arial" w:cs="Arial" w:eastAsia="Arial" w:hAnsi="Arial"/>
          <w:sz w:val="12"/>
          <w:szCs w:val="12"/>
          <w:color w:val="455986"/>
        </w:rPr>
        <w:t>2021 PROXY STATEMENT</w:t>
      </w:r>
      <w:r>
        <w:rPr>
          <w:sz w:val="20"/>
          <w:szCs w:val="20"/>
          <w:color w:val="auto"/>
        </w:rPr>
        <w:tab/>
      </w:r>
      <w:r>
        <w:rPr>
          <w:rFonts w:ascii="Arial" w:cs="Arial" w:eastAsia="Arial" w:hAnsi="Arial"/>
          <w:sz w:val="14"/>
          <w:szCs w:val="14"/>
          <w:color w:val="455986"/>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346710</wp:posOffset>
            </wp:positionV>
            <wp:extent cx="7139940" cy="24130"/>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7139940" cy="24130"/>
                    </a:xfrm>
                    <a:prstGeom prst="rect">
                      <a:avLst/>
                    </a:prstGeom>
                    <a:noFill/>
                  </pic:spPr>
                </pic:pic>
              </a:graphicData>
            </a:graphic>
          </wp:anchor>
        </w:drawing>
      </w:r>
    </w:p>
    <w:p>
      <w:pPr>
        <w:sectPr>
          <w:pgSz w:w="11900" w:h="16838" w:orient="portrait"/>
          <w:cols w:equalWidth="0" w:num="1">
            <w:col w:w="11240"/>
          </w:cols>
          <w:pgMar w:left="320" w:top="636" w:right="339" w:bottom="1440" w:gutter="0" w:footer="0" w:header="0"/>
        </w:sectPr>
      </w:pPr>
    </w:p>
    <w:bookmarkStart w:id="78" w:name="page79"/>
    <w:bookmarkEnd w:id="78"/>
    <w:p>
      <w:pPr>
        <w:spacing w:after="0"/>
        <w:rPr>
          <w:sz w:val="20"/>
          <w:szCs w:val="20"/>
          <w:color w:val="auto"/>
        </w:rPr>
      </w:pPr>
      <w:r>
        <w:rPr>
          <w:rFonts w:ascii="Arial" w:cs="Arial" w:eastAsia="Arial" w:hAnsi="Arial"/>
          <w:sz w:val="14"/>
          <w:szCs w:val="14"/>
          <w:b w:val="1"/>
          <w:bCs w:val="1"/>
          <w:color w:val="455986"/>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27940</wp:posOffset>
            </wp:positionV>
            <wp:extent cx="7139940" cy="825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7139940" cy="8255"/>
                    </a:xfrm>
                    <a:prstGeom prst="rect">
                      <a:avLst/>
                    </a:prstGeom>
                    <a:noFill/>
                  </pic:spPr>
                </pic:pic>
              </a:graphicData>
            </a:graphic>
          </wp:anchor>
        </w:drawing>
      </w:r>
    </w:p>
    <w:p>
      <w:pPr>
        <w:spacing w:after="0" w:line="76" w:lineRule="exact"/>
        <w:rPr>
          <w:sz w:val="20"/>
          <w:szCs w:val="20"/>
          <w:color w:val="auto"/>
        </w:rPr>
      </w:pPr>
    </w:p>
    <w:p>
      <w:pPr>
        <w:spacing w:after="0"/>
        <w:rPr>
          <w:sz w:val="20"/>
          <w:szCs w:val="20"/>
          <w:color w:val="auto"/>
        </w:rPr>
      </w:pPr>
      <w:r>
        <w:rPr>
          <w:rFonts w:ascii="Arial" w:cs="Arial" w:eastAsia="Arial" w:hAnsi="Arial"/>
          <w:sz w:val="14"/>
          <w:szCs w:val="14"/>
          <w:color w:val="231F20"/>
        </w:rPr>
        <w:t>Retirement Plans and Other Post-Employment Benefits</w:t>
      </w:r>
    </w:p>
    <w:p>
      <w:pPr>
        <w:spacing w:after="0" w:line="161" w:lineRule="exact"/>
        <w:rPr>
          <w:sz w:val="20"/>
          <w:szCs w:val="20"/>
          <w:color w:val="auto"/>
        </w:rPr>
      </w:pPr>
    </w:p>
    <w:p>
      <w:pPr>
        <w:spacing w:after="0"/>
        <w:rPr>
          <w:sz w:val="20"/>
          <w:szCs w:val="20"/>
          <w:color w:val="auto"/>
        </w:rPr>
      </w:pPr>
      <w:r>
        <w:rPr>
          <w:rFonts w:ascii="Arial" w:cs="Arial" w:eastAsia="Arial" w:hAnsi="Arial"/>
          <w:sz w:val="20"/>
          <w:szCs w:val="20"/>
          <w:b w:val="1"/>
          <w:bCs w:val="1"/>
          <w:color w:val="231F20"/>
        </w:rPr>
        <w:t>Retirement Income Plan (the Retirement Plan)</w:t>
      </w:r>
    </w:p>
    <w:p>
      <w:pPr>
        <w:spacing w:after="0" w:line="166" w:lineRule="exact"/>
        <w:rPr>
          <w:sz w:val="20"/>
          <w:szCs w:val="20"/>
          <w:color w:val="auto"/>
        </w:rPr>
      </w:pPr>
    </w:p>
    <w:p>
      <w:pPr>
        <w:ind w:right="160"/>
        <w:spacing w:after="0" w:line="245" w:lineRule="auto"/>
        <w:rPr>
          <w:sz w:val="20"/>
          <w:szCs w:val="20"/>
          <w:color w:val="auto"/>
        </w:rPr>
      </w:pPr>
      <w:r>
        <w:rPr>
          <w:rFonts w:ascii="Arial" w:cs="Arial" w:eastAsia="Arial" w:hAnsi="Arial"/>
          <w:sz w:val="14"/>
          <w:szCs w:val="14"/>
          <w:color w:val="231F20"/>
        </w:rPr>
        <w:t>The Company sponsors a qualified defined benefit Retirement Plan to provide retirement income to the Company’s employees hired prior to certain dates starting in 2003. Effective December 31, 2014, the named executive officers (other than Mr. Schuller, and Mr. Rhodes who are not participants in the plan) ceased accruing a benefit under the Retirement Plan. Specifically, their plan compensation and credited service for purposes of determining their benefits were frozen in the Retirement Plan as of December 31, 2014.</w:t>
      </w:r>
    </w:p>
    <w:p>
      <w:pPr>
        <w:spacing w:after="0" w:line="273" w:lineRule="exact"/>
        <w:rPr>
          <w:sz w:val="20"/>
          <w:szCs w:val="20"/>
          <w:color w:val="auto"/>
        </w:rPr>
      </w:pPr>
    </w:p>
    <w:p>
      <w:pPr>
        <w:ind w:right="80"/>
        <w:spacing w:after="0" w:line="238" w:lineRule="auto"/>
        <w:rPr>
          <w:sz w:val="20"/>
          <w:szCs w:val="20"/>
          <w:color w:val="auto"/>
        </w:rPr>
      </w:pPr>
      <w:r>
        <w:rPr>
          <w:rFonts w:ascii="Arial" w:cs="Arial" w:eastAsia="Arial" w:hAnsi="Arial"/>
          <w:sz w:val="14"/>
          <w:szCs w:val="14"/>
          <w:color w:val="231F20"/>
        </w:rPr>
        <w:t>For the portion of the Retirement Plan covering certain of the named executive officers, plan compensation is defined as total compensation paid, but excludes contributions made by the Company to a plan of deferred compensation, distributions from a deferred compensation plan, amounts realized from the exercise of stock options or when restricted shares underlying restricted stock units or performance shares become freely transferable, fringe benefits, welfare benefits, reimbursements or other expense allowances, moving expenses and commissions. The Employee Retirement Income Security Act of 1974, as amended (ERISA), imposes maximum limitations on the annual amount of pension benefits that may be paid, and the amount of compensation that may be taken into account in calculating benefits, under a qualified, funded, defined benefit pension plan such as the Retirement Plan. The Retirement Plan complies with these ERISA limitations.</w:t>
      </w:r>
    </w:p>
    <w:p>
      <w:pPr>
        <w:spacing w:after="0" w:line="114" w:lineRule="exact"/>
        <w:rPr>
          <w:sz w:val="20"/>
          <w:szCs w:val="20"/>
          <w:color w:val="auto"/>
        </w:rPr>
      </w:pPr>
    </w:p>
    <w:p>
      <w:pPr>
        <w:ind w:right="40"/>
        <w:spacing w:after="0" w:line="238" w:lineRule="auto"/>
        <w:rPr>
          <w:sz w:val="20"/>
          <w:szCs w:val="20"/>
          <w:color w:val="auto"/>
        </w:rPr>
      </w:pPr>
      <w:r>
        <w:rPr>
          <w:rFonts w:ascii="Arial" w:cs="Arial" w:eastAsia="Arial" w:hAnsi="Arial"/>
          <w:sz w:val="14"/>
          <w:szCs w:val="14"/>
          <w:color w:val="231F20"/>
        </w:rPr>
        <w:t>Benefits earned under the final pay formula for the retirement plan are equal to 1.35% of average plan compensation plus 0.45% of average plan compensation above Covered Compensation for each year of credited service up to 25 years, and 0.5% of average plan compensation for each year of credited service above 25 years. The annual benefit is further subject to a minimum benefit schedule. Average plan compensation is defined as the average of plan compensation over the highest five consecutive years out of the last ten years. Covered Compensation is defined as the average of the Social Security Wage Bases (as defined in the Retirement Plan) in effect for each calendar year during the 35-year period ending with the last day of the calendar year of the benefit determination. Effective December 31, 2014, years of credited service and plan compensation in the Retirement Plan was frozen for the named executive officers (other than Mr. Schuller and Mr. Rhodes).</w:t>
      </w:r>
    </w:p>
    <w:p>
      <w:pPr>
        <w:spacing w:after="0" w:line="114" w:lineRule="exact"/>
        <w:rPr>
          <w:sz w:val="20"/>
          <w:szCs w:val="20"/>
          <w:color w:val="auto"/>
        </w:rPr>
      </w:pPr>
    </w:p>
    <w:p>
      <w:pPr>
        <w:ind w:right="20"/>
        <w:spacing w:after="0" w:line="238" w:lineRule="auto"/>
        <w:rPr>
          <w:sz w:val="20"/>
          <w:szCs w:val="20"/>
          <w:color w:val="auto"/>
        </w:rPr>
      </w:pPr>
      <w:r>
        <w:rPr>
          <w:rFonts w:ascii="Arial" w:cs="Arial" w:eastAsia="Arial" w:hAnsi="Arial"/>
          <w:sz w:val="14"/>
          <w:szCs w:val="14"/>
          <w:color w:val="231F20"/>
        </w:rPr>
        <w:t>Under the terms of the Retirement Plan, a Company participant becomes fully vested in his or her accrued pension benefit after five years of credited service. All named executive officers (with the exception of Messrs. Rhodes and Schuller) are vested in the Retirement Plan. Participants may retire as early as age 55 with 10 years of service. Unreduced benefits are available when a participant attains the earlier of age 65 with 5 years of vesting service or age 62 with 30 years of vesting service. Otherwise, benefits are reduced 3% for each year by which retirement precedes the attainment of age 65 or are reduced actuarially in accordance with the terms of the Retirement Plan and federal law if payment occurs before age 55. Pension benefits earned are payable in the form of a lifetime annuity or can be collected as a lump sum benefit. Married individuals may receive a reduced benefit paid in the form of a qualified joint and survivor annuity. Mr. Fox is currently eligible to retire under the Retirement Plan.</w:t>
      </w:r>
    </w:p>
    <w:p>
      <w:pPr>
        <w:spacing w:after="0" w:line="101" w:lineRule="exact"/>
        <w:rPr>
          <w:sz w:val="20"/>
          <w:szCs w:val="20"/>
          <w:color w:val="auto"/>
        </w:rPr>
      </w:pPr>
    </w:p>
    <w:p>
      <w:pPr>
        <w:spacing w:after="0"/>
        <w:rPr>
          <w:sz w:val="20"/>
          <w:szCs w:val="20"/>
          <w:color w:val="auto"/>
        </w:rPr>
      </w:pPr>
      <w:r>
        <w:rPr>
          <w:rFonts w:ascii="Arial" w:cs="Arial" w:eastAsia="Arial" w:hAnsi="Arial"/>
          <w:sz w:val="20"/>
          <w:szCs w:val="20"/>
          <w:b w:val="1"/>
          <w:bCs w:val="1"/>
          <w:color w:val="231F20"/>
        </w:rPr>
        <w:t>Non-Qualified Retirement Plan</w:t>
      </w:r>
    </w:p>
    <w:p>
      <w:pPr>
        <w:spacing w:after="0" w:line="166" w:lineRule="exact"/>
        <w:rPr>
          <w:sz w:val="20"/>
          <w:szCs w:val="20"/>
          <w:color w:val="auto"/>
        </w:rPr>
      </w:pPr>
    </w:p>
    <w:p>
      <w:pPr>
        <w:spacing w:after="0"/>
        <w:rPr>
          <w:sz w:val="20"/>
          <w:szCs w:val="20"/>
          <w:color w:val="auto"/>
        </w:rPr>
      </w:pPr>
      <w:r>
        <w:rPr>
          <w:rFonts w:ascii="Arial" w:cs="Arial" w:eastAsia="Arial" w:hAnsi="Arial"/>
          <w:sz w:val="14"/>
          <w:szCs w:val="14"/>
          <w:color w:val="231F20"/>
        </w:rPr>
        <w:t>Effective December 1, 1989, the Board of Directors adopted a supplemental benefits plan for salaried employees of the Company. On December 1, 2014, the Board of Directors adopted an amended benefits plan for salaried employees of the Company (the Non-Qualified Pension Benefit Plan). The Non-Qualified Pension Benefit Plan is a plan that is intended to provide an additional pension benefit to Company participants in the Retirement Plan and their beneficiaries whose benefits under the Retirement Plan are adversely affected by the ERISA limitations described above. Effective December 31, 2014, the Non-Qualified Pension Benefit Plan was amended to include credited service and plan compensation that the named executive officers would have otherwise accrued under the Retirement Plan if their benefit had not been frozen in the Retirement Plan. In addition, deferred compensation is excluded from the Retirement Plan plan compensation definition but is included in the calculation of benefits under the Non-Qualified Pension Benefit Plan.</w:t>
      </w:r>
    </w:p>
    <w:p>
      <w:pPr>
        <w:spacing w:after="0" w:line="259" w:lineRule="exact"/>
        <w:rPr>
          <w:sz w:val="20"/>
          <w:szCs w:val="20"/>
          <w:color w:val="auto"/>
        </w:rPr>
      </w:pPr>
    </w:p>
    <w:p>
      <w:pPr>
        <w:spacing w:after="0"/>
        <w:rPr>
          <w:sz w:val="20"/>
          <w:szCs w:val="20"/>
          <w:color w:val="auto"/>
        </w:rPr>
      </w:pPr>
      <w:r>
        <w:rPr>
          <w:rFonts w:ascii="Arial" w:cs="Arial" w:eastAsia="Arial" w:hAnsi="Arial"/>
          <w:sz w:val="14"/>
          <w:szCs w:val="14"/>
          <w:color w:val="231F20"/>
        </w:rPr>
        <w:t>The benefit under the Non-Qualified Pension Benefit Plan is equal to the difference between:</w:t>
      </w:r>
    </w:p>
    <w:p>
      <w:pPr>
        <w:spacing w:after="0" w:line="145" w:lineRule="exact"/>
        <w:rPr>
          <w:sz w:val="20"/>
          <w:szCs w:val="20"/>
          <w:color w:val="auto"/>
        </w:rPr>
      </w:pPr>
    </w:p>
    <w:p>
      <w:pPr>
        <w:ind w:left="200" w:right="540" w:hanging="198"/>
        <w:spacing w:after="0" w:line="278" w:lineRule="auto"/>
        <w:tabs>
          <w:tab w:leader="none" w:pos="200" w:val="left"/>
        </w:tabs>
        <w:numPr>
          <w:ilvl w:val="0"/>
          <w:numId w:val="139"/>
        </w:numPr>
        <w:rPr>
          <w:rFonts w:ascii="Arial" w:cs="Arial" w:eastAsia="Arial" w:hAnsi="Arial"/>
          <w:sz w:val="14"/>
          <w:szCs w:val="14"/>
          <w:color w:val="231F20"/>
        </w:rPr>
      </w:pPr>
      <w:r>
        <w:rPr>
          <w:rFonts w:ascii="Arial" w:cs="Arial" w:eastAsia="Arial" w:hAnsi="Arial"/>
          <w:sz w:val="14"/>
          <w:szCs w:val="14"/>
          <w:color w:val="231F20"/>
        </w:rPr>
        <w:t>the amount of the benefit the Company participant would have been entitled to under the Retirement Plan absent such ERISA limitations, absent the freezing of plan compensation and credited service, and including deferred compensation in the final average earnings calculation; and</w:t>
      </w:r>
    </w:p>
    <w:p>
      <w:pPr>
        <w:spacing w:after="0" w:line="9" w:lineRule="exact"/>
        <w:rPr>
          <w:rFonts w:ascii="Arial" w:cs="Arial" w:eastAsia="Arial" w:hAnsi="Arial"/>
          <w:sz w:val="14"/>
          <w:szCs w:val="14"/>
          <w:color w:val="231F20"/>
        </w:rPr>
      </w:pPr>
    </w:p>
    <w:p>
      <w:pPr>
        <w:ind w:left="200" w:hanging="198"/>
        <w:spacing w:after="0"/>
        <w:tabs>
          <w:tab w:leader="none" w:pos="200" w:val="left"/>
        </w:tabs>
        <w:numPr>
          <w:ilvl w:val="0"/>
          <w:numId w:val="139"/>
        </w:numPr>
        <w:rPr>
          <w:rFonts w:ascii="Arial" w:cs="Arial" w:eastAsia="Arial" w:hAnsi="Arial"/>
          <w:sz w:val="14"/>
          <w:szCs w:val="14"/>
          <w:color w:val="231F20"/>
        </w:rPr>
      </w:pPr>
      <w:r>
        <w:rPr>
          <w:rFonts w:ascii="Arial" w:cs="Arial" w:eastAsia="Arial" w:hAnsi="Arial"/>
          <w:sz w:val="14"/>
          <w:szCs w:val="14"/>
          <w:color w:val="231F20"/>
        </w:rPr>
        <w:t>the amount of the benefit actually payable under the Retirement Plan.</w:t>
      </w:r>
    </w:p>
    <w:p>
      <w:pPr>
        <w:spacing w:after="0" w:line="81" w:lineRule="exact"/>
        <w:rPr>
          <w:sz w:val="20"/>
          <w:szCs w:val="20"/>
          <w:color w:val="auto"/>
        </w:rPr>
      </w:pPr>
    </w:p>
    <w:p>
      <w:pPr>
        <w:ind w:right="40"/>
        <w:spacing w:after="0"/>
        <w:rPr>
          <w:sz w:val="20"/>
          <w:szCs w:val="20"/>
          <w:color w:val="auto"/>
        </w:rPr>
      </w:pPr>
      <w:r>
        <w:rPr>
          <w:rFonts w:ascii="Arial" w:cs="Arial" w:eastAsia="Arial" w:hAnsi="Arial"/>
          <w:sz w:val="14"/>
          <w:szCs w:val="14"/>
          <w:color w:val="231F20"/>
        </w:rPr>
        <w:t>Participants may retire as early as age 55 with 10 years of service under the Non-Qualified Pension Benefit Plan. Unreduced benefits are available when a participant attains the earlier of age 65 with 5 years of service or age 62 with 30 years of service. Otherwise, benefits are reduced 3% for each year by which retirement precedes the attainment of age 65. Pension benefits earned under the Non-Qualified Pension Benefits Plan are payable in the form of a lump sum, unless an alternative election is made. An alternative election may be made such that benefits are paid as an annuity for life (and the life of the participant’s spouse upon death), in a series of installments or under certain circumstances transferred at separation from employment to up to five separate distribution accounts under the Company’s Executive Deferral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102235</wp:posOffset>
            </wp:positionV>
            <wp:extent cx="7139940" cy="825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7139940" cy="8255"/>
                    </a:xfrm>
                    <a:prstGeom prst="rect">
                      <a:avLst/>
                    </a:prstGeom>
                    <a:noFill/>
                  </pic:spPr>
                </pic:pic>
              </a:graphicData>
            </a:graphic>
          </wp:anchor>
        </w:drawing>
      </w:r>
    </w:p>
    <w:p>
      <w:pPr>
        <w:spacing w:after="0" w:line="210" w:lineRule="exact"/>
        <w:rPr>
          <w:sz w:val="20"/>
          <w:szCs w:val="20"/>
          <w:color w:val="auto"/>
        </w:rPr>
      </w:pPr>
    </w:p>
    <w:p>
      <w:pPr>
        <w:ind w:left="300" w:hanging="298"/>
        <w:spacing w:after="0"/>
        <w:tabs>
          <w:tab w:leader="none" w:pos="300" w:val="left"/>
        </w:tabs>
        <w:numPr>
          <w:ilvl w:val="0"/>
          <w:numId w:val="140"/>
        </w:numPr>
        <w:rPr>
          <w:rFonts w:ascii="Arial" w:cs="Arial" w:eastAsia="Arial" w:hAnsi="Arial"/>
          <w:sz w:val="15"/>
          <w:szCs w:val="15"/>
          <w:color w:val="455986"/>
        </w:rPr>
      </w:pPr>
      <w:r>
        <w:rPr>
          <w:rFonts w:ascii="Arial" w:cs="Arial" w:eastAsia="Arial" w:hAnsi="Arial"/>
          <w:sz w:val="12"/>
          <w:szCs w:val="12"/>
          <w:color w:val="4395D4"/>
        </w:rPr>
        <w:t xml:space="preserve">ESSENTIAL UTILITIES, INC. </w:t>
      </w:r>
      <w:r>
        <w:rPr>
          <w:rFonts w:ascii="Arial" w:cs="Arial" w:eastAsia="Arial" w:hAnsi="Arial"/>
          <w:sz w:val="12"/>
          <w:szCs w:val="12"/>
          <w:color w:val="455986"/>
        </w:rPr>
        <w:t>2021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324485</wp:posOffset>
            </wp:positionV>
            <wp:extent cx="7139940" cy="24130"/>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7139940" cy="24130"/>
                    </a:xfrm>
                    <a:prstGeom prst="rect">
                      <a:avLst/>
                    </a:prstGeom>
                    <a:noFill/>
                  </pic:spPr>
                </pic:pic>
              </a:graphicData>
            </a:graphic>
          </wp:anchor>
        </w:drawing>
      </w:r>
    </w:p>
    <w:p>
      <w:pPr>
        <w:sectPr>
          <w:pgSz w:w="11900" w:h="16838" w:orient="portrait"/>
          <w:cols w:equalWidth="0" w:num="1">
            <w:col w:w="11240"/>
          </w:cols>
          <w:pgMar w:left="320" w:top="636" w:right="339" w:bottom="1440" w:gutter="0" w:footer="0" w:header="0"/>
        </w:sectPr>
      </w:pPr>
    </w:p>
    <w:bookmarkStart w:id="79" w:name="page80"/>
    <w:bookmarkEnd w:id="79"/>
    <w:p>
      <w:pPr>
        <w:spacing w:after="0"/>
        <w:rPr>
          <w:sz w:val="20"/>
          <w:szCs w:val="20"/>
          <w:color w:val="auto"/>
        </w:rPr>
      </w:pPr>
      <w:r>
        <w:rPr>
          <w:rFonts w:ascii="Arial" w:cs="Arial" w:eastAsia="Arial" w:hAnsi="Arial"/>
          <w:sz w:val="14"/>
          <w:szCs w:val="14"/>
          <w:b w:val="1"/>
          <w:bCs w:val="1"/>
          <w:color w:val="455986"/>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27940</wp:posOffset>
            </wp:positionV>
            <wp:extent cx="7139940" cy="825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7139940" cy="8255"/>
                    </a:xfrm>
                    <a:prstGeom prst="rect">
                      <a:avLst/>
                    </a:prstGeom>
                    <a:noFill/>
                  </pic:spPr>
                </pic:pic>
              </a:graphicData>
            </a:graphic>
          </wp:anchor>
        </w:drawing>
      </w:r>
    </w:p>
    <w:p>
      <w:pPr>
        <w:spacing w:after="0" w:line="76" w:lineRule="exact"/>
        <w:rPr>
          <w:sz w:val="20"/>
          <w:szCs w:val="20"/>
          <w:color w:val="auto"/>
        </w:rPr>
      </w:pPr>
    </w:p>
    <w:p>
      <w:pPr>
        <w:spacing w:after="0"/>
        <w:rPr>
          <w:sz w:val="20"/>
          <w:szCs w:val="20"/>
          <w:color w:val="auto"/>
        </w:rPr>
      </w:pPr>
      <w:r>
        <w:rPr>
          <w:rFonts w:ascii="Arial" w:cs="Arial" w:eastAsia="Arial" w:hAnsi="Arial"/>
          <w:sz w:val="14"/>
          <w:szCs w:val="14"/>
          <w:color w:val="231F20"/>
        </w:rPr>
        <w:t>Retirement Plans and Other Post-Employment Benefits</w:t>
      </w:r>
    </w:p>
    <w:p>
      <w:pPr>
        <w:spacing w:after="0" w:line="174" w:lineRule="exact"/>
        <w:rPr>
          <w:sz w:val="20"/>
          <w:szCs w:val="20"/>
          <w:color w:val="auto"/>
        </w:rPr>
      </w:pPr>
    </w:p>
    <w:p>
      <w:pPr>
        <w:ind w:right="140"/>
        <w:spacing w:after="0" w:line="253" w:lineRule="auto"/>
        <w:rPr>
          <w:sz w:val="20"/>
          <w:szCs w:val="20"/>
          <w:color w:val="auto"/>
        </w:rPr>
      </w:pPr>
      <w:r>
        <w:rPr>
          <w:rFonts w:ascii="Arial" w:cs="Arial" w:eastAsia="Arial" w:hAnsi="Arial"/>
          <w:sz w:val="14"/>
          <w:szCs w:val="14"/>
          <w:color w:val="231F20"/>
        </w:rPr>
        <w:t>Messrs. Franklin, Fox, and Luning are earning benefits under the Non-Qualified Pension Benefit Plan and are fully vested in those benefits. Messrs. Franklin and Fox are currently eligible to retire under the Non-Qualified Pension Benefit Plan. Messrs. Rhodes and Schuller do not earn any benefits under the Non-Qualified Pension Benefit Plan. In 2009, the Company began to fund the Non- Qualified Pension Benefit Plan through the use of trust-owned life insurance.</w:t>
      </w:r>
    </w:p>
    <w:p>
      <w:pPr>
        <w:spacing w:after="0" w:line="91" w:lineRule="exact"/>
        <w:rPr>
          <w:sz w:val="20"/>
          <w:szCs w:val="20"/>
          <w:color w:val="auto"/>
        </w:rPr>
      </w:pPr>
    </w:p>
    <w:p>
      <w:pPr>
        <w:spacing w:after="0"/>
        <w:rPr>
          <w:sz w:val="20"/>
          <w:szCs w:val="20"/>
          <w:color w:val="auto"/>
        </w:rPr>
      </w:pPr>
      <w:r>
        <w:rPr>
          <w:rFonts w:ascii="Arial" w:cs="Arial" w:eastAsia="Arial" w:hAnsi="Arial"/>
          <w:sz w:val="20"/>
          <w:szCs w:val="20"/>
          <w:b w:val="1"/>
          <w:bCs w:val="1"/>
          <w:color w:val="231F20"/>
        </w:rPr>
        <w:t>Actuarial Assumptions used to Determine Values in the Pension Benefits Table</w:t>
      </w:r>
    </w:p>
    <w:p>
      <w:pPr>
        <w:spacing w:after="0" w:line="166" w:lineRule="exact"/>
        <w:rPr>
          <w:sz w:val="20"/>
          <w:szCs w:val="20"/>
          <w:color w:val="auto"/>
        </w:rPr>
      </w:pPr>
    </w:p>
    <w:p>
      <w:pPr>
        <w:spacing w:after="0" w:line="235" w:lineRule="auto"/>
        <w:rPr>
          <w:sz w:val="20"/>
          <w:szCs w:val="20"/>
          <w:color w:val="auto"/>
        </w:rPr>
      </w:pPr>
      <w:r>
        <w:rPr>
          <w:rFonts w:ascii="Arial" w:cs="Arial" w:eastAsia="Arial" w:hAnsi="Arial"/>
          <w:sz w:val="14"/>
          <w:szCs w:val="14"/>
          <w:color w:val="231F20"/>
        </w:rPr>
        <w:t>The amounts shown in the Pension Benefits Table above are actuarial present values of the benefits accumulated through the date shown. An actuarial present value is calculated by estimating expected future payments starting at an assumed retirement age, weighting the estimated payments by the estimated probability of surviving to each post-retirement age, and discounting the weighted payments at an assumed discount rate to reflect the time value of money. The actuarial present value represents an estimate of the amount, which, if invested today at the discount rate, would be sufficient on an average basis to provide estimated future payments based on the current accumulated benefit. Assumptions used to determine the values are the same as those disclosed on the Company’s financial statements as of those dates with the exception of the assumed retirement age and the assumed probabilities of leaving employment prior to retirement. Retirement was assumed to occur at the earliest possible unreduced retirement age (or current age, if later) for each plan in which the executive participates. For purposes of determining the earliest unreduced retirement age, service was assumed to be granted until the actual date of retirement. Actual benefit present values will vary from these estimates depending on many factors, including an executive’s actual retirement age. The key assumptions included in the calculations are as follows:</w:t>
      </w:r>
    </w:p>
    <w:p>
      <w:pPr>
        <w:spacing w:after="0" w:line="116" w:lineRule="exact"/>
        <w:rPr>
          <w:sz w:val="20"/>
          <w:szCs w:val="20"/>
          <w:color w:val="auto"/>
        </w:rPr>
      </w:pPr>
    </w:p>
    <w:p>
      <w:pPr>
        <w:spacing w:after="0"/>
        <w:rPr>
          <w:sz w:val="20"/>
          <w:szCs w:val="20"/>
          <w:color w:val="auto"/>
        </w:rPr>
      </w:pPr>
      <w:r>
        <w:rPr>
          <w:rFonts w:ascii="Arial" w:cs="Arial" w:eastAsia="Arial" w:hAnsi="Arial"/>
          <w:sz w:val="15"/>
          <w:szCs w:val="15"/>
          <w:b w:val="1"/>
          <w:bCs w:val="1"/>
          <w:color w:val="231F20"/>
        </w:rPr>
        <w:t>Retirement Age</w:t>
      </w:r>
    </w:p>
    <w:p>
      <w:pPr>
        <w:spacing w:after="0" w:line="29"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2160" w:type="dxa"/>
            <w:vAlign w:val="bottom"/>
          </w:tcPr>
          <w:p>
            <w:pPr>
              <w:spacing w:after="0"/>
              <w:rPr>
                <w:sz w:val="15"/>
                <w:szCs w:val="15"/>
                <w:color w:val="auto"/>
              </w:rPr>
            </w:pPr>
          </w:p>
        </w:tc>
        <w:tc>
          <w:tcPr>
            <w:tcW w:w="2940" w:type="dxa"/>
            <w:vAlign w:val="bottom"/>
          </w:tcPr>
          <w:p>
            <w:pPr>
              <w:ind w:left="100"/>
              <w:spacing w:after="0"/>
              <w:rPr>
                <w:sz w:val="20"/>
                <w:szCs w:val="20"/>
                <w:color w:val="auto"/>
              </w:rPr>
            </w:pPr>
            <w:r>
              <w:rPr>
                <w:rFonts w:ascii="Arial" w:cs="Arial" w:eastAsia="Arial" w:hAnsi="Arial"/>
                <w:sz w:val="14"/>
                <w:szCs w:val="14"/>
                <w:color w:val="455986"/>
              </w:rPr>
              <w:t>December 31, 2020</w:t>
            </w:r>
          </w:p>
        </w:tc>
        <w:tc>
          <w:tcPr>
            <w:tcW w:w="6140" w:type="dxa"/>
            <w:vAlign w:val="bottom"/>
          </w:tcPr>
          <w:p>
            <w:pPr>
              <w:ind w:left="1660"/>
              <w:spacing w:after="0"/>
              <w:rPr>
                <w:sz w:val="20"/>
                <w:szCs w:val="20"/>
                <w:color w:val="auto"/>
              </w:rPr>
            </w:pPr>
            <w:r>
              <w:rPr>
                <w:rFonts w:ascii="Arial" w:cs="Arial" w:eastAsia="Arial" w:hAnsi="Arial"/>
                <w:sz w:val="14"/>
                <w:szCs w:val="14"/>
                <w:color w:val="455986"/>
              </w:rPr>
              <w:t>December 31, 2019</w:t>
            </w:r>
          </w:p>
        </w:tc>
      </w:tr>
      <w:tr>
        <w:trPr>
          <w:trHeight w:val="42"/>
        </w:trPr>
        <w:tc>
          <w:tcPr>
            <w:tcW w:w="2160" w:type="dxa"/>
            <w:vAlign w:val="bottom"/>
            <w:tcBorders>
              <w:bottom w:val="single" w:sz="8" w:color="4395D4"/>
            </w:tcBorders>
          </w:tcPr>
          <w:p>
            <w:pPr>
              <w:spacing w:after="0"/>
              <w:rPr>
                <w:sz w:val="3"/>
                <w:szCs w:val="3"/>
                <w:color w:val="auto"/>
              </w:rPr>
            </w:pPr>
          </w:p>
        </w:tc>
        <w:tc>
          <w:tcPr>
            <w:tcW w:w="2940" w:type="dxa"/>
            <w:vAlign w:val="bottom"/>
            <w:tcBorders>
              <w:bottom w:val="single" w:sz="8" w:color="4395D4"/>
            </w:tcBorders>
          </w:tcPr>
          <w:p>
            <w:pPr>
              <w:spacing w:after="0"/>
              <w:rPr>
                <w:sz w:val="3"/>
                <w:szCs w:val="3"/>
                <w:color w:val="auto"/>
              </w:rPr>
            </w:pPr>
          </w:p>
        </w:tc>
        <w:tc>
          <w:tcPr>
            <w:tcW w:w="6140" w:type="dxa"/>
            <w:vAlign w:val="bottom"/>
            <w:tcBorders>
              <w:bottom w:val="single" w:sz="8" w:color="4395D4"/>
            </w:tcBorders>
          </w:tcPr>
          <w:p>
            <w:pPr>
              <w:spacing w:after="0"/>
              <w:rPr>
                <w:sz w:val="3"/>
                <w:szCs w:val="3"/>
                <w:color w:val="auto"/>
              </w:rPr>
            </w:pPr>
          </w:p>
        </w:tc>
      </w:tr>
      <w:tr>
        <w:trPr>
          <w:trHeight w:val="219"/>
        </w:trPr>
        <w:tc>
          <w:tcPr>
            <w:tcW w:w="2160" w:type="dxa"/>
            <w:vAlign w:val="bottom"/>
            <w:tcBorders>
              <w:bottom w:val="single" w:sz="8" w:color="231F20"/>
            </w:tcBorders>
          </w:tcPr>
          <w:p>
            <w:pPr>
              <w:spacing w:after="0"/>
              <w:rPr>
                <w:sz w:val="20"/>
                <w:szCs w:val="20"/>
                <w:color w:val="auto"/>
              </w:rPr>
            </w:pPr>
            <w:r>
              <w:rPr>
                <w:rFonts w:ascii="Arial" w:cs="Arial" w:eastAsia="Arial" w:hAnsi="Arial"/>
                <w:sz w:val="15"/>
                <w:szCs w:val="15"/>
                <w:b w:val="1"/>
                <w:bCs w:val="1"/>
                <w:color w:val="455986"/>
              </w:rPr>
              <w:t>Discount Rate</w:t>
            </w:r>
          </w:p>
        </w:tc>
        <w:tc>
          <w:tcPr>
            <w:tcW w:w="2940" w:type="dxa"/>
            <w:vAlign w:val="bottom"/>
            <w:tcBorders>
              <w:bottom w:val="single" w:sz="8" w:color="231F20"/>
            </w:tcBorders>
          </w:tcPr>
          <w:p>
            <w:pPr>
              <w:ind w:left="100"/>
              <w:spacing w:after="0"/>
              <w:rPr>
                <w:sz w:val="20"/>
                <w:szCs w:val="20"/>
                <w:color w:val="auto"/>
              </w:rPr>
            </w:pPr>
            <w:r>
              <w:rPr>
                <w:rFonts w:ascii="Arial" w:cs="Arial" w:eastAsia="Arial" w:hAnsi="Arial"/>
                <w:sz w:val="15"/>
                <w:szCs w:val="15"/>
                <w:color w:val="231F20"/>
              </w:rPr>
              <w:t>2.57%</w:t>
            </w:r>
          </w:p>
        </w:tc>
        <w:tc>
          <w:tcPr>
            <w:tcW w:w="6140" w:type="dxa"/>
            <w:vAlign w:val="bottom"/>
            <w:tcBorders>
              <w:bottom w:val="single" w:sz="8" w:color="231F20"/>
            </w:tcBorders>
          </w:tcPr>
          <w:p>
            <w:pPr>
              <w:ind w:left="1660"/>
              <w:spacing w:after="0"/>
              <w:rPr>
                <w:sz w:val="20"/>
                <w:szCs w:val="20"/>
                <w:color w:val="auto"/>
              </w:rPr>
            </w:pPr>
            <w:r>
              <w:rPr>
                <w:rFonts w:ascii="Arial" w:cs="Arial" w:eastAsia="Arial" w:hAnsi="Arial"/>
                <w:sz w:val="15"/>
                <w:szCs w:val="15"/>
                <w:color w:val="231F20"/>
              </w:rPr>
              <w:t>3.35%</w:t>
            </w:r>
          </w:p>
        </w:tc>
      </w:tr>
      <w:tr>
        <w:trPr>
          <w:trHeight w:val="219"/>
        </w:trPr>
        <w:tc>
          <w:tcPr>
            <w:tcW w:w="2160" w:type="dxa"/>
            <w:vAlign w:val="bottom"/>
          </w:tcPr>
          <w:p>
            <w:pPr>
              <w:spacing w:after="0"/>
              <w:rPr>
                <w:sz w:val="20"/>
                <w:szCs w:val="20"/>
                <w:color w:val="auto"/>
              </w:rPr>
            </w:pPr>
            <w:r>
              <w:rPr>
                <w:rFonts w:ascii="Arial" w:cs="Arial" w:eastAsia="Arial" w:hAnsi="Arial"/>
                <w:sz w:val="15"/>
                <w:szCs w:val="15"/>
                <w:b w:val="1"/>
                <w:bCs w:val="1"/>
                <w:color w:val="455986"/>
              </w:rPr>
              <w:t>Retirement Age</w:t>
            </w:r>
          </w:p>
        </w:tc>
        <w:tc>
          <w:tcPr>
            <w:tcW w:w="2940" w:type="dxa"/>
            <w:vAlign w:val="bottom"/>
          </w:tcPr>
          <w:p>
            <w:pPr>
              <w:spacing w:after="0"/>
              <w:rPr>
                <w:sz w:val="19"/>
                <w:szCs w:val="19"/>
                <w:color w:val="auto"/>
              </w:rPr>
            </w:pPr>
          </w:p>
        </w:tc>
        <w:tc>
          <w:tcPr>
            <w:tcW w:w="6140" w:type="dxa"/>
            <w:vAlign w:val="bottom"/>
          </w:tcPr>
          <w:p>
            <w:pPr>
              <w:spacing w:after="0"/>
              <w:rPr>
                <w:sz w:val="19"/>
                <w:szCs w:val="19"/>
                <w:color w:val="auto"/>
              </w:rPr>
            </w:pPr>
          </w:p>
        </w:tc>
      </w:tr>
      <w:tr>
        <w:trPr>
          <w:trHeight w:val="59"/>
        </w:trPr>
        <w:tc>
          <w:tcPr>
            <w:tcW w:w="2160" w:type="dxa"/>
            <w:vAlign w:val="bottom"/>
            <w:tcBorders>
              <w:bottom w:val="single" w:sz="8" w:color="231F20"/>
            </w:tcBorders>
          </w:tcPr>
          <w:p>
            <w:pPr>
              <w:spacing w:after="0"/>
              <w:rPr>
                <w:sz w:val="5"/>
                <w:szCs w:val="5"/>
                <w:color w:val="auto"/>
              </w:rPr>
            </w:pPr>
          </w:p>
        </w:tc>
        <w:tc>
          <w:tcPr>
            <w:tcW w:w="2940" w:type="dxa"/>
            <w:vAlign w:val="bottom"/>
            <w:tcBorders>
              <w:bottom w:val="single" w:sz="8" w:color="231F20"/>
            </w:tcBorders>
          </w:tcPr>
          <w:p>
            <w:pPr>
              <w:spacing w:after="0"/>
              <w:rPr>
                <w:sz w:val="5"/>
                <w:szCs w:val="5"/>
                <w:color w:val="auto"/>
              </w:rPr>
            </w:pPr>
          </w:p>
        </w:tc>
        <w:tc>
          <w:tcPr>
            <w:tcW w:w="6140" w:type="dxa"/>
            <w:vAlign w:val="bottom"/>
            <w:tcBorders>
              <w:bottom w:val="single" w:sz="8" w:color="231F20"/>
            </w:tcBorders>
          </w:tcPr>
          <w:p>
            <w:pPr>
              <w:spacing w:after="0"/>
              <w:rPr>
                <w:sz w:val="5"/>
                <w:szCs w:val="5"/>
                <w:color w:val="auto"/>
              </w:rPr>
            </w:pPr>
          </w:p>
        </w:tc>
      </w:tr>
      <w:tr>
        <w:trPr>
          <w:trHeight w:val="215"/>
        </w:trPr>
        <w:tc>
          <w:tcPr>
            <w:tcW w:w="2160" w:type="dxa"/>
            <w:vAlign w:val="bottom"/>
            <w:tcBorders>
              <w:bottom w:val="single" w:sz="8" w:color="231F20"/>
            </w:tcBorders>
          </w:tcPr>
          <w:p>
            <w:pPr>
              <w:ind w:left="100"/>
              <w:spacing w:after="0"/>
              <w:rPr>
                <w:sz w:val="20"/>
                <w:szCs w:val="20"/>
                <w:color w:val="auto"/>
              </w:rPr>
            </w:pPr>
            <w:r>
              <w:rPr>
                <w:rFonts w:ascii="Arial" w:cs="Arial" w:eastAsia="Arial" w:hAnsi="Arial"/>
                <w:sz w:val="15"/>
                <w:szCs w:val="15"/>
                <w:color w:val="auto"/>
              </w:rPr>
              <w:t>Franklin</w:t>
            </w:r>
          </w:p>
        </w:tc>
        <w:tc>
          <w:tcPr>
            <w:tcW w:w="2940" w:type="dxa"/>
            <w:vAlign w:val="bottom"/>
            <w:tcBorders>
              <w:bottom w:val="single" w:sz="8" w:color="231F20"/>
            </w:tcBorders>
          </w:tcPr>
          <w:p>
            <w:pPr>
              <w:ind w:left="100"/>
              <w:spacing w:after="0"/>
              <w:rPr>
                <w:sz w:val="20"/>
                <w:szCs w:val="20"/>
                <w:color w:val="auto"/>
              </w:rPr>
            </w:pPr>
            <w:r>
              <w:rPr>
                <w:rFonts w:ascii="Arial" w:cs="Arial" w:eastAsia="Arial" w:hAnsi="Arial"/>
                <w:sz w:val="15"/>
                <w:szCs w:val="15"/>
                <w:color w:val="231F20"/>
              </w:rPr>
              <w:t>62</w:t>
            </w:r>
          </w:p>
        </w:tc>
        <w:tc>
          <w:tcPr>
            <w:tcW w:w="6140" w:type="dxa"/>
            <w:vAlign w:val="bottom"/>
            <w:tcBorders>
              <w:bottom w:val="single" w:sz="8" w:color="231F20"/>
            </w:tcBorders>
          </w:tcPr>
          <w:p>
            <w:pPr>
              <w:ind w:left="1660"/>
              <w:spacing w:after="0"/>
              <w:rPr>
                <w:sz w:val="20"/>
                <w:szCs w:val="20"/>
                <w:color w:val="auto"/>
              </w:rPr>
            </w:pPr>
            <w:r>
              <w:rPr>
                <w:rFonts w:ascii="Arial" w:cs="Arial" w:eastAsia="Arial" w:hAnsi="Arial"/>
                <w:sz w:val="15"/>
                <w:szCs w:val="15"/>
                <w:color w:val="231F20"/>
              </w:rPr>
              <w:t>62</w:t>
            </w:r>
          </w:p>
        </w:tc>
      </w:tr>
      <w:tr>
        <w:trPr>
          <w:trHeight w:val="222"/>
        </w:trPr>
        <w:tc>
          <w:tcPr>
            <w:tcW w:w="2160" w:type="dxa"/>
            <w:vAlign w:val="bottom"/>
            <w:tcBorders>
              <w:bottom w:val="single" w:sz="8" w:color="231F20"/>
            </w:tcBorders>
          </w:tcPr>
          <w:p>
            <w:pPr>
              <w:ind w:left="100"/>
              <w:spacing w:after="0"/>
              <w:rPr>
                <w:sz w:val="20"/>
                <w:szCs w:val="20"/>
                <w:color w:val="auto"/>
              </w:rPr>
            </w:pPr>
            <w:r>
              <w:rPr>
                <w:rFonts w:ascii="Arial" w:cs="Arial" w:eastAsia="Arial" w:hAnsi="Arial"/>
                <w:sz w:val="15"/>
                <w:szCs w:val="15"/>
                <w:color w:val="auto"/>
              </w:rPr>
              <w:t>Fox</w:t>
            </w:r>
          </w:p>
        </w:tc>
        <w:tc>
          <w:tcPr>
            <w:tcW w:w="2940" w:type="dxa"/>
            <w:vAlign w:val="bottom"/>
            <w:tcBorders>
              <w:bottom w:val="single" w:sz="8" w:color="231F20"/>
            </w:tcBorders>
          </w:tcPr>
          <w:p>
            <w:pPr>
              <w:ind w:left="100"/>
              <w:spacing w:after="0"/>
              <w:rPr>
                <w:sz w:val="20"/>
                <w:szCs w:val="20"/>
                <w:color w:val="auto"/>
              </w:rPr>
            </w:pPr>
            <w:r>
              <w:rPr>
                <w:rFonts w:ascii="Arial" w:cs="Arial" w:eastAsia="Arial" w:hAnsi="Arial"/>
                <w:sz w:val="15"/>
                <w:szCs w:val="15"/>
                <w:color w:val="231F20"/>
              </w:rPr>
              <w:t>65</w:t>
            </w:r>
          </w:p>
        </w:tc>
        <w:tc>
          <w:tcPr>
            <w:tcW w:w="6140" w:type="dxa"/>
            <w:vAlign w:val="bottom"/>
            <w:tcBorders>
              <w:bottom w:val="single" w:sz="8" w:color="231F20"/>
            </w:tcBorders>
          </w:tcPr>
          <w:p>
            <w:pPr>
              <w:ind w:left="1660"/>
              <w:spacing w:after="0"/>
              <w:rPr>
                <w:sz w:val="20"/>
                <w:szCs w:val="20"/>
                <w:color w:val="auto"/>
              </w:rPr>
            </w:pPr>
            <w:r>
              <w:rPr>
                <w:rFonts w:ascii="Arial" w:cs="Arial" w:eastAsia="Arial" w:hAnsi="Arial"/>
                <w:sz w:val="15"/>
                <w:szCs w:val="15"/>
                <w:color w:val="231F20"/>
              </w:rPr>
              <w:t>65</w:t>
            </w:r>
          </w:p>
        </w:tc>
      </w:tr>
      <w:tr>
        <w:trPr>
          <w:trHeight w:val="222"/>
        </w:trPr>
        <w:tc>
          <w:tcPr>
            <w:tcW w:w="2160" w:type="dxa"/>
            <w:vAlign w:val="bottom"/>
            <w:tcBorders>
              <w:bottom w:val="single" w:sz="8" w:color="231F20"/>
            </w:tcBorders>
          </w:tcPr>
          <w:p>
            <w:pPr>
              <w:ind w:left="100"/>
              <w:spacing w:after="0"/>
              <w:rPr>
                <w:sz w:val="20"/>
                <w:szCs w:val="20"/>
                <w:color w:val="auto"/>
              </w:rPr>
            </w:pPr>
            <w:r>
              <w:rPr>
                <w:rFonts w:ascii="Arial" w:cs="Arial" w:eastAsia="Arial" w:hAnsi="Arial"/>
                <w:sz w:val="15"/>
                <w:szCs w:val="15"/>
                <w:color w:val="auto"/>
              </w:rPr>
              <w:t>Luning</w:t>
            </w:r>
          </w:p>
        </w:tc>
        <w:tc>
          <w:tcPr>
            <w:tcW w:w="2940" w:type="dxa"/>
            <w:vAlign w:val="bottom"/>
            <w:tcBorders>
              <w:bottom w:val="single" w:sz="8" w:color="231F20"/>
            </w:tcBorders>
          </w:tcPr>
          <w:p>
            <w:pPr>
              <w:ind w:left="100"/>
              <w:spacing w:after="0"/>
              <w:rPr>
                <w:sz w:val="20"/>
                <w:szCs w:val="20"/>
                <w:color w:val="auto"/>
              </w:rPr>
            </w:pPr>
            <w:r>
              <w:rPr>
                <w:rFonts w:ascii="Arial" w:cs="Arial" w:eastAsia="Arial" w:hAnsi="Arial"/>
                <w:sz w:val="15"/>
                <w:szCs w:val="15"/>
                <w:color w:val="231F20"/>
              </w:rPr>
              <w:t>65</w:t>
            </w:r>
          </w:p>
        </w:tc>
        <w:tc>
          <w:tcPr>
            <w:tcW w:w="6140" w:type="dxa"/>
            <w:vAlign w:val="bottom"/>
            <w:tcBorders>
              <w:bottom w:val="single" w:sz="8" w:color="231F20"/>
            </w:tcBorders>
          </w:tcPr>
          <w:p>
            <w:pPr>
              <w:ind w:left="1660"/>
              <w:spacing w:after="0"/>
              <w:rPr>
                <w:sz w:val="20"/>
                <w:szCs w:val="20"/>
                <w:color w:val="auto"/>
              </w:rPr>
            </w:pPr>
            <w:r>
              <w:rPr>
                <w:rFonts w:ascii="Arial" w:cs="Arial" w:eastAsia="Arial" w:hAnsi="Arial"/>
                <w:sz w:val="15"/>
                <w:szCs w:val="15"/>
                <w:color w:val="231F20"/>
              </w:rPr>
              <w:t>65</w:t>
            </w:r>
          </w:p>
        </w:tc>
      </w:tr>
      <w:tr>
        <w:trPr>
          <w:trHeight w:val="186"/>
        </w:trPr>
        <w:tc>
          <w:tcPr>
            <w:tcW w:w="2160" w:type="dxa"/>
            <w:vAlign w:val="bottom"/>
          </w:tcPr>
          <w:p>
            <w:pPr>
              <w:spacing w:after="0"/>
              <w:rPr>
                <w:sz w:val="20"/>
                <w:szCs w:val="20"/>
                <w:color w:val="auto"/>
              </w:rPr>
            </w:pPr>
            <w:r>
              <w:rPr>
                <w:rFonts w:ascii="Arial" w:cs="Arial" w:eastAsia="Arial" w:hAnsi="Arial"/>
                <w:sz w:val="15"/>
                <w:szCs w:val="15"/>
                <w:b w:val="1"/>
                <w:bCs w:val="1"/>
                <w:color w:val="455986"/>
              </w:rPr>
              <w:t>Termination,</w:t>
            </w:r>
          </w:p>
        </w:tc>
        <w:tc>
          <w:tcPr>
            <w:tcW w:w="2940" w:type="dxa"/>
            <w:vAlign w:val="bottom"/>
          </w:tcPr>
          <w:p>
            <w:pPr>
              <w:ind w:left="100"/>
              <w:spacing w:after="0"/>
              <w:rPr>
                <w:sz w:val="20"/>
                <w:szCs w:val="20"/>
                <w:color w:val="auto"/>
              </w:rPr>
            </w:pPr>
            <w:r>
              <w:rPr>
                <w:rFonts w:ascii="Arial" w:cs="Arial" w:eastAsia="Arial" w:hAnsi="Arial"/>
                <w:sz w:val="15"/>
                <w:szCs w:val="15"/>
                <w:color w:val="231F20"/>
              </w:rPr>
              <w:t>None</w:t>
            </w:r>
          </w:p>
        </w:tc>
        <w:tc>
          <w:tcPr>
            <w:tcW w:w="6140" w:type="dxa"/>
            <w:vAlign w:val="bottom"/>
          </w:tcPr>
          <w:p>
            <w:pPr>
              <w:ind w:left="1660"/>
              <w:spacing w:after="0"/>
              <w:rPr>
                <w:sz w:val="20"/>
                <w:szCs w:val="20"/>
                <w:color w:val="auto"/>
              </w:rPr>
            </w:pPr>
            <w:r>
              <w:rPr>
                <w:rFonts w:ascii="Arial" w:cs="Arial" w:eastAsia="Arial" w:hAnsi="Arial"/>
                <w:sz w:val="15"/>
                <w:szCs w:val="15"/>
                <w:color w:val="231F20"/>
              </w:rPr>
              <w:t>None</w:t>
            </w:r>
          </w:p>
        </w:tc>
      </w:tr>
      <w:tr>
        <w:trPr>
          <w:trHeight w:val="179"/>
        </w:trPr>
        <w:tc>
          <w:tcPr>
            <w:tcW w:w="2160" w:type="dxa"/>
            <w:vAlign w:val="bottom"/>
          </w:tcPr>
          <w:p>
            <w:pPr>
              <w:spacing w:after="0"/>
              <w:rPr>
                <w:sz w:val="20"/>
                <w:szCs w:val="20"/>
                <w:color w:val="auto"/>
              </w:rPr>
            </w:pPr>
            <w:r>
              <w:rPr>
                <w:rFonts w:ascii="Arial" w:cs="Arial" w:eastAsia="Arial" w:hAnsi="Arial"/>
                <w:sz w:val="15"/>
                <w:szCs w:val="15"/>
                <w:b w:val="1"/>
                <w:bCs w:val="1"/>
                <w:color w:val="455986"/>
              </w:rPr>
              <w:t>pre-retirement mortality and</w:t>
            </w:r>
          </w:p>
        </w:tc>
        <w:tc>
          <w:tcPr>
            <w:tcW w:w="2940" w:type="dxa"/>
            <w:vAlign w:val="bottom"/>
          </w:tcPr>
          <w:p>
            <w:pPr>
              <w:spacing w:after="0"/>
              <w:rPr>
                <w:sz w:val="15"/>
                <w:szCs w:val="15"/>
                <w:color w:val="auto"/>
              </w:rPr>
            </w:pPr>
          </w:p>
        </w:tc>
        <w:tc>
          <w:tcPr>
            <w:tcW w:w="6140" w:type="dxa"/>
            <w:vAlign w:val="bottom"/>
          </w:tcPr>
          <w:p>
            <w:pPr>
              <w:spacing w:after="0"/>
              <w:rPr>
                <w:sz w:val="15"/>
                <w:szCs w:val="15"/>
                <w:color w:val="auto"/>
              </w:rPr>
            </w:pPr>
          </w:p>
        </w:tc>
      </w:tr>
      <w:tr>
        <w:trPr>
          <w:trHeight w:val="215"/>
        </w:trPr>
        <w:tc>
          <w:tcPr>
            <w:tcW w:w="2160" w:type="dxa"/>
            <w:vAlign w:val="bottom"/>
          </w:tcPr>
          <w:p>
            <w:pPr>
              <w:spacing w:after="0"/>
              <w:rPr>
                <w:sz w:val="20"/>
                <w:szCs w:val="20"/>
                <w:color w:val="auto"/>
              </w:rPr>
            </w:pPr>
            <w:r>
              <w:rPr>
                <w:rFonts w:ascii="Arial" w:cs="Arial" w:eastAsia="Arial" w:hAnsi="Arial"/>
                <w:sz w:val="15"/>
                <w:szCs w:val="15"/>
                <w:b w:val="1"/>
                <w:bCs w:val="1"/>
                <w:color w:val="455986"/>
              </w:rPr>
              <w:t>disability rates</w:t>
            </w:r>
          </w:p>
        </w:tc>
        <w:tc>
          <w:tcPr>
            <w:tcW w:w="2940" w:type="dxa"/>
            <w:vAlign w:val="bottom"/>
          </w:tcPr>
          <w:p>
            <w:pPr>
              <w:spacing w:after="0"/>
              <w:rPr>
                <w:sz w:val="18"/>
                <w:szCs w:val="18"/>
                <w:color w:val="auto"/>
              </w:rPr>
            </w:pPr>
          </w:p>
        </w:tc>
        <w:tc>
          <w:tcPr>
            <w:tcW w:w="614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5080</wp:posOffset>
            </wp:positionV>
            <wp:extent cx="7139940" cy="825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7139940" cy="8255"/>
                    </a:xfrm>
                    <a:prstGeom prst="rect">
                      <a:avLst/>
                    </a:prstGeom>
                    <a:noFill/>
                  </pic:spPr>
                </pic:pic>
              </a:graphicData>
            </a:graphic>
          </wp:anchor>
        </w:drawing>
      </w:r>
    </w:p>
    <w:p>
      <w:pPr>
        <w:sectPr>
          <w:pgSz w:w="11900" w:h="16838" w:orient="portrait"/>
          <w:cols w:equalWidth="0" w:num="1">
            <w:col w:w="11240"/>
          </w:cols>
          <w:pgMar w:left="320" w:top="636" w:right="339" w:bottom="1440" w:gutter="0" w:footer="0" w:header="0"/>
        </w:sectPr>
      </w:pPr>
    </w:p>
    <w:p>
      <w:pPr>
        <w:spacing w:after="0" w:line="28" w:lineRule="exact"/>
        <w:rPr>
          <w:sz w:val="20"/>
          <w:szCs w:val="20"/>
          <w:color w:val="auto"/>
        </w:rPr>
      </w:pPr>
    </w:p>
    <w:p>
      <w:pPr>
        <w:ind w:left="2260" w:hanging="2258"/>
        <w:spacing w:after="0" w:line="254" w:lineRule="auto"/>
        <w:tabs>
          <w:tab w:leader="none" w:pos="2240" w:val="left"/>
        </w:tabs>
        <w:rPr>
          <w:sz w:val="20"/>
          <w:szCs w:val="20"/>
          <w:color w:val="auto"/>
        </w:rPr>
      </w:pPr>
      <w:r>
        <w:rPr>
          <w:rFonts w:ascii="Arial" w:cs="Arial" w:eastAsia="Arial" w:hAnsi="Arial"/>
          <w:sz w:val="15"/>
          <w:szCs w:val="15"/>
          <w:b w:val="1"/>
          <w:bCs w:val="1"/>
          <w:color w:val="455986"/>
        </w:rPr>
        <w:t>Post-Retirement Mortality</w:t>
      </w:r>
      <w:r>
        <w:rPr>
          <w:sz w:val="20"/>
          <w:szCs w:val="20"/>
          <w:color w:val="auto"/>
        </w:rPr>
        <w:tab/>
      </w:r>
      <w:r>
        <w:rPr>
          <w:rFonts w:ascii="Arial" w:cs="Arial" w:eastAsia="Arial" w:hAnsi="Arial"/>
          <w:sz w:val="15"/>
          <w:szCs w:val="15"/>
          <w:color w:val="231F20"/>
        </w:rPr>
        <w:t>50% of the present value for the Retirement Plan is calculated using the PRI-2012 gender specific nondisabled annuitant mortality tables projected generationally from 2012 with Scale MP-2018 improvements. 50% of the present value of the Retirement Plan and 100% of the present value for the Non-Qualified Pension Plan is calculated using a 50% male and a 50% female blended PRI-2012 nondisabled annuitant mortality table projected generationally from 2012 with Scale MP-2018 improvements.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5715</wp:posOffset>
            </wp:positionV>
            <wp:extent cx="7139940" cy="825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713994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8" w:lineRule="exact"/>
        <w:rPr>
          <w:sz w:val="20"/>
          <w:szCs w:val="20"/>
          <w:color w:val="auto"/>
        </w:rPr>
      </w:pPr>
    </w:p>
    <w:p>
      <w:pPr>
        <w:ind w:right="20"/>
        <w:spacing w:after="0" w:line="254" w:lineRule="auto"/>
        <w:rPr>
          <w:sz w:val="20"/>
          <w:szCs w:val="20"/>
          <w:color w:val="auto"/>
        </w:rPr>
      </w:pPr>
      <w:r>
        <w:rPr>
          <w:rFonts w:ascii="Arial" w:cs="Arial" w:eastAsia="Arial" w:hAnsi="Arial"/>
          <w:sz w:val="15"/>
          <w:szCs w:val="15"/>
          <w:color w:val="231F20"/>
        </w:rPr>
        <w:t>50% of the present value for the Retirement Plan is calculated using the PRI-2012 gender specific nondisabled annuitant mortality tables projected generationally from 2012 with Scale MP-2018 improvements. 50% of the present value of the Retirement Plan and 100% of the present value for the Non-Qualified Pension Plan is calculated using a 50% male and a 50% female blended PRI-2012 nondisabled annuitant mortality table projected generationally from 2012 with Scale MP-2018 improvements.</w:t>
      </w:r>
    </w:p>
    <w:p>
      <w:pPr>
        <w:spacing w:after="0" w:line="340" w:lineRule="exact"/>
        <w:rPr>
          <w:sz w:val="20"/>
          <w:szCs w:val="20"/>
          <w:color w:val="auto"/>
        </w:rPr>
      </w:pPr>
    </w:p>
    <w:p>
      <w:pPr>
        <w:sectPr>
          <w:pgSz w:w="11900" w:h="16838" w:orient="portrait"/>
          <w:cols w:equalWidth="0" w:num="2">
            <w:col w:w="6500" w:space="260"/>
            <w:col w:w="4480"/>
          </w:cols>
          <w:pgMar w:left="320" w:top="636" w:right="339" w:bottom="1440" w:gutter="0" w:footer="0" w:header="0"/>
          <w:type w:val="continuous"/>
        </w:sectPr>
      </w:pPr>
    </w:p>
    <w:p>
      <w:pPr>
        <w:spacing w:after="0"/>
        <w:rPr>
          <w:sz w:val="20"/>
          <w:szCs w:val="20"/>
          <w:color w:val="auto"/>
        </w:rPr>
      </w:pPr>
      <w:r>
        <w:rPr>
          <w:rFonts w:ascii="Arial" w:cs="Arial" w:eastAsia="Arial" w:hAnsi="Arial"/>
          <w:sz w:val="13"/>
          <w:szCs w:val="13"/>
          <w:color w:val="231F20"/>
        </w:rPr>
        <w:t>Please note the following with regard to the incremental pension value above that included in the Pension Benefits Table upon retirement, termination, death and disability:</w:t>
      </w:r>
    </w:p>
    <w:p>
      <w:pPr>
        <w:spacing w:after="0" w:line="131" w:lineRule="exact"/>
        <w:rPr>
          <w:sz w:val="20"/>
          <w:szCs w:val="20"/>
          <w:color w:val="auto"/>
        </w:rPr>
      </w:pPr>
    </w:p>
    <w:p>
      <w:pPr>
        <w:ind w:left="200" w:right="100" w:hanging="198"/>
        <w:spacing w:after="0" w:line="273" w:lineRule="auto"/>
        <w:tabs>
          <w:tab w:leader="none" w:pos="200" w:val="left"/>
        </w:tabs>
        <w:numPr>
          <w:ilvl w:val="0"/>
          <w:numId w:val="141"/>
        </w:numPr>
        <w:rPr>
          <w:rFonts w:ascii="Arial" w:cs="Arial" w:eastAsia="Arial" w:hAnsi="Arial"/>
          <w:sz w:val="12"/>
          <w:szCs w:val="12"/>
          <w:color w:val="231F20"/>
        </w:rPr>
      </w:pPr>
      <w:r>
        <w:rPr>
          <w:rFonts w:ascii="Arial" w:cs="Arial" w:eastAsia="Arial" w:hAnsi="Arial"/>
          <w:sz w:val="12"/>
          <w:szCs w:val="12"/>
          <w:color w:val="231F20"/>
        </w:rPr>
        <w:t>Upon termination, the benefits for Mr. Franklin and Mr. Luning are assumed to be payable as an immediate lump sum from the qualified pension plan and lump sum payment at age 55 from the nonqualified plan (as required by the plan provisions of the nonqualified pension plan). Benefits Payable from the qualified pension plan are actuarially equivalent to the benefit payable at age 65. Benefits payable from the non-qualified plan have been reduced for early commencement by 3% per year of commencement prior to age 65 to the assumed age 55 commencement date.</w:t>
      </w:r>
    </w:p>
    <w:p>
      <w:pPr>
        <w:spacing w:after="0" w:line="26" w:lineRule="exact"/>
        <w:rPr>
          <w:rFonts w:ascii="Arial" w:cs="Arial" w:eastAsia="Arial" w:hAnsi="Arial"/>
          <w:sz w:val="12"/>
          <w:szCs w:val="12"/>
          <w:color w:val="231F20"/>
        </w:rPr>
      </w:pPr>
    </w:p>
    <w:p>
      <w:pPr>
        <w:ind w:left="200" w:right="360"/>
        <w:spacing w:after="0" w:line="243" w:lineRule="auto"/>
        <w:rPr>
          <w:rFonts w:ascii="Arial" w:cs="Arial" w:eastAsia="Arial" w:hAnsi="Arial"/>
          <w:sz w:val="12"/>
          <w:szCs w:val="12"/>
          <w:color w:val="231F20"/>
        </w:rPr>
      </w:pPr>
      <w:r>
        <w:rPr>
          <w:rFonts w:ascii="Arial" w:cs="Arial" w:eastAsia="Arial" w:hAnsi="Arial"/>
          <w:sz w:val="13"/>
          <w:szCs w:val="13"/>
          <w:color w:val="231F20"/>
        </w:rPr>
        <w:t>Upon retirement, the benefits for Mr. Fox are payable as an immediate lump sum from the qualified pension plan and the nonqualified pension plan. Benefits have been reduced for early commencement by 3% per year of commencement prior to age 65. Retiree medical plan eligibility is age 55 with 15 years of service. We have not included retiree medical plan values for Mr. Franklin and Mr. Luning since they have not attained retirement eligibility for that plan.</w:t>
      </w:r>
    </w:p>
    <w:p>
      <w:pPr>
        <w:spacing w:after="0" w:line="107" w:lineRule="exact"/>
        <w:rPr>
          <w:sz w:val="20"/>
          <w:szCs w:val="20"/>
          <w:color w:val="auto"/>
        </w:rPr>
      </w:pPr>
    </w:p>
    <w:p>
      <w:pPr>
        <w:spacing w:after="0"/>
        <w:rPr>
          <w:sz w:val="20"/>
          <w:szCs w:val="20"/>
          <w:color w:val="auto"/>
        </w:rPr>
      </w:pPr>
      <w:r>
        <w:rPr>
          <w:rFonts w:ascii="Arial" w:cs="Arial" w:eastAsia="Arial" w:hAnsi="Arial"/>
          <w:sz w:val="13"/>
          <w:szCs w:val="13"/>
          <w:color w:val="231F20"/>
        </w:rPr>
        <w:t>Assumptions</w:t>
      </w:r>
    </w:p>
    <w:p>
      <w:pPr>
        <w:spacing w:after="0" w:line="7" w:lineRule="exact"/>
        <w:rPr>
          <w:sz w:val="20"/>
          <w:szCs w:val="20"/>
          <w:color w:val="auto"/>
        </w:rPr>
      </w:pPr>
    </w:p>
    <w:p>
      <w:pPr>
        <w:spacing w:after="0"/>
        <w:rPr>
          <w:sz w:val="20"/>
          <w:szCs w:val="20"/>
          <w:color w:val="auto"/>
        </w:rPr>
      </w:pPr>
      <w:r>
        <w:rPr>
          <w:rFonts w:ascii="Arial" w:cs="Arial" w:eastAsia="Arial" w:hAnsi="Arial"/>
          <w:sz w:val="13"/>
          <w:szCs w:val="13"/>
          <w:color w:val="231F20"/>
        </w:rPr>
        <w:t>Discount Rate: 2.57%</w:t>
      </w:r>
    </w:p>
    <w:p>
      <w:pPr>
        <w:spacing w:after="0" w:line="115" w:lineRule="exact"/>
        <w:rPr>
          <w:sz w:val="20"/>
          <w:szCs w:val="20"/>
          <w:color w:val="auto"/>
        </w:rPr>
      </w:pPr>
    </w:p>
    <w:p>
      <w:pPr>
        <w:spacing w:after="0"/>
        <w:rPr>
          <w:sz w:val="20"/>
          <w:szCs w:val="20"/>
          <w:color w:val="auto"/>
        </w:rPr>
      </w:pPr>
      <w:r>
        <w:rPr>
          <w:rFonts w:ascii="Arial" w:cs="Arial" w:eastAsia="Arial" w:hAnsi="Arial"/>
          <w:sz w:val="13"/>
          <w:szCs w:val="13"/>
          <w:color w:val="231F20"/>
        </w:rPr>
        <w:t>Mortality:</w:t>
      </w:r>
    </w:p>
    <w:p>
      <w:pPr>
        <w:spacing w:after="0" w:line="7" w:lineRule="exact"/>
        <w:rPr>
          <w:sz w:val="20"/>
          <w:szCs w:val="20"/>
          <w:color w:val="auto"/>
        </w:rPr>
      </w:pPr>
    </w:p>
    <w:p>
      <w:pPr>
        <w:ind w:right="640"/>
        <w:spacing w:after="0" w:line="237" w:lineRule="auto"/>
        <w:rPr>
          <w:sz w:val="20"/>
          <w:szCs w:val="20"/>
          <w:color w:val="auto"/>
        </w:rPr>
      </w:pPr>
      <w:r>
        <w:rPr>
          <w:rFonts w:ascii="Arial" w:cs="Arial" w:eastAsia="Arial" w:hAnsi="Arial"/>
          <w:sz w:val="13"/>
          <w:szCs w:val="13"/>
          <w:color w:val="231F20"/>
        </w:rPr>
        <w:t>For Qualified Plan: blended 50% gender-specific and 50% unisex (blended 50% male and 50% female). Pri-2012 non-disabled annuitant mortality table without collar adjustments projected generationally from 2012 with Scale MP-2020 improvements.</w:t>
      </w:r>
    </w:p>
    <w:p>
      <w:pPr>
        <w:spacing w:after="0" w:line="110" w:lineRule="exact"/>
        <w:rPr>
          <w:sz w:val="20"/>
          <w:szCs w:val="20"/>
          <w:color w:val="auto"/>
        </w:rPr>
      </w:pPr>
    </w:p>
    <w:p>
      <w:pPr>
        <w:ind w:right="240"/>
        <w:spacing w:after="0" w:line="260" w:lineRule="auto"/>
        <w:rPr>
          <w:sz w:val="20"/>
          <w:szCs w:val="20"/>
          <w:color w:val="auto"/>
        </w:rPr>
      </w:pPr>
      <w:r>
        <w:rPr>
          <w:rFonts w:ascii="Arial" w:cs="Arial" w:eastAsia="Arial" w:hAnsi="Arial"/>
          <w:sz w:val="13"/>
          <w:szCs w:val="13"/>
          <w:color w:val="231F20"/>
        </w:rPr>
        <w:t>For Non-Qualified Plan: Pri-2012 unisex (blended 50% male and 50% female) non-disabled annuitant mortality tables without collar adjustments projected generationally from 2012 with Scale MP-2020 improvements.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104775</wp:posOffset>
            </wp:positionV>
            <wp:extent cx="7139940" cy="825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7139940" cy="8255"/>
                    </a:xfrm>
                    <a:prstGeom prst="rect">
                      <a:avLst/>
                    </a:prstGeom>
                    <a:noFill/>
                  </pic:spPr>
                </pic:pic>
              </a:graphicData>
            </a:graphic>
          </wp:anchor>
        </w:drawing>
      </w:r>
    </w:p>
    <w:p>
      <w:pPr>
        <w:spacing w:after="0" w:line="191" w:lineRule="exact"/>
        <w:rPr>
          <w:sz w:val="20"/>
          <w:szCs w:val="20"/>
          <w:color w:val="auto"/>
        </w:rPr>
      </w:pPr>
    </w:p>
    <w:p>
      <w:pPr>
        <w:jc w:val="right"/>
        <w:spacing w:after="0"/>
        <w:tabs>
          <w:tab w:leader="none" w:pos="140" w:val="left"/>
        </w:tabs>
        <w:rPr>
          <w:sz w:val="20"/>
          <w:szCs w:val="20"/>
          <w:color w:val="auto"/>
        </w:rPr>
      </w:pPr>
      <w:r>
        <w:rPr>
          <w:rFonts w:ascii="Arial" w:cs="Arial" w:eastAsia="Arial" w:hAnsi="Arial"/>
          <w:sz w:val="12"/>
          <w:szCs w:val="12"/>
          <w:color w:val="4395D4"/>
        </w:rPr>
        <w:t xml:space="preserve">ESSENTIAL UTILITIES, INC. </w:t>
      </w:r>
      <w:r>
        <w:rPr>
          <w:rFonts w:ascii="Arial" w:cs="Arial" w:eastAsia="Arial" w:hAnsi="Arial"/>
          <w:sz w:val="12"/>
          <w:szCs w:val="12"/>
          <w:color w:val="455986"/>
        </w:rPr>
        <w:t>2021 PROXY STATEMENT</w:t>
      </w:r>
      <w:r>
        <w:rPr>
          <w:sz w:val="20"/>
          <w:szCs w:val="20"/>
          <w:color w:val="auto"/>
        </w:rPr>
        <w:tab/>
      </w:r>
      <w:r>
        <w:rPr>
          <w:rFonts w:ascii="Arial" w:cs="Arial" w:eastAsia="Arial" w:hAnsi="Arial"/>
          <w:sz w:val="14"/>
          <w:szCs w:val="14"/>
          <w:color w:val="455986"/>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346710</wp:posOffset>
            </wp:positionV>
            <wp:extent cx="7139940" cy="24130"/>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7139940" cy="24130"/>
                    </a:xfrm>
                    <a:prstGeom prst="rect">
                      <a:avLst/>
                    </a:prstGeom>
                    <a:noFill/>
                  </pic:spPr>
                </pic:pic>
              </a:graphicData>
            </a:graphic>
          </wp:anchor>
        </w:drawing>
      </w:r>
    </w:p>
    <w:p>
      <w:pPr>
        <w:sectPr>
          <w:pgSz w:w="11900" w:h="16838" w:orient="portrait"/>
          <w:cols w:equalWidth="0" w:num="1">
            <w:col w:w="11240"/>
          </w:cols>
          <w:pgMar w:left="320" w:top="636" w:right="339" w:bottom="1440" w:gutter="0" w:footer="0" w:header="0"/>
          <w:type w:val="continuous"/>
        </w:sectPr>
      </w:pPr>
    </w:p>
    <w:bookmarkStart w:id="80" w:name="page81"/>
    <w:bookmarkEnd w:id="80"/>
    <w:p>
      <w:pPr>
        <w:spacing w:after="0"/>
        <w:rPr>
          <w:sz w:val="20"/>
          <w:szCs w:val="20"/>
          <w:color w:val="auto"/>
        </w:rPr>
      </w:pPr>
      <w:r>
        <w:rPr>
          <w:rFonts w:ascii="Arial" w:cs="Arial" w:eastAsia="Arial" w:hAnsi="Arial"/>
          <w:sz w:val="14"/>
          <w:szCs w:val="14"/>
          <w:b w:val="1"/>
          <w:bCs w:val="1"/>
          <w:color w:val="455986"/>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27940</wp:posOffset>
            </wp:positionV>
            <wp:extent cx="7139940" cy="825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7139940" cy="8255"/>
                    </a:xfrm>
                    <a:prstGeom prst="rect">
                      <a:avLst/>
                    </a:prstGeom>
                    <a:noFill/>
                  </pic:spPr>
                </pic:pic>
              </a:graphicData>
            </a:graphic>
          </wp:anchor>
        </w:drawing>
      </w:r>
    </w:p>
    <w:p>
      <w:pPr>
        <w:spacing w:after="0" w:line="76" w:lineRule="exact"/>
        <w:rPr>
          <w:sz w:val="20"/>
          <w:szCs w:val="20"/>
          <w:color w:val="auto"/>
        </w:rPr>
      </w:pPr>
    </w:p>
    <w:p>
      <w:pPr>
        <w:spacing w:after="0"/>
        <w:rPr>
          <w:sz w:val="20"/>
          <w:szCs w:val="20"/>
          <w:color w:val="auto"/>
        </w:rPr>
      </w:pPr>
      <w:r>
        <w:rPr>
          <w:rFonts w:ascii="Arial" w:cs="Arial" w:eastAsia="Arial" w:hAnsi="Arial"/>
          <w:sz w:val="14"/>
          <w:szCs w:val="14"/>
          <w:color w:val="231F20"/>
        </w:rPr>
        <w:t>Non-Qualified Deferred Compensation</w:t>
      </w:r>
    </w:p>
    <w:p>
      <w:pPr>
        <w:spacing w:after="0" w:line="163" w:lineRule="exact"/>
        <w:rPr>
          <w:sz w:val="20"/>
          <w:szCs w:val="20"/>
          <w:color w:val="auto"/>
        </w:rPr>
      </w:pPr>
    </w:p>
    <w:p>
      <w:pPr>
        <w:spacing w:after="0"/>
        <w:rPr>
          <w:sz w:val="20"/>
          <w:szCs w:val="20"/>
          <w:color w:val="auto"/>
        </w:rPr>
      </w:pPr>
      <w:r>
        <w:rPr>
          <w:rFonts w:ascii="Arial" w:cs="Arial" w:eastAsia="Arial" w:hAnsi="Arial"/>
          <w:sz w:val="24"/>
          <w:szCs w:val="24"/>
          <w:b w:val="1"/>
          <w:bCs w:val="1"/>
          <w:color w:val="455986"/>
        </w:rPr>
        <w:t>Non-Qualified Deferred Compensation</w:t>
      </w:r>
    </w:p>
    <w:p>
      <w:pPr>
        <w:spacing w:after="0" w:line="169" w:lineRule="exact"/>
        <w:rPr>
          <w:sz w:val="20"/>
          <w:szCs w:val="20"/>
          <w:color w:val="auto"/>
        </w:rPr>
      </w:pPr>
    </w:p>
    <w:p>
      <w:pPr>
        <w:ind w:right="460"/>
        <w:spacing w:after="0" w:line="278" w:lineRule="auto"/>
        <w:rPr>
          <w:sz w:val="20"/>
          <w:szCs w:val="20"/>
          <w:color w:val="auto"/>
        </w:rPr>
      </w:pPr>
      <w:r>
        <w:rPr>
          <w:rFonts w:ascii="Arial" w:cs="Arial" w:eastAsia="Arial" w:hAnsi="Arial"/>
          <w:sz w:val="14"/>
          <w:szCs w:val="14"/>
          <w:color w:val="231F20"/>
        </w:rPr>
        <w:t>The following table contains information regarding contributions to, earnings on, withdrawals from and balances as of December 31, 2020 for our non-qualified Executive Deferral Plan.</w:t>
      </w:r>
    </w:p>
    <w:p>
      <w:pPr>
        <w:spacing w:after="0" w:line="90"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Non-Qualified Deferred Compensation</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900" w:type="dxa"/>
            <w:vAlign w:val="bottom"/>
          </w:tcPr>
          <w:p>
            <w:pPr>
              <w:spacing w:after="0"/>
              <w:rPr>
                <w:sz w:val="14"/>
                <w:szCs w:val="14"/>
                <w:color w:val="auto"/>
              </w:rPr>
            </w:pPr>
          </w:p>
        </w:tc>
        <w:tc>
          <w:tcPr>
            <w:tcW w:w="2980" w:type="dxa"/>
            <w:vAlign w:val="bottom"/>
          </w:tcPr>
          <w:p>
            <w:pPr>
              <w:spacing w:after="0"/>
              <w:rPr>
                <w:sz w:val="14"/>
                <w:szCs w:val="14"/>
                <w:color w:val="auto"/>
              </w:rPr>
            </w:pPr>
          </w:p>
        </w:tc>
        <w:tc>
          <w:tcPr>
            <w:tcW w:w="1660" w:type="dxa"/>
            <w:vAlign w:val="bottom"/>
          </w:tcPr>
          <w:p>
            <w:pPr>
              <w:jc w:val="right"/>
              <w:ind w:right="272"/>
              <w:spacing w:after="0"/>
              <w:rPr>
                <w:sz w:val="20"/>
                <w:szCs w:val="20"/>
                <w:color w:val="auto"/>
              </w:rPr>
            </w:pPr>
            <w:r>
              <w:rPr>
                <w:rFonts w:ascii="Arial" w:cs="Arial" w:eastAsia="Arial" w:hAnsi="Arial"/>
                <w:sz w:val="14"/>
                <w:szCs w:val="14"/>
                <w:color w:val="455986"/>
              </w:rPr>
              <w:t>Individual</w:t>
            </w:r>
          </w:p>
        </w:tc>
        <w:tc>
          <w:tcPr>
            <w:tcW w:w="170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165"/>
        </w:trPr>
        <w:tc>
          <w:tcPr>
            <w:tcW w:w="1900" w:type="dxa"/>
            <w:vAlign w:val="bottom"/>
          </w:tcPr>
          <w:p>
            <w:pPr>
              <w:spacing w:after="0"/>
              <w:rPr>
                <w:sz w:val="14"/>
                <w:szCs w:val="14"/>
                <w:color w:val="auto"/>
              </w:rPr>
            </w:pPr>
          </w:p>
        </w:tc>
        <w:tc>
          <w:tcPr>
            <w:tcW w:w="2980" w:type="dxa"/>
            <w:vAlign w:val="bottom"/>
          </w:tcPr>
          <w:p>
            <w:pPr>
              <w:jc w:val="right"/>
              <w:ind w:right="312"/>
              <w:spacing w:after="0"/>
              <w:rPr>
                <w:sz w:val="20"/>
                <w:szCs w:val="20"/>
                <w:color w:val="auto"/>
              </w:rPr>
            </w:pPr>
            <w:r>
              <w:rPr>
                <w:rFonts w:ascii="Arial" w:cs="Arial" w:eastAsia="Arial" w:hAnsi="Arial"/>
                <w:sz w:val="14"/>
                <w:szCs w:val="14"/>
                <w:color w:val="455986"/>
              </w:rPr>
              <w:t>Registrant</w:t>
            </w:r>
          </w:p>
        </w:tc>
        <w:tc>
          <w:tcPr>
            <w:tcW w:w="1660" w:type="dxa"/>
            <w:vAlign w:val="bottom"/>
          </w:tcPr>
          <w:p>
            <w:pPr>
              <w:jc w:val="right"/>
              <w:ind w:right="272"/>
              <w:spacing w:after="0"/>
              <w:rPr>
                <w:sz w:val="20"/>
                <w:szCs w:val="20"/>
                <w:color w:val="auto"/>
              </w:rPr>
            </w:pPr>
            <w:r>
              <w:rPr>
                <w:rFonts w:ascii="Arial" w:cs="Arial" w:eastAsia="Arial" w:hAnsi="Arial"/>
                <w:sz w:val="14"/>
                <w:szCs w:val="14"/>
                <w:color w:val="455986"/>
              </w:rPr>
              <w:t>Contributions in</w:t>
            </w:r>
          </w:p>
        </w:tc>
        <w:tc>
          <w:tcPr>
            <w:tcW w:w="1700" w:type="dxa"/>
            <w:vAlign w:val="bottom"/>
          </w:tcPr>
          <w:p>
            <w:pPr>
              <w:jc w:val="right"/>
              <w:ind w:right="292"/>
              <w:spacing w:after="0"/>
              <w:rPr>
                <w:sz w:val="20"/>
                <w:szCs w:val="20"/>
                <w:color w:val="auto"/>
              </w:rPr>
            </w:pPr>
            <w:r>
              <w:rPr>
                <w:rFonts w:ascii="Arial" w:cs="Arial" w:eastAsia="Arial" w:hAnsi="Arial"/>
                <w:sz w:val="14"/>
                <w:szCs w:val="14"/>
                <w:color w:val="455986"/>
              </w:rPr>
              <w:t>Aggregate</w:t>
            </w:r>
          </w:p>
        </w:tc>
        <w:tc>
          <w:tcPr>
            <w:tcW w:w="1720" w:type="dxa"/>
            <w:vAlign w:val="bottom"/>
          </w:tcPr>
          <w:p>
            <w:pPr>
              <w:jc w:val="right"/>
              <w:ind w:right="332"/>
              <w:spacing w:after="0"/>
              <w:rPr>
                <w:sz w:val="20"/>
                <w:szCs w:val="20"/>
                <w:color w:val="auto"/>
              </w:rPr>
            </w:pPr>
            <w:r>
              <w:rPr>
                <w:rFonts w:ascii="Arial" w:cs="Arial" w:eastAsia="Arial" w:hAnsi="Arial"/>
                <w:sz w:val="14"/>
                <w:szCs w:val="14"/>
                <w:color w:val="455986"/>
              </w:rPr>
              <w:t>Aggregate</w:t>
            </w:r>
          </w:p>
        </w:tc>
        <w:tc>
          <w:tcPr>
            <w:tcW w:w="1280" w:type="dxa"/>
            <w:vAlign w:val="bottom"/>
          </w:tcPr>
          <w:p>
            <w:pPr>
              <w:jc w:val="right"/>
              <w:spacing w:after="0"/>
              <w:rPr>
                <w:sz w:val="20"/>
                <w:szCs w:val="20"/>
                <w:color w:val="auto"/>
              </w:rPr>
            </w:pPr>
            <w:r>
              <w:rPr>
                <w:rFonts w:ascii="Arial" w:cs="Arial" w:eastAsia="Arial" w:hAnsi="Arial"/>
                <w:sz w:val="14"/>
                <w:szCs w:val="14"/>
                <w:color w:val="455986"/>
              </w:rPr>
              <w:t>Aggregate</w:t>
            </w:r>
          </w:p>
        </w:tc>
      </w:tr>
      <w:tr>
        <w:trPr>
          <w:trHeight w:val="153"/>
        </w:trPr>
        <w:tc>
          <w:tcPr>
            <w:tcW w:w="1900" w:type="dxa"/>
            <w:vAlign w:val="bottom"/>
          </w:tcPr>
          <w:p>
            <w:pPr>
              <w:spacing w:after="0"/>
              <w:rPr>
                <w:sz w:val="13"/>
                <w:szCs w:val="13"/>
                <w:color w:val="auto"/>
              </w:rPr>
            </w:pPr>
          </w:p>
        </w:tc>
        <w:tc>
          <w:tcPr>
            <w:tcW w:w="2980" w:type="dxa"/>
            <w:vAlign w:val="bottom"/>
          </w:tcPr>
          <w:p>
            <w:pPr>
              <w:jc w:val="right"/>
              <w:ind w:right="312"/>
              <w:spacing w:after="0" w:line="153" w:lineRule="exact"/>
              <w:rPr>
                <w:sz w:val="20"/>
                <w:szCs w:val="20"/>
                <w:color w:val="auto"/>
              </w:rPr>
            </w:pPr>
            <w:r>
              <w:rPr>
                <w:rFonts w:ascii="Arial" w:cs="Arial" w:eastAsia="Arial" w:hAnsi="Arial"/>
                <w:sz w:val="14"/>
                <w:szCs w:val="14"/>
                <w:color w:val="455986"/>
              </w:rPr>
              <w:t>Contributions in Last</w:t>
            </w:r>
          </w:p>
        </w:tc>
        <w:tc>
          <w:tcPr>
            <w:tcW w:w="1660" w:type="dxa"/>
            <w:vAlign w:val="bottom"/>
          </w:tcPr>
          <w:p>
            <w:pPr>
              <w:jc w:val="right"/>
              <w:ind w:right="272"/>
              <w:spacing w:after="0" w:line="153" w:lineRule="exact"/>
              <w:rPr>
                <w:sz w:val="20"/>
                <w:szCs w:val="20"/>
                <w:color w:val="auto"/>
              </w:rPr>
            </w:pPr>
            <w:r>
              <w:rPr>
                <w:rFonts w:ascii="Arial" w:cs="Arial" w:eastAsia="Arial" w:hAnsi="Arial"/>
                <w:sz w:val="14"/>
                <w:szCs w:val="14"/>
                <w:color w:val="455986"/>
              </w:rPr>
              <w:t>Last FY</w:t>
            </w:r>
          </w:p>
        </w:tc>
        <w:tc>
          <w:tcPr>
            <w:tcW w:w="1700" w:type="dxa"/>
            <w:vAlign w:val="bottom"/>
          </w:tcPr>
          <w:p>
            <w:pPr>
              <w:jc w:val="right"/>
              <w:ind w:right="292"/>
              <w:spacing w:after="0" w:line="153" w:lineRule="exact"/>
              <w:rPr>
                <w:sz w:val="20"/>
                <w:szCs w:val="20"/>
                <w:color w:val="auto"/>
              </w:rPr>
            </w:pPr>
            <w:r>
              <w:rPr>
                <w:rFonts w:ascii="Arial" w:cs="Arial" w:eastAsia="Arial" w:hAnsi="Arial"/>
                <w:sz w:val="14"/>
                <w:szCs w:val="14"/>
                <w:color w:val="455986"/>
              </w:rPr>
              <w:t>Earnings in Last</w:t>
            </w:r>
          </w:p>
        </w:tc>
        <w:tc>
          <w:tcPr>
            <w:tcW w:w="1720" w:type="dxa"/>
            <w:vAlign w:val="bottom"/>
          </w:tcPr>
          <w:p>
            <w:pPr>
              <w:jc w:val="right"/>
              <w:ind w:right="332"/>
              <w:spacing w:after="0" w:line="153" w:lineRule="exact"/>
              <w:rPr>
                <w:sz w:val="20"/>
                <w:szCs w:val="20"/>
                <w:color w:val="auto"/>
              </w:rPr>
            </w:pPr>
            <w:r>
              <w:rPr>
                <w:rFonts w:ascii="Arial" w:cs="Arial" w:eastAsia="Arial" w:hAnsi="Arial"/>
                <w:sz w:val="14"/>
                <w:szCs w:val="14"/>
                <w:color w:val="455986"/>
              </w:rPr>
              <w:t>Withdrawals/</w:t>
            </w:r>
          </w:p>
        </w:tc>
        <w:tc>
          <w:tcPr>
            <w:tcW w:w="1280" w:type="dxa"/>
            <w:vAlign w:val="bottom"/>
          </w:tcPr>
          <w:p>
            <w:pPr>
              <w:jc w:val="right"/>
              <w:spacing w:after="0" w:line="153" w:lineRule="exact"/>
              <w:rPr>
                <w:sz w:val="20"/>
                <w:szCs w:val="20"/>
                <w:color w:val="auto"/>
              </w:rPr>
            </w:pPr>
            <w:r>
              <w:rPr>
                <w:rFonts w:ascii="Arial" w:cs="Arial" w:eastAsia="Arial" w:hAnsi="Arial"/>
                <w:sz w:val="14"/>
                <w:szCs w:val="14"/>
                <w:color w:val="455986"/>
              </w:rPr>
              <w:t>Balance at</w:t>
            </w:r>
          </w:p>
        </w:tc>
      </w:tr>
      <w:tr>
        <w:trPr>
          <w:trHeight w:val="230"/>
        </w:trPr>
        <w:tc>
          <w:tcPr>
            <w:tcW w:w="1900" w:type="dxa"/>
            <w:vAlign w:val="bottom"/>
            <w:tcBorders>
              <w:bottom w:val="single" w:sz="8" w:color="4395D4"/>
            </w:tcBorders>
          </w:tcPr>
          <w:p>
            <w:pPr>
              <w:spacing w:after="0"/>
              <w:rPr>
                <w:sz w:val="20"/>
                <w:szCs w:val="20"/>
                <w:color w:val="auto"/>
              </w:rPr>
            </w:pPr>
            <w:r>
              <w:rPr>
                <w:rFonts w:ascii="Arial" w:cs="Arial" w:eastAsia="Arial" w:hAnsi="Arial"/>
                <w:sz w:val="14"/>
                <w:szCs w:val="14"/>
                <w:color w:val="455986"/>
              </w:rPr>
              <w:t>Name</w:t>
            </w:r>
          </w:p>
        </w:tc>
        <w:tc>
          <w:tcPr>
            <w:tcW w:w="2980" w:type="dxa"/>
            <w:vAlign w:val="bottom"/>
            <w:tcBorders>
              <w:bottom w:val="single" w:sz="8" w:color="4395D4"/>
            </w:tcBorders>
          </w:tcPr>
          <w:p>
            <w:pPr>
              <w:jc w:val="right"/>
              <w:ind w:right="312"/>
              <w:spacing w:after="0" w:line="229" w:lineRule="exact"/>
              <w:rPr>
                <w:sz w:val="20"/>
                <w:szCs w:val="20"/>
                <w:color w:val="auto"/>
              </w:rPr>
            </w:pPr>
            <w:r>
              <w:rPr>
                <w:rFonts w:ascii="Arial" w:cs="Arial" w:eastAsia="Arial" w:hAnsi="Arial"/>
                <w:sz w:val="14"/>
                <w:szCs w:val="14"/>
                <w:color w:val="455986"/>
              </w:rPr>
              <w:t>FY ($)</w:t>
            </w:r>
            <w:r>
              <w:rPr>
                <w:rFonts w:ascii="Arial" w:cs="Arial" w:eastAsia="Arial" w:hAnsi="Arial"/>
                <w:sz w:val="22"/>
                <w:szCs w:val="22"/>
                <w:color w:val="455986"/>
                <w:vertAlign w:val="superscript"/>
              </w:rPr>
              <w:t>(1)</w:t>
            </w:r>
          </w:p>
        </w:tc>
        <w:tc>
          <w:tcPr>
            <w:tcW w:w="1660" w:type="dxa"/>
            <w:vAlign w:val="bottom"/>
            <w:tcBorders>
              <w:bottom w:val="single" w:sz="8" w:color="4395D4"/>
            </w:tcBorders>
          </w:tcPr>
          <w:p>
            <w:pPr>
              <w:jc w:val="right"/>
              <w:ind w:right="272"/>
              <w:spacing w:after="0" w:line="229" w:lineRule="exact"/>
              <w:rPr>
                <w:sz w:val="20"/>
                <w:szCs w:val="20"/>
                <w:color w:val="auto"/>
              </w:rPr>
            </w:pPr>
            <w:r>
              <w:rPr>
                <w:rFonts w:ascii="Arial" w:cs="Arial" w:eastAsia="Arial" w:hAnsi="Arial"/>
                <w:sz w:val="14"/>
                <w:szCs w:val="14"/>
                <w:color w:val="455986"/>
              </w:rPr>
              <w:t>($)</w:t>
            </w:r>
            <w:r>
              <w:rPr>
                <w:rFonts w:ascii="Arial" w:cs="Arial" w:eastAsia="Arial" w:hAnsi="Arial"/>
                <w:sz w:val="22"/>
                <w:szCs w:val="22"/>
                <w:color w:val="455986"/>
                <w:vertAlign w:val="superscript"/>
              </w:rPr>
              <w:t>(1)</w:t>
            </w:r>
          </w:p>
        </w:tc>
        <w:tc>
          <w:tcPr>
            <w:tcW w:w="1700" w:type="dxa"/>
            <w:vAlign w:val="bottom"/>
            <w:tcBorders>
              <w:bottom w:val="single" w:sz="8" w:color="4395D4"/>
            </w:tcBorders>
          </w:tcPr>
          <w:p>
            <w:pPr>
              <w:jc w:val="right"/>
              <w:ind w:right="292"/>
              <w:spacing w:after="0" w:line="229" w:lineRule="exact"/>
              <w:rPr>
                <w:sz w:val="20"/>
                <w:szCs w:val="20"/>
                <w:color w:val="auto"/>
              </w:rPr>
            </w:pPr>
            <w:r>
              <w:rPr>
                <w:rFonts w:ascii="Arial" w:cs="Arial" w:eastAsia="Arial" w:hAnsi="Arial"/>
                <w:sz w:val="14"/>
                <w:szCs w:val="14"/>
                <w:color w:val="455986"/>
              </w:rPr>
              <w:t>FY ($)</w:t>
            </w:r>
            <w:r>
              <w:rPr>
                <w:rFonts w:ascii="Arial" w:cs="Arial" w:eastAsia="Arial" w:hAnsi="Arial"/>
                <w:sz w:val="22"/>
                <w:szCs w:val="22"/>
                <w:color w:val="455986"/>
                <w:vertAlign w:val="superscript"/>
              </w:rPr>
              <w:t>(2)</w:t>
            </w:r>
          </w:p>
        </w:tc>
        <w:tc>
          <w:tcPr>
            <w:tcW w:w="1720" w:type="dxa"/>
            <w:vAlign w:val="bottom"/>
            <w:tcBorders>
              <w:bottom w:val="single" w:sz="8" w:color="4395D4"/>
            </w:tcBorders>
          </w:tcPr>
          <w:p>
            <w:pPr>
              <w:jc w:val="right"/>
              <w:ind w:right="332"/>
              <w:spacing w:after="0"/>
              <w:rPr>
                <w:sz w:val="20"/>
                <w:szCs w:val="20"/>
                <w:color w:val="auto"/>
              </w:rPr>
            </w:pPr>
            <w:r>
              <w:rPr>
                <w:rFonts w:ascii="Arial" w:cs="Arial" w:eastAsia="Arial" w:hAnsi="Arial"/>
                <w:sz w:val="14"/>
                <w:szCs w:val="14"/>
                <w:color w:val="455986"/>
              </w:rPr>
              <w:t>Distributions ($)</w:t>
            </w:r>
          </w:p>
        </w:tc>
        <w:tc>
          <w:tcPr>
            <w:tcW w:w="1280" w:type="dxa"/>
            <w:vAlign w:val="bottom"/>
            <w:tcBorders>
              <w:bottom w:val="single" w:sz="8" w:color="4395D4"/>
            </w:tcBorders>
          </w:tcPr>
          <w:p>
            <w:pPr>
              <w:jc w:val="right"/>
              <w:spacing w:after="0" w:line="229" w:lineRule="exact"/>
              <w:rPr>
                <w:sz w:val="20"/>
                <w:szCs w:val="20"/>
                <w:color w:val="auto"/>
              </w:rPr>
            </w:pPr>
            <w:r>
              <w:rPr>
                <w:rFonts w:ascii="Arial" w:cs="Arial" w:eastAsia="Arial" w:hAnsi="Arial"/>
                <w:sz w:val="14"/>
                <w:szCs w:val="14"/>
                <w:color w:val="455986"/>
              </w:rPr>
              <w:t>Last FYE ($)</w:t>
            </w:r>
            <w:r>
              <w:rPr>
                <w:rFonts w:ascii="Arial" w:cs="Arial" w:eastAsia="Arial" w:hAnsi="Arial"/>
                <w:sz w:val="22"/>
                <w:szCs w:val="22"/>
                <w:color w:val="455986"/>
                <w:vertAlign w:val="superscript"/>
              </w:rPr>
              <w:t>(3)</w:t>
            </w:r>
          </w:p>
        </w:tc>
      </w:tr>
      <w:tr>
        <w:trPr>
          <w:trHeight w:val="221"/>
        </w:trPr>
        <w:tc>
          <w:tcPr>
            <w:tcW w:w="1900" w:type="dxa"/>
            <w:vAlign w:val="bottom"/>
          </w:tcPr>
          <w:p>
            <w:pPr>
              <w:spacing w:after="0"/>
              <w:rPr>
                <w:sz w:val="20"/>
                <w:szCs w:val="20"/>
                <w:color w:val="auto"/>
              </w:rPr>
            </w:pPr>
            <w:r>
              <w:rPr>
                <w:rFonts w:ascii="Arial" w:cs="Arial" w:eastAsia="Arial" w:hAnsi="Arial"/>
                <w:sz w:val="14"/>
                <w:szCs w:val="14"/>
                <w:b w:val="1"/>
                <w:bCs w:val="1"/>
                <w:color w:val="455986"/>
              </w:rPr>
              <w:t>Franklin</w:t>
            </w:r>
          </w:p>
        </w:tc>
        <w:tc>
          <w:tcPr>
            <w:tcW w:w="2980" w:type="dxa"/>
            <w:vAlign w:val="bottom"/>
          </w:tcPr>
          <w:p>
            <w:pPr>
              <w:jc w:val="right"/>
              <w:ind w:right="312"/>
              <w:spacing w:after="0"/>
              <w:rPr>
                <w:sz w:val="20"/>
                <w:szCs w:val="20"/>
                <w:color w:val="auto"/>
              </w:rPr>
            </w:pPr>
            <w:r>
              <w:rPr>
                <w:rFonts w:ascii="Arial" w:cs="Arial" w:eastAsia="Arial" w:hAnsi="Arial"/>
                <w:sz w:val="14"/>
                <w:szCs w:val="14"/>
                <w:color w:val="auto"/>
              </w:rPr>
              <w:t>15,387</w:t>
            </w:r>
          </w:p>
        </w:tc>
        <w:tc>
          <w:tcPr>
            <w:tcW w:w="1660" w:type="dxa"/>
            <w:vAlign w:val="bottom"/>
          </w:tcPr>
          <w:p>
            <w:pPr>
              <w:jc w:val="right"/>
              <w:ind w:right="272"/>
              <w:spacing w:after="0"/>
              <w:rPr>
                <w:sz w:val="20"/>
                <w:szCs w:val="20"/>
                <w:color w:val="auto"/>
              </w:rPr>
            </w:pPr>
            <w:r>
              <w:rPr>
                <w:rFonts w:ascii="Arial" w:cs="Arial" w:eastAsia="Arial" w:hAnsi="Arial"/>
                <w:sz w:val="14"/>
                <w:szCs w:val="14"/>
                <w:color w:val="auto"/>
              </w:rPr>
              <w:t>—</w:t>
            </w:r>
          </w:p>
        </w:tc>
        <w:tc>
          <w:tcPr>
            <w:tcW w:w="1700" w:type="dxa"/>
            <w:vAlign w:val="bottom"/>
          </w:tcPr>
          <w:p>
            <w:pPr>
              <w:jc w:val="right"/>
              <w:ind w:right="292"/>
              <w:spacing w:after="0"/>
              <w:rPr>
                <w:sz w:val="20"/>
                <w:szCs w:val="20"/>
                <w:color w:val="auto"/>
              </w:rPr>
            </w:pPr>
            <w:r>
              <w:rPr>
                <w:rFonts w:ascii="Arial" w:cs="Arial" w:eastAsia="Arial" w:hAnsi="Arial"/>
                <w:sz w:val="14"/>
                <w:szCs w:val="14"/>
                <w:color w:val="auto"/>
              </w:rPr>
              <w:t>14,956</w:t>
            </w:r>
          </w:p>
        </w:tc>
        <w:tc>
          <w:tcPr>
            <w:tcW w:w="1720" w:type="dxa"/>
            <w:vAlign w:val="bottom"/>
          </w:tcPr>
          <w:p>
            <w:pPr>
              <w:jc w:val="right"/>
              <w:ind w:right="332"/>
              <w:spacing w:after="0"/>
              <w:rPr>
                <w:sz w:val="20"/>
                <w:szCs w:val="20"/>
                <w:color w:val="auto"/>
              </w:rPr>
            </w:pPr>
            <w:r>
              <w:rPr>
                <w:rFonts w:ascii="Arial" w:cs="Arial" w:eastAsia="Arial" w:hAnsi="Arial"/>
                <w:sz w:val="14"/>
                <w:szCs w:val="14"/>
                <w:color w:val="auto"/>
              </w:rPr>
              <w:t>—</w:t>
            </w:r>
          </w:p>
        </w:tc>
        <w:tc>
          <w:tcPr>
            <w:tcW w:w="1280" w:type="dxa"/>
            <w:vAlign w:val="bottom"/>
          </w:tcPr>
          <w:p>
            <w:pPr>
              <w:jc w:val="right"/>
              <w:spacing w:after="0"/>
              <w:rPr>
                <w:sz w:val="20"/>
                <w:szCs w:val="20"/>
                <w:color w:val="auto"/>
              </w:rPr>
            </w:pPr>
            <w:r>
              <w:rPr>
                <w:rFonts w:ascii="Arial" w:cs="Arial" w:eastAsia="Arial" w:hAnsi="Arial"/>
                <w:sz w:val="14"/>
                <w:szCs w:val="14"/>
                <w:color w:val="auto"/>
              </w:rPr>
              <w:t>136,317</w:t>
            </w:r>
          </w:p>
        </w:tc>
      </w:tr>
      <w:tr>
        <w:trPr>
          <w:trHeight w:val="27"/>
        </w:trPr>
        <w:tc>
          <w:tcPr>
            <w:tcW w:w="1900" w:type="dxa"/>
            <w:vAlign w:val="bottom"/>
            <w:tcBorders>
              <w:bottom w:val="single" w:sz="8" w:color="auto"/>
            </w:tcBorders>
          </w:tcPr>
          <w:p>
            <w:pPr>
              <w:spacing w:after="0"/>
              <w:rPr>
                <w:sz w:val="2"/>
                <w:szCs w:val="2"/>
                <w:color w:val="auto"/>
              </w:rPr>
            </w:pPr>
          </w:p>
        </w:tc>
        <w:tc>
          <w:tcPr>
            <w:tcW w:w="298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21"/>
        </w:trPr>
        <w:tc>
          <w:tcPr>
            <w:tcW w:w="1900" w:type="dxa"/>
            <w:vAlign w:val="bottom"/>
          </w:tcPr>
          <w:p>
            <w:pPr>
              <w:spacing w:after="0"/>
              <w:rPr>
                <w:sz w:val="20"/>
                <w:szCs w:val="20"/>
                <w:color w:val="auto"/>
              </w:rPr>
            </w:pPr>
            <w:r>
              <w:rPr>
                <w:rFonts w:ascii="Arial" w:cs="Arial" w:eastAsia="Arial" w:hAnsi="Arial"/>
                <w:sz w:val="14"/>
                <w:szCs w:val="14"/>
                <w:b w:val="1"/>
                <w:bCs w:val="1"/>
                <w:color w:val="455986"/>
              </w:rPr>
              <w:t>Schuller</w:t>
            </w:r>
          </w:p>
        </w:tc>
        <w:tc>
          <w:tcPr>
            <w:tcW w:w="2980" w:type="dxa"/>
            <w:vAlign w:val="bottom"/>
          </w:tcPr>
          <w:p>
            <w:pPr>
              <w:jc w:val="right"/>
              <w:ind w:right="312"/>
              <w:spacing w:after="0"/>
              <w:rPr>
                <w:sz w:val="20"/>
                <w:szCs w:val="20"/>
                <w:color w:val="auto"/>
              </w:rPr>
            </w:pPr>
            <w:r>
              <w:rPr>
                <w:rFonts w:ascii="Arial" w:cs="Arial" w:eastAsia="Arial" w:hAnsi="Arial"/>
                <w:sz w:val="14"/>
                <w:szCs w:val="14"/>
                <w:color w:val="auto"/>
              </w:rPr>
              <w:t>33,290</w:t>
            </w:r>
          </w:p>
        </w:tc>
        <w:tc>
          <w:tcPr>
            <w:tcW w:w="1660" w:type="dxa"/>
            <w:vAlign w:val="bottom"/>
          </w:tcPr>
          <w:p>
            <w:pPr>
              <w:jc w:val="right"/>
              <w:ind w:right="272"/>
              <w:spacing w:after="0"/>
              <w:rPr>
                <w:sz w:val="20"/>
                <w:szCs w:val="20"/>
                <w:color w:val="auto"/>
              </w:rPr>
            </w:pPr>
            <w:r>
              <w:rPr>
                <w:rFonts w:ascii="Arial" w:cs="Arial" w:eastAsia="Arial" w:hAnsi="Arial"/>
                <w:sz w:val="14"/>
                <w:szCs w:val="14"/>
                <w:color w:val="auto"/>
              </w:rPr>
              <w:t>—</w:t>
            </w:r>
          </w:p>
        </w:tc>
        <w:tc>
          <w:tcPr>
            <w:tcW w:w="1700" w:type="dxa"/>
            <w:vAlign w:val="bottom"/>
          </w:tcPr>
          <w:p>
            <w:pPr>
              <w:jc w:val="right"/>
              <w:ind w:right="292"/>
              <w:spacing w:after="0"/>
              <w:rPr>
                <w:sz w:val="20"/>
                <w:szCs w:val="20"/>
                <w:color w:val="auto"/>
              </w:rPr>
            </w:pPr>
            <w:r>
              <w:rPr>
                <w:rFonts w:ascii="Arial" w:cs="Arial" w:eastAsia="Arial" w:hAnsi="Arial"/>
                <w:sz w:val="14"/>
                <w:szCs w:val="14"/>
                <w:color w:val="auto"/>
              </w:rPr>
              <w:t>1,505</w:t>
            </w:r>
          </w:p>
        </w:tc>
        <w:tc>
          <w:tcPr>
            <w:tcW w:w="1720" w:type="dxa"/>
            <w:vAlign w:val="bottom"/>
          </w:tcPr>
          <w:p>
            <w:pPr>
              <w:jc w:val="right"/>
              <w:ind w:right="332"/>
              <w:spacing w:after="0"/>
              <w:rPr>
                <w:sz w:val="20"/>
                <w:szCs w:val="20"/>
                <w:color w:val="auto"/>
              </w:rPr>
            </w:pPr>
            <w:r>
              <w:rPr>
                <w:rFonts w:ascii="Arial" w:cs="Arial" w:eastAsia="Arial" w:hAnsi="Arial"/>
                <w:sz w:val="14"/>
                <w:szCs w:val="14"/>
                <w:color w:val="auto"/>
              </w:rPr>
              <w:t>—</w:t>
            </w:r>
          </w:p>
        </w:tc>
        <w:tc>
          <w:tcPr>
            <w:tcW w:w="1280" w:type="dxa"/>
            <w:vAlign w:val="bottom"/>
          </w:tcPr>
          <w:p>
            <w:pPr>
              <w:jc w:val="right"/>
              <w:spacing w:after="0"/>
              <w:rPr>
                <w:sz w:val="20"/>
                <w:szCs w:val="20"/>
                <w:color w:val="auto"/>
              </w:rPr>
            </w:pPr>
            <w:r>
              <w:rPr>
                <w:rFonts w:ascii="Arial" w:cs="Arial" w:eastAsia="Arial" w:hAnsi="Arial"/>
                <w:sz w:val="14"/>
                <w:szCs w:val="14"/>
                <w:color w:val="auto"/>
              </w:rPr>
              <w:t>43,032</w:t>
            </w:r>
          </w:p>
        </w:tc>
      </w:tr>
      <w:tr>
        <w:trPr>
          <w:trHeight w:val="27"/>
        </w:trPr>
        <w:tc>
          <w:tcPr>
            <w:tcW w:w="1900" w:type="dxa"/>
            <w:vAlign w:val="bottom"/>
            <w:tcBorders>
              <w:bottom w:val="single" w:sz="8" w:color="auto"/>
            </w:tcBorders>
          </w:tcPr>
          <w:p>
            <w:pPr>
              <w:spacing w:after="0"/>
              <w:rPr>
                <w:sz w:val="2"/>
                <w:szCs w:val="2"/>
                <w:color w:val="auto"/>
              </w:rPr>
            </w:pPr>
          </w:p>
        </w:tc>
        <w:tc>
          <w:tcPr>
            <w:tcW w:w="298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21"/>
        </w:trPr>
        <w:tc>
          <w:tcPr>
            <w:tcW w:w="1900" w:type="dxa"/>
            <w:vAlign w:val="bottom"/>
          </w:tcPr>
          <w:p>
            <w:pPr>
              <w:spacing w:after="0"/>
              <w:rPr>
                <w:sz w:val="20"/>
                <w:szCs w:val="20"/>
                <w:color w:val="auto"/>
              </w:rPr>
            </w:pPr>
            <w:r>
              <w:rPr>
                <w:rFonts w:ascii="Arial" w:cs="Arial" w:eastAsia="Arial" w:hAnsi="Arial"/>
                <w:sz w:val="14"/>
                <w:szCs w:val="14"/>
                <w:b w:val="1"/>
                <w:bCs w:val="1"/>
                <w:color w:val="455986"/>
              </w:rPr>
              <w:t>Fox</w:t>
            </w:r>
          </w:p>
        </w:tc>
        <w:tc>
          <w:tcPr>
            <w:tcW w:w="2980" w:type="dxa"/>
            <w:vAlign w:val="bottom"/>
          </w:tcPr>
          <w:p>
            <w:pPr>
              <w:jc w:val="right"/>
              <w:ind w:right="312"/>
              <w:spacing w:after="0"/>
              <w:rPr>
                <w:sz w:val="20"/>
                <w:szCs w:val="20"/>
                <w:color w:val="auto"/>
              </w:rPr>
            </w:pPr>
            <w:r>
              <w:rPr>
                <w:rFonts w:ascii="Arial" w:cs="Arial" w:eastAsia="Arial" w:hAnsi="Arial"/>
                <w:sz w:val="14"/>
                <w:szCs w:val="14"/>
                <w:color w:val="auto"/>
              </w:rPr>
              <w:t>3,440</w:t>
            </w:r>
          </w:p>
        </w:tc>
        <w:tc>
          <w:tcPr>
            <w:tcW w:w="1660" w:type="dxa"/>
            <w:vAlign w:val="bottom"/>
          </w:tcPr>
          <w:p>
            <w:pPr>
              <w:jc w:val="right"/>
              <w:ind w:right="272"/>
              <w:spacing w:after="0"/>
              <w:rPr>
                <w:sz w:val="20"/>
                <w:szCs w:val="20"/>
                <w:color w:val="auto"/>
              </w:rPr>
            </w:pPr>
            <w:r>
              <w:rPr>
                <w:rFonts w:ascii="Arial" w:cs="Arial" w:eastAsia="Arial" w:hAnsi="Arial"/>
                <w:sz w:val="14"/>
                <w:szCs w:val="14"/>
                <w:color w:val="auto"/>
              </w:rPr>
              <w:t>113,231</w:t>
            </w:r>
          </w:p>
        </w:tc>
        <w:tc>
          <w:tcPr>
            <w:tcW w:w="1700" w:type="dxa"/>
            <w:vAlign w:val="bottom"/>
          </w:tcPr>
          <w:p>
            <w:pPr>
              <w:jc w:val="right"/>
              <w:ind w:right="292"/>
              <w:spacing w:after="0"/>
              <w:rPr>
                <w:sz w:val="20"/>
                <w:szCs w:val="20"/>
                <w:color w:val="auto"/>
              </w:rPr>
            </w:pPr>
            <w:r>
              <w:rPr>
                <w:rFonts w:ascii="Arial" w:cs="Arial" w:eastAsia="Arial" w:hAnsi="Arial"/>
                <w:sz w:val="14"/>
                <w:szCs w:val="14"/>
                <w:color w:val="auto"/>
              </w:rPr>
              <w:t>64,844</w:t>
            </w:r>
          </w:p>
        </w:tc>
        <w:tc>
          <w:tcPr>
            <w:tcW w:w="1720" w:type="dxa"/>
            <w:vAlign w:val="bottom"/>
          </w:tcPr>
          <w:p>
            <w:pPr>
              <w:jc w:val="right"/>
              <w:ind w:right="332"/>
              <w:spacing w:after="0"/>
              <w:rPr>
                <w:sz w:val="20"/>
                <w:szCs w:val="20"/>
                <w:color w:val="auto"/>
              </w:rPr>
            </w:pPr>
            <w:r>
              <w:rPr>
                <w:rFonts w:ascii="Arial" w:cs="Arial" w:eastAsia="Arial" w:hAnsi="Arial"/>
                <w:sz w:val="14"/>
                <w:szCs w:val="14"/>
                <w:color w:val="auto"/>
              </w:rPr>
              <w:t>—</w:t>
            </w:r>
          </w:p>
        </w:tc>
        <w:tc>
          <w:tcPr>
            <w:tcW w:w="1280" w:type="dxa"/>
            <w:vAlign w:val="bottom"/>
          </w:tcPr>
          <w:p>
            <w:pPr>
              <w:jc w:val="right"/>
              <w:spacing w:after="0"/>
              <w:rPr>
                <w:sz w:val="20"/>
                <w:szCs w:val="20"/>
                <w:color w:val="auto"/>
              </w:rPr>
            </w:pPr>
            <w:r>
              <w:rPr>
                <w:rFonts w:ascii="Arial" w:cs="Arial" w:eastAsia="Arial" w:hAnsi="Arial"/>
                <w:sz w:val="14"/>
                <w:szCs w:val="14"/>
                <w:color w:val="auto"/>
              </w:rPr>
              <w:t>552,178</w:t>
            </w:r>
          </w:p>
        </w:tc>
      </w:tr>
      <w:tr>
        <w:trPr>
          <w:trHeight w:val="27"/>
        </w:trPr>
        <w:tc>
          <w:tcPr>
            <w:tcW w:w="1900" w:type="dxa"/>
            <w:vAlign w:val="bottom"/>
            <w:tcBorders>
              <w:bottom w:val="single" w:sz="8" w:color="auto"/>
            </w:tcBorders>
          </w:tcPr>
          <w:p>
            <w:pPr>
              <w:spacing w:after="0"/>
              <w:rPr>
                <w:sz w:val="2"/>
                <w:szCs w:val="2"/>
                <w:color w:val="auto"/>
              </w:rPr>
            </w:pPr>
          </w:p>
        </w:tc>
        <w:tc>
          <w:tcPr>
            <w:tcW w:w="298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21"/>
        </w:trPr>
        <w:tc>
          <w:tcPr>
            <w:tcW w:w="1900" w:type="dxa"/>
            <w:vAlign w:val="bottom"/>
          </w:tcPr>
          <w:p>
            <w:pPr>
              <w:spacing w:after="0"/>
              <w:rPr>
                <w:sz w:val="20"/>
                <w:szCs w:val="20"/>
                <w:color w:val="auto"/>
              </w:rPr>
            </w:pPr>
            <w:r>
              <w:rPr>
                <w:rFonts w:ascii="Arial" w:cs="Arial" w:eastAsia="Arial" w:hAnsi="Arial"/>
                <w:sz w:val="14"/>
                <w:szCs w:val="14"/>
                <w:b w:val="1"/>
                <w:bCs w:val="1"/>
                <w:color w:val="455986"/>
              </w:rPr>
              <w:t>Rhodes</w:t>
            </w:r>
          </w:p>
        </w:tc>
        <w:tc>
          <w:tcPr>
            <w:tcW w:w="2980" w:type="dxa"/>
            <w:vAlign w:val="bottom"/>
          </w:tcPr>
          <w:p>
            <w:pPr>
              <w:jc w:val="right"/>
              <w:ind w:right="312"/>
              <w:spacing w:after="0"/>
              <w:rPr>
                <w:sz w:val="20"/>
                <w:szCs w:val="20"/>
                <w:color w:val="auto"/>
              </w:rPr>
            </w:pPr>
            <w:r>
              <w:rPr>
                <w:rFonts w:ascii="Arial" w:cs="Arial" w:eastAsia="Arial" w:hAnsi="Arial"/>
                <w:sz w:val="14"/>
                <w:szCs w:val="14"/>
                <w:color w:val="auto"/>
              </w:rPr>
              <w:t>29,496</w:t>
            </w:r>
          </w:p>
        </w:tc>
        <w:tc>
          <w:tcPr>
            <w:tcW w:w="1660" w:type="dxa"/>
            <w:vAlign w:val="bottom"/>
          </w:tcPr>
          <w:p>
            <w:pPr>
              <w:jc w:val="right"/>
              <w:ind w:right="272"/>
              <w:spacing w:after="0"/>
              <w:rPr>
                <w:sz w:val="20"/>
                <w:szCs w:val="20"/>
                <w:color w:val="auto"/>
              </w:rPr>
            </w:pPr>
            <w:r>
              <w:rPr>
                <w:rFonts w:ascii="Arial" w:cs="Arial" w:eastAsia="Arial" w:hAnsi="Arial"/>
                <w:sz w:val="14"/>
                <w:szCs w:val="14"/>
                <w:color w:val="auto"/>
              </w:rPr>
              <w:t>4,244</w:t>
            </w:r>
          </w:p>
        </w:tc>
        <w:tc>
          <w:tcPr>
            <w:tcW w:w="1700" w:type="dxa"/>
            <w:vAlign w:val="bottom"/>
          </w:tcPr>
          <w:p>
            <w:pPr>
              <w:jc w:val="right"/>
              <w:ind w:right="292"/>
              <w:spacing w:after="0"/>
              <w:rPr>
                <w:sz w:val="20"/>
                <w:szCs w:val="20"/>
                <w:color w:val="auto"/>
              </w:rPr>
            </w:pPr>
            <w:r>
              <w:rPr>
                <w:rFonts w:ascii="Arial" w:cs="Arial" w:eastAsia="Arial" w:hAnsi="Arial"/>
                <w:sz w:val="14"/>
                <w:szCs w:val="14"/>
                <w:color w:val="auto"/>
              </w:rPr>
              <w:t>1,591</w:t>
            </w:r>
          </w:p>
        </w:tc>
        <w:tc>
          <w:tcPr>
            <w:tcW w:w="1720" w:type="dxa"/>
            <w:vAlign w:val="bottom"/>
          </w:tcPr>
          <w:p>
            <w:pPr>
              <w:jc w:val="right"/>
              <w:ind w:right="332"/>
              <w:spacing w:after="0"/>
              <w:rPr>
                <w:sz w:val="20"/>
                <w:szCs w:val="20"/>
                <w:color w:val="auto"/>
              </w:rPr>
            </w:pPr>
            <w:r>
              <w:rPr>
                <w:rFonts w:ascii="Arial" w:cs="Arial" w:eastAsia="Arial" w:hAnsi="Arial"/>
                <w:sz w:val="14"/>
                <w:szCs w:val="14"/>
                <w:color w:val="auto"/>
              </w:rPr>
              <w:t>—</w:t>
            </w:r>
          </w:p>
        </w:tc>
        <w:tc>
          <w:tcPr>
            <w:tcW w:w="1280" w:type="dxa"/>
            <w:vAlign w:val="bottom"/>
          </w:tcPr>
          <w:p>
            <w:pPr>
              <w:jc w:val="right"/>
              <w:spacing w:after="0"/>
              <w:rPr>
                <w:sz w:val="20"/>
                <w:szCs w:val="20"/>
                <w:color w:val="auto"/>
              </w:rPr>
            </w:pPr>
            <w:r>
              <w:rPr>
                <w:rFonts w:ascii="Arial" w:cs="Arial" w:eastAsia="Arial" w:hAnsi="Arial"/>
                <w:sz w:val="14"/>
                <w:szCs w:val="14"/>
                <w:color w:val="auto"/>
              </w:rPr>
              <w:t>39,654</w:t>
            </w:r>
          </w:p>
        </w:tc>
      </w:tr>
      <w:tr>
        <w:trPr>
          <w:trHeight w:val="27"/>
        </w:trPr>
        <w:tc>
          <w:tcPr>
            <w:tcW w:w="1900" w:type="dxa"/>
            <w:vAlign w:val="bottom"/>
            <w:tcBorders>
              <w:bottom w:val="single" w:sz="8" w:color="auto"/>
            </w:tcBorders>
          </w:tcPr>
          <w:p>
            <w:pPr>
              <w:spacing w:after="0"/>
              <w:rPr>
                <w:sz w:val="2"/>
                <w:szCs w:val="2"/>
                <w:color w:val="auto"/>
              </w:rPr>
            </w:pPr>
          </w:p>
        </w:tc>
        <w:tc>
          <w:tcPr>
            <w:tcW w:w="298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21"/>
        </w:trPr>
        <w:tc>
          <w:tcPr>
            <w:tcW w:w="1900" w:type="dxa"/>
            <w:vAlign w:val="bottom"/>
          </w:tcPr>
          <w:p>
            <w:pPr>
              <w:spacing w:after="0"/>
              <w:rPr>
                <w:sz w:val="20"/>
                <w:szCs w:val="20"/>
                <w:color w:val="auto"/>
              </w:rPr>
            </w:pPr>
            <w:r>
              <w:rPr>
                <w:rFonts w:ascii="Arial" w:cs="Arial" w:eastAsia="Arial" w:hAnsi="Arial"/>
                <w:sz w:val="14"/>
                <w:szCs w:val="14"/>
                <w:b w:val="1"/>
                <w:bCs w:val="1"/>
                <w:color w:val="455986"/>
              </w:rPr>
              <w:t>Luning</w:t>
            </w:r>
          </w:p>
        </w:tc>
        <w:tc>
          <w:tcPr>
            <w:tcW w:w="2980" w:type="dxa"/>
            <w:vAlign w:val="bottom"/>
          </w:tcPr>
          <w:p>
            <w:pPr>
              <w:jc w:val="right"/>
              <w:ind w:right="312"/>
              <w:spacing w:after="0"/>
              <w:rPr>
                <w:sz w:val="20"/>
                <w:szCs w:val="20"/>
                <w:color w:val="auto"/>
              </w:rPr>
            </w:pPr>
            <w:r>
              <w:rPr>
                <w:rFonts w:ascii="Arial" w:cs="Arial" w:eastAsia="Arial" w:hAnsi="Arial"/>
                <w:sz w:val="14"/>
                <w:szCs w:val="14"/>
                <w:color w:val="auto"/>
              </w:rPr>
              <w:t>2,275</w:t>
            </w:r>
          </w:p>
        </w:tc>
        <w:tc>
          <w:tcPr>
            <w:tcW w:w="1660" w:type="dxa"/>
            <w:vAlign w:val="bottom"/>
          </w:tcPr>
          <w:p>
            <w:pPr>
              <w:jc w:val="right"/>
              <w:ind w:right="272"/>
              <w:spacing w:after="0"/>
              <w:rPr>
                <w:sz w:val="20"/>
                <w:szCs w:val="20"/>
                <w:color w:val="auto"/>
              </w:rPr>
            </w:pPr>
            <w:r>
              <w:rPr>
                <w:rFonts w:ascii="Arial" w:cs="Arial" w:eastAsia="Arial" w:hAnsi="Arial"/>
                <w:sz w:val="14"/>
                <w:szCs w:val="14"/>
                <w:color w:val="auto"/>
              </w:rPr>
              <w:t>—</w:t>
            </w:r>
          </w:p>
        </w:tc>
        <w:tc>
          <w:tcPr>
            <w:tcW w:w="1700" w:type="dxa"/>
            <w:vAlign w:val="bottom"/>
          </w:tcPr>
          <w:p>
            <w:pPr>
              <w:jc w:val="right"/>
              <w:ind w:right="292"/>
              <w:spacing w:after="0"/>
              <w:rPr>
                <w:sz w:val="20"/>
                <w:szCs w:val="20"/>
                <w:color w:val="auto"/>
              </w:rPr>
            </w:pPr>
            <w:r>
              <w:rPr>
                <w:rFonts w:ascii="Arial" w:cs="Arial" w:eastAsia="Arial" w:hAnsi="Arial"/>
                <w:sz w:val="14"/>
                <w:szCs w:val="14"/>
                <w:color w:val="auto"/>
              </w:rPr>
              <w:t>314</w:t>
            </w:r>
          </w:p>
        </w:tc>
        <w:tc>
          <w:tcPr>
            <w:tcW w:w="1720" w:type="dxa"/>
            <w:vAlign w:val="bottom"/>
          </w:tcPr>
          <w:p>
            <w:pPr>
              <w:jc w:val="right"/>
              <w:ind w:right="332"/>
              <w:spacing w:after="0"/>
              <w:rPr>
                <w:sz w:val="20"/>
                <w:szCs w:val="20"/>
                <w:color w:val="auto"/>
              </w:rPr>
            </w:pPr>
            <w:r>
              <w:rPr>
                <w:rFonts w:ascii="Arial" w:cs="Arial" w:eastAsia="Arial" w:hAnsi="Arial"/>
                <w:sz w:val="14"/>
                <w:szCs w:val="14"/>
                <w:color w:val="auto"/>
              </w:rPr>
              <w:t>—</w:t>
            </w:r>
          </w:p>
        </w:tc>
        <w:tc>
          <w:tcPr>
            <w:tcW w:w="1280" w:type="dxa"/>
            <w:vAlign w:val="bottom"/>
          </w:tcPr>
          <w:p>
            <w:pPr>
              <w:jc w:val="right"/>
              <w:spacing w:after="0"/>
              <w:rPr>
                <w:sz w:val="20"/>
                <w:szCs w:val="20"/>
                <w:color w:val="auto"/>
              </w:rPr>
            </w:pPr>
            <w:r>
              <w:rPr>
                <w:rFonts w:ascii="Arial" w:cs="Arial" w:eastAsia="Arial" w:hAnsi="Arial"/>
                <w:sz w:val="14"/>
                <w:szCs w:val="14"/>
                <w:color w:val="auto"/>
              </w:rPr>
              <w:t>4,536</w:t>
            </w:r>
          </w:p>
        </w:tc>
      </w:tr>
      <w:tr>
        <w:trPr>
          <w:trHeight w:val="27"/>
        </w:trPr>
        <w:tc>
          <w:tcPr>
            <w:tcW w:w="1900" w:type="dxa"/>
            <w:vAlign w:val="bottom"/>
            <w:tcBorders>
              <w:bottom w:val="single" w:sz="8" w:color="auto"/>
            </w:tcBorders>
          </w:tcPr>
          <w:p>
            <w:pPr>
              <w:spacing w:after="0"/>
              <w:rPr>
                <w:sz w:val="2"/>
                <w:szCs w:val="2"/>
                <w:color w:val="auto"/>
              </w:rPr>
            </w:pPr>
          </w:p>
        </w:tc>
        <w:tc>
          <w:tcPr>
            <w:tcW w:w="298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bl>
    <w:p>
      <w:pPr>
        <w:spacing w:after="0" w:line="60" w:lineRule="exact"/>
        <w:rPr>
          <w:sz w:val="20"/>
          <w:szCs w:val="20"/>
          <w:color w:val="auto"/>
        </w:rPr>
      </w:pPr>
    </w:p>
    <w:p>
      <w:pPr>
        <w:ind w:left="200" w:hanging="198"/>
        <w:spacing w:after="0"/>
        <w:tabs>
          <w:tab w:leader="none" w:pos="200" w:val="left"/>
        </w:tabs>
        <w:numPr>
          <w:ilvl w:val="0"/>
          <w:numId w:val="142"/>
        </w:numPr>
        <w:rPr>
          <w:rFonts w:ascii="Arial" w:cs="Arial" w:eastAsia="Arial" w:hAnsi="Arial"/>
          <w:sz w:val="13"/>
          <w:szCs w:val="13"/>
          <w:color w:val="231F20"/>
        </w:rPr>
      </w:pPr>
      <w:r>
        <w:rPr>
          <w:rFonts w:ascii="Arial" w:cs="Arial" w:eastAsia="Arial" w:hAnsi="Arial"/>
          <w:sz w:val="13"/>
          <w:szCs w:val="13"/>
          <w:color w:val="231F20"/>
        </w:rPr>
        <w:t>The Company’s and the named executive officers’ contributions to this plan are included in the base salary earned in 2020 in the Summary Compensation Table.</w:t>
      </w:r>
    </w:p>
    <w:p>
      <w:pPr>
        <w:spacing w:after="0" w:line="80" w:lineRule="exact"/>
        <w:rPr>
          <w:rFonts w:ascii="Arial" w:cs="Arial" w:eastAsia="Arial" w:hAnsi="Arial"/>
          <w:sz w:val="13"/>
          <w:szCs w:val="13"/>
          <w:color w:val="231F20"/>
        </w:rPr>
      </w:pPr>
    </w:p>
    <w:p>
      <w:pPr>
        <w:ind w:left="200" w:right="160" w:hanging="198"/>
        <w:spacing w:after="0" w:line="260" w:lineRule="auto"/>
        <w:tabs>
          <w:tab w:leader="none" w:pos="200" w:val="left"/>
        </w:tabs>
        <w:numPr>
          <w:ilvl w:val="0"/>
          <w:numId w:val="142"/>
        </w:numPr>
        <w:rPr>
          <w:rFonts w:ascii="Arial" w:cs="Arial" w:eastAsia="Arial" w:hAnsi="Arial"/>
          <w:sz w:val="13"/>
          <w:szCs w:val="13"/>
          <w:color w:val="231F20"/>
        </w:rPr>
      </w:pPr>
      <w:r>
        <w:rPr>
          <w:rFonts w:ascii="Arial" w:cs="Arial" w:eastAsia="Arial" w:hAnsi="Arial"/>
          <w:sz w:val="13"/>
          <w:szCs w:val="13"/>
          <w:color w:val="231F20"/>
        </w:rPr>
        <w:t>In 2020, the deferred amounts were invested in mutual funds chosen by the participant under a trust-owned life insurance policy maintained by the Company to fund the Executive Deferral Plan. The earnings shown in this column include the earnings on those mutual funds.</w:t>
      </w:r>
    </w:p>
    <w:p>
      <w:pPr>
        <w:spacing w:after="0" w:line="46" w:lineRule="exact"/>
        <w:rPr>
          <w:rFonts w:ascii="Arial" w:cs="Arial" w:eastAsia="Arial" w:hAnsi="Arial"/>
          <w:sz w:val="13"/>
          <w:szCs w:val="13"/>
          <w:color w:val="231F20"/>
        </w:rPr>
      </w:pPr>
    </w:p>
    <w:p>
      <w:pPr>
        <w:ind w:left="200" w:hanging="198"/>
        <w:spacing w:after="0"/>
        <w:tabs>
          <w:tab w:leader="none" w:pos="200" w:val="left"/>
        </w:tabs>
        <w:numPr>
          <w:ilvl w:val="0"/>
          <w:numId w:val="142"/>
        </w:numPr>
        <w:rPr>
          <w:rFonts w:ascii="Arial" w:cs="Arial" w:eastAsia="Arial" w:hAnsi="Arial"/>
          <w:sz w:val="13"/>
          <w:szCs w:val="13"/>
          <w:color w:val="231F20"/>
        </w:rPr>
      </w:pPr>
      <w:r>
        <w:rPr>
          <w:rFonts w:ascii="Arial" w:cs="Arial" w:eastAsia="Arial" w:hAnsi="Arial"/>
          <w:sz w:val="13"/>
          <w:szCs w:val="13"/>
          <w:color w:val="231F20"/>
        </w:rPr>
        <w:t>Prior year contributions were reflected in the Summary Compensation Table for prior years.</w:t>
      </w:r>
    </w:p>
    <w:p>
      <w:pPr>
        <w:spacing w:after="0" w:line="127" w:lineRule="exact"/>
        <w:rPr>
          <w:sz w:val="20"/>
          <w:szCs w:val="20"/>
          <w:color w:val="auto"/>
        </w:rPr>
      </w:pPr>
    </w:p>
    <w:p>
      <w:pPr>
        <w:ind w:right="60"/>
        <w:spacing w:after="0" w:line="237" w:lineRule="auto"/>
        <w:rPr>
          <w:sz w:val="20"/>
          <w:szCs w:val="20"/>
          <w:color w:val="auto"/>
        </w:rPr>
      </w:pPr>
      <w:r>
        <w:rPr>
          <w:rFonts w:ascii="Arial" w:cs="Arial" w:eastAsia="Arial" w:hAnsi="Arial"/>
          <w:sz w:val="14"/>
          <w:szCs w:val="14"/>
          <w:color w:val="231F20"/>
        </w:rPr>
        <w:t>Employees with total projected W-2 compensation for 2020 in excess of $ 175,000 were eligible to participate in the Company’s Executive Deferral Plan for 2020. Participants may defer up to 90% of their salary and 90% of their non-equity incentive compensation under the Company’s Annual Cash Incentive Compensation Plan. At the time the participant elects to make a deferral under the Executive Deferral Plan, the participant is also required to elect the form of payment with respect to the amounts deferred for the upcoming calendar year. If a separation distribution account is elected, the participant may choose to receive his or her distribution in either a lump sum payment or, subject to certain requirements, in annual installments over 2 to 15 years. If a flexible distribution account is elected, the participant will receive his or her distribution in a lump sum payment. The executive officers, including the named executive officers, may not commence the receipt of their account balances and the earnings on these deferrals sooner than the first day of the seventh month following the date of the executive’s separation from employment.</w:t>
      </w:r>
    </w:p>
    <w:p>
      <w:pPr>
        <w:spacing w:after="0" w:line="101" w:lineRule="exact"/>
        <w:rPr>
          <w:sz w:val="20"/>
          <w:szCs w:val="20"/>
          <w:color w:val="auto"/>
        </w:rPr>
      </w:pPr>
    </w:p>
    <w:p>
      <w:pPr>
        <w:spacing w:after="0"/>
        <w:rPr>
          <w:sz w:val="20"/>
          <w:szCs w:val="20"/>
          <w:color w:val="auto"/>
        </w:rPr>
      </w:pPr>
      <w:r>
        <w:rPr>
          <w:rFonts w:ascii="Arial" w:cs="Arial" w:eastAsia="Arial" w:hAnsi="Arial"/>
          <w:sz w:val="24"/>
          <w:szCs w:val="24"/>
          <w:b w:val="1"/>
          <w:bCs w:val="1"/>
          <w:color w:val="455986"/>
        </w:rPr>
        <w:t>Potential Payments Upon Termination or Change-In-Control</w:t>
      </w:r>
    </w:p>
    <w:p>
      <w:pPr>
        <w:spacing w:after="0" w:line="156" w:lineRule="exact"/>
        <w:rPr>
          <w:sz w:val="20"/>
          <w:szCs w:val="20"/>
          <w:color w:val="auto"/>
        </w:rPr>
      </w:pPr>
    </w:p>
    <w:p>
      <w:pPr>
        <w:spacing w:after="0"/>
        <w:rPr>
          <w:sz w:val="20"/>
          <w:szCs w:val="20"/>
          <w:color w:val="auto"/>
        </w:rPr>
      </w:pPr>
      <w:r>
        <w:rPr>
          <w:rFonts w:ascii="Arial" w:cs="Arial" w:eastAsia="Arial" w:hAnsi="Arial"/>
          <w:sz w:val="20"/>
          <w:szCs w:val="20"/>
          <w:b w:val="1"/>
          <w:bCs w:val="1"/>
          <w:color w:val="231F20"/>
        </w:rPr>
        <w:t>Double-Trigger Change-In-Control</w:t>
      </w:r>
    </w:p>
    <w:p>
      <w:pPr>
        <w:spacing w:after="0" w:line="166" w:lineRule="exact"/>
        <w:rPr>
          <w:sz w:val="20"/>
          <w:szCs w:val="20"/>
          <w:color w:val="auto"/>
        </w:rPr>
      </w:pPr>
    </w:p>
    <w:p>
      <w:pPr>
        <w:ind w:right="80"/>
        <w:spacing w:after="0" w:line="253" w:lineRule="auto"/>
        <w:rPr>
          <w:sz w:val="20"/>
          <w:szCs w:val="20"/>
          <w:color w:val="auto"/>
        </w:rPr>
      </w:pPr>
      <w:r>
        <w:rPr>
          <w:rFonts w:ascii="Arial" w:cs="Arial" w:eastAsia="Arial" w:hAnsi="Arial"/>
          <w:sz w:val="14"/>
          <w:szCs w:val="14"/>
          <w:color w:val="231F20"/>
        </w:rPr>
        <w:t>The Company maintains double-trigger change-in-control agreements with its named executive officers. Payments under these agreements are triggered if the named executive officer’s employment is terminated other than for cause or the executive resigns for good reason, as defined in the agreements, within two years after consummation of a change-in-control transaction involving the Company.</w:t>
      </w:r>
    </w:p>
    <w:p>
      <w:pPr>
        <w:spacing w:after="0" w:line="103" w:lineRule="exact"/>
        <w:rPr>
          <w:sz w:val="20"/>
          <w:szCs w:val="20"/>
          <w:color w:val="auto"/>
        </w:rPr>
      </w:pPr>
    </w:p>
    <w:p>
      <w:pPr>
        <w:spacing w:after="0"/>
        <w:rPr>
          <w:sz w:val="20"/>
          <w:szCs w:val="20"/>
          <w:color w:val="auto"/>
        </w:rPr>
      </w:pPr>
      <w:r>
        <w:rPr>
          <w:rFonts w:ascii="Arial" w:cs="Arial" w:eastAsia="Arial" w:hAnsi="Arial"/>
          <w:sz w:val="14"/>
          <w:szCs w:val="14"/>
          <w:color w:val="231F20"/>
        </w:rPr>
        <w:t>The following table provides a summary of the benefits to which each named executive officer would be entitled under the change-in-control agreements.</w:t>
      </w:r>
    </w:p>
    <w:p>
      <w:pPr>
        <w:spacing w:after="0" w:line="148" w:lineRule="exact"/>
        <w:rPr>
          <w:sz w:val="20"/>
          <w:szCs w:val="20"/>
          <w:color w:val="auto"/>
        </w:rPr>
      </w:pPr>
    </w:p>
    <w:p>
      <w:pPr>
        <w:spacing w:after="0"/>
        <w:rPr>
          <w:sz w:val="20"/>
          <w:szCs w:val="20"/>
          <w:color w:val="auto"/>
        </w:rPr>
      </w:pPr>
      <w:r>
        <w:rPr>
          <w:rFonts w:ascii="Arial" w:cs="Arial" w:eastAsia="Arial" w:hAnsi="Arial"/>
          <w:sz w:val="15"/>
          <w:szCs w:val="15"/>
          <w:b w:val="1"/>
          <w:bCs w:val="1"/>
          <w:color w:val="231F20"/>
        </w:rPr>
        <w:t>Payment in Lieu</w:t>
      </w:r>
    </w:p>
    <w:p>
      <w:pPr>
        <w:spacing w:after="0" w:line="36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76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1560" w:type="dxa"/>
            <w:vAlign w:val="bottom"/>
          </w:tcPr>
          <w:p>
            <w:pPr>
              <w:jc w:val="right"/>
              <w:ind w:right="212"/>
              <w:spacing w:after="0"/>
              <w:rPr>
                <w:sz w:val="20"/>
                <w:szCs w:val="20"/>
                <w:color w:val="auto"/>
              </w:rPr>
            </w:pPr>
            <w:r>
              <w:rPr>
                <w:rFonts w:ascii="Arial" w:cs="Arial" w:eastAsia="Arial" w:hAnsi="Arial"/>
                <w:sz w:val="14"/>
                <w:szCs w:val="14"/>
                <w:color w:val="455986"/>
              </w:rPr>
              <w:t>Years of Health</w:t>
            </w:r>
          </w:p>
        </w:tc>
        <w:tc>
          <w:tcPr>
            <w:tcW w:w="660" w:type="dxa"/>
            <w:vAlign w:val="bottom"/>
          </w:tcPr>
          <w:p>
            <w:pPr>
              <w:spacing w:after="0"/>
              <w:rPr>
                <w:sz w:val="14"/>
                <w:szCs w:val="14"/>
                <w:color w:val="auto"/>
              </w:rPr>
            </w:pPr>
          </w:p>
        </w:tc>
        <w:tc>
          <w:tcPr>
            <w:tcW w:w="460" w:type="dxa"/>
            <w:vAlign w:val="bottom"/>
          </w:tcPr>
          <w:p>
            <w:pPr>
              <w:spacing w:after="0"/>
              <w:rPr>
                <w:sz w:val="14"/>
                <w:szCs w:val="14"/>
                <w:color w:val="auto"/>
              </w:rPr>
            </w:pPr>
          </w:p>
        </w:tc>
      </w:tr>
      <w:tr>
        <w:trPr>
          <w:trHeight w:val="153"/>
        </w:trPr>
        <w:tc>
          <w:tcPr>
            <w:tcW w:w="1760" w:type="dxa"/>
            <w:vAlign w:val="bottom"/>
          </w:tcPr>
          <w:p>
            <w:pPr>
              <w:spacing w:after="0"/>
              <w:rPr>
                <w:sz w:val="13"/>
                <w:szCs w:val="13"/>
                <w:color w:val="auto"/>
              </w:rPr>
            </w:pPr>
          </w:p>
        </w:tc>
        <w:tc>
          <w:tcPr>
            <w:tcW w:w="2300" w:type="dxa"/>
            <w:vAlign w:val="bottom"/>
          </w:tcPr>
          <w:p>
            <w:pPr>
              <w:jc w:val="right"/>
              <w:ind w:right="32"/>
              <w:spacing w:after="0" w:line="153" w:lineRule="exact"/>
              <w:rPr>
                <w:sz w:val="20"/>
                <w:szCs w:val="20"/>
                <w:color w:val="auto"/>
              </w:rPr>
            </w:pPr>
            <w:r>
              <w:rPr>
                <w:rFonts w:ascii="Arial" w:cs="Arial" w:eastAsia="Arial" w:hAnsi="Arial"/>
                <w:sz w:val="14"/>
                <w:szCs w:val="14"/>
                <w:color w:val="455986"/>
              </w:rPr>
              <w:t>Multiple of Base</w:t>
            </w:r>
          </w:p>
        </w:tc>
        <w:tc>
          <w:tcPr>
            <w:tcW w:w="1560" w:type="dxa"/>
            <w:vAlign w:val="bottom"/>
          </w:tcPr>
          <w:p>
            <w:pPr>
              <w:jc w:val="right"/>
              <w:ind w:right="252"/>
              <w:spacing w:after="0" w:line="153" w:lineRule="exact"/>
              <w:rPr>
                <w:sz w:val="20"/>
                <w:szCs w:val="20"/>
                <w:color w:val="auto"/>
              </w:rPr>
            </w:pPr>
            <w:r>
              <w:rPr>
                <w:rFonts w:ascii="Arial" w:cs="Arial" w:eastAsia="Arial" w:hAnsi="Arial"/>
                <w:sz w:val="14"/>
                <w:szCs w:val="14"/>
                <w:color w:val="455986"/>
              </w:rPr>
              <w:t>Benefit</w:t>
            </w:r>
          </w:p>
        </w:tc>
        <w:tc>
          <w:tcPr>
            <w:tcW w:w="1120" w:type="dxa"/>
            <w:vAlign w:val="bottom"/>
            <w:gridSpan w:val="2"/>
          </w:tcPr>
          <w:p>
            <w:pPr>
              <w:jc w:val="right"/>
              <w:spacing w:after="0" w:line="153" w:lineRule="exact"/>
              <w:rPr>
                <w:sz w:val="20"/>
                <w:szCs w:val="20"/>
                <w:color w:val="auto"/>
              </w:rPr>
            </w:pPr>
            <w:r>
              <w:rPr>
                <w:rFonts w:ascii="Arial" w:cs="Arial" w:eastAsia="Arial" w:hAnsi="Arial"/>
                <w:sz w:val="14"/>
                <w:szCs w:val="14"/>
                <w:color w:val="455986"/>
              </w:rPr>
              <w:t>Outplacement</w:t>
            </w:r>
          </w:p>
        </w:tc>
      </w:tr>
      <w:tr>
        <w:trPr>
          <w:trHeight w:val="183"/>
        </w:trPr>
        <w:tc>
          <w:tcPr>
            <w:tcW w:w="1760" w:type="dxa"/>
            <w:vAlign w:val="bottom"/>
          </w:tcPr>
          <w:p>
            <w:pPr>
              <w:spacing w:after="0"/>
              <w:rPr>
                <w:sz w:val="20"/>
                <w:szCs w:val="20"/>
                <w:color w:val="auto"/>
              </w:rPr>
            </w:pPr>
            <w:r>
              <w:rPr>
                <w:rFonts w:ascii="Arial" w:cs="Arial" w:eastAsia="Arial" w:hAnsi="Arial"/>
                <w:sz w:val="14"/>
                <w:szCs w:val="14"/>
                <w:color w:val="455986"/>
              </w:rPr>
              <w:t>Name</w:t>
            </w:r>
          </w:p>
        </w:tc>
        <w:tc>
          <w:tcPr>
            <w:tcW w:w="2300" w:type="dxa"/>
            <w:vAlign w:val="bottom"/>
          </w:tcPr>
          <w:p>
            <w:pPr>
              <w:jc w:val="right"/>
              <w:spacing w:after="0"/>
              <w:rPr>
                <w:sz w:val="20"/>
                <w:szCs w:val="20"/>
                <w:color w:val="auto"/>
              </w:rPr>
            </w:pPr>
            <w:r>
              <w:rPr>
                <w:rFonts w:ascii="Arial" w:cs="Arial" w:eastAsia="Arial" w:hAnsi="Arial"/>
                <w:sz w:val="14"/>
                <w:szCs w:val="14"/>
                <w:color w:val="455986"/>
              </w:rPr>
              <w:t>Compensation</w:t>
            </w:r>
          </w:p>
        </w:tc>
        <w:tc>
          <w:tcPr>
            <w:tcW w:w="1560" w:type="dxa"/>
            <w:vAlign w:val="bottom"/>
          </w:tcPr>
          <w:p>
            <w:pPr>
              <w:jc w:val="right"/>
              <w:ind w:right="212"/>
              <w:spacing w:after="0"/>
              <w:rPr>
                <w:sz w:val="20"/>
                <w:szCs w:val="20"/>
                <w:color w:val="auto"/>
              </w:rPr>
            </w:pPr>
            <w:r>
              <w:rPr>
                <w:rFonts w:ascii="Arial" w:cs="Arial" w:eastAsia="Arial" w:hAnsi="Arial"/>
                <w:sz w:val="14"/>
                <w:szCs w:val="14"/>
                <w:color w:val="455986"/>
              </w:rPr>
              <w:t>Continuation Period</w:t>
            </w:r>
          </w:p>
        </w:tc>
        <w:tc>
          <w:tcPr>
            <w:tcW w:w="1120" w:type="dxa"/>
            <w:vAlign w:val="bottom"/>
            <w:gridSpan w:val="2"/>
          </w:tcPr>
          <w:p>
            <w:pPr>
              <w:jc w:val="right"/>
              <w:spacing w:after="0"/>
              <w:rPr>
                <w:sz w:val="20"/>
                <w:szCs w:val="20"/>
                <w:color w:val="auto"/>
              </w:rPr>
            </w:pPr>
            <w:r>
              <w:rPr>
                <w:rFonts w:ascii="Arial" w:cs="Arial" w:eastAsia="Arial" w:hAnsi="Arial"/>
                <w:sz w:val="14"/>
                <w:szCs w:val="14"/>
                <w:color w:val="455986"/>
              </w:rPr>
              <w:t>Services</w:t>
            </w:r>
          </w:p>
        </w:tc>
      </w:tr>
      <w:tr>
        <w:trPr>
          <w:trHeight w:val="33"/>
        </w:trPr>
        <w:tc>
          <w:tcPr>
            <w:tcW w:w="1760" w:type="dxa"/>
            <w:vAlign w:val="bottom"/>
            <w:tcBorders>
              <w:bottom w:val="single" w:sz="8" w:color="4395D4"/>
            </w:tcBorders>
          </w:tcPr>
          <w:p>
            <w:pPr>
              <w:spacing w:after="0"/>
              <w:rPr>
                <w:sz w:val="2"/>
                <w:szCs w:val="2"/>
                <w:color w:val="auto"/>
              </w:rPr>
            </w:pPr>
          </w:p>
        </w:tc>
        <w:tc>
          <w:tcPr>
            <w:tcW w:w="2300" w:type="dxa"/>
            <w:vAlign w:val="bottom"/>
            <w:tcBorders>
              <w:bottom w:val="single" w:sz="8" w:color="4395D4"/>
            </w:tcBorders>
          </w:tcPr>
          <w:p>
            <w:pPr>
              <w:spacing w:after="0"/>
              <w:rPr>
                <w:sz w:val="2"/>
                <w:szCs w:val="2"/>
                <w:color w:val="auto"/>
              </w:rPr>
            </w:pPr>
          </w:p>
        </w:tc>
        <w:tc>
          <w:tcPr>
            <w:tcW w:w="1560" w:type="dxa"/>
            <w:vAlign w:val="bottom"/>
            <w:tcBorders>
              <w:bottom w:val="single" w:sz="8" w:color="4395D4"/>
            </w:tcBorders>
          </w:tcPr>
          <w:p>
            <w:pPr>
              <w:spacing w:after="0"/>
              <w:rPr>
                <w:sz w:val="2"/>
                <w:szCs w:val="2"/>
                <w:color w:val="auto"/>
              </w:rPr>
            </w:pPr>
          </w:p>
        </w:tc>
        <w:tc>
          <w:tcPr>
            <w:tcW w:w="660" w:type="dxa"/>
            <w:vAlign w:val="bottom"/>
            <w:tcBorders>
              <w:bottom w:val="single" w:sz="8" w:color="4395D4"/>
            </w:tcBorders>
          </w:tcPr>
          <w:p>
            <w:pPr>
              <w:spacing w:after="0"/>
              <w:rPr>
                <w:sz w:val="2"/>
                <w:szCs w:val="2"/>
                <w:color w:val="auto"/>
              </w:rPr>
            </w:pPr>
          </w:p>
        </w:tc>
        <w:tc>
          <w:tcPr>
            <w:tcW w:w="460" w:type="dxa"/>
            <w:vAlign w:val="bottom"/>
            <w:tcBorders>
              <w:bottom w:val="single" w:sz="8" w:color="4395D4"/>
            </w:tcBorders>
          </w:tcPr>
          <w:p>
            <w:pPr>
              <w:spacing w:after="0"/>
              <w:rPr>
                <w:sz w:val="2"/>
                <w:szCs w:val="2"/>
                <w:color w:val="auto"/>
              </w:rPr>
            </w:pPr>
          </w:p>
        </w:tc>
      </w:tr>
      <w:tr>
        <w:trPr>
          <w:trHeight w:val="221"/>
        </w:trPr>
        <w:tc>
          <w:tcPr>
            <w:tcW w:w="1760" w:type="dxa"/>
            <w:vAlign w:val="bottom"/>
          </w:tcPr>
          <w:p>
            <w:pPr>
              <w:spacing w:after="0"/>
              <w:rPr>
                <w:sz w:val="20"/>
                <w:szCs w:val="20"/>
                <w:color w:val="auto"/>
              </w:rPr>
            </w:pPr>
            <w:r>
              <w:rPr>
                <w:rFonts w:ascii="Arial" w:cs="Arial" w:eastAsia="Arial" w:hAnsi="Arial"/>
                <w:sz w:val="14"/>
                <w:szCs w:val="14"/>
                <w:b w:val="1"/>
                <w:bCs w:val="1"/>
                <w:color w:val="455986"/>
              </w:rPr>
              <w:t>Franklin</w:t>
            </w:r>
          </w:p>
        </w:tc>
        <w:tc>
          <w:tcPr>
            <w:tcW w:w="2300" w:type="dxa"/>
            <w:vAlign w:val="bottom"/>
          </w:tcPr>
          <w:p>
            <w:pPr>
              <w:jc w:val="right"/>
              <w:spacing w:after="0"/>
              <w:rPr>
                <w:sz w:val="20"/>
                <w:szCs w:val="20"/>
                <w:color w:val="auto"/>
              </w:rPr>
            </w:pPr>
            <w:r>
              <w:rPr>
                <w:rFonts w:ascii="Arial" w:cs="Arial" w:eastAsia="Arial" w:hAnsi="Arial"/>
                <w:sz w:val="14"/>
                <w:szCs w:val="14"/>
                <w:color w:val="231F20"/>
              </w:rPr>
              <w:t>3</w:t>
            </w:r>
          </w:p>
        </w:tc>
        <w:tc>
          <w:tcPr>
            <w:tcW w:w="1560" w:type="dxa"/>
            <w:vAlign w:val="bottom"/>
          </w:tcPr>
          <w:p>
            <w:pPr>
              <w:jc w:val="right"/>
              <w:ind w:right="212"/>
              <w:spacing w:after="0"/>
              <w:rPr>
                <w:sz w:val="20"/>
                <w:szCs w:val="20"/>
                <w:color w:val="auto"/>
              </w:rPr>
            </w:pPr>
            <w:r>
              <w:rPr>
                <w:rFonts w:ascii="Arial" w:cs="Arial" w:eastAsia="Arial" w:hAnsi="Arial"/>
                <w:sz w:val="14"/>
                <w:szCs w:val="14"/>
                <w:color w:val="231F20"/>
              </w:rPr>
              <w:t>3</w:t>
            </w:r>
          </w:p>
        </w:tc>
        <w:tc>
          <w:tcPr>
            <w:tcW w:w="660" w:type="dxa"/>
            <w:vAlign w:val="bottom"/>
          </w:tcPr>
          <w:p>
            <w:pPr>
              <w:jc w:val="right"/>
              <w:spacing w:after="0"/>
              <w:rPr>
                <w:sz w:val="20"/>
                <w:szCs w:val="20"/>
                <w:color w:val="auto"/>
              </w:rPr>
            </w:pPr>
            <w:r>
              <w:rPr>
                <w:rFonts w:ascii="Arial" w:cs="Arial" w:eastAsia="Arial" w:hAnsi="Arial"/>
                <w:sz w:val="14"/>
                <w:szCs w:val="14"/>
                <w:color w:val="231F20"/>
              </w:rPr>
              <w:t>36</w:t>
            </w:r>
          </w:p>
        </w:tc>
        <w:tc>
          <w:tcPr>
            <w:tcW w:w="460" w:type="dxa"/>
            <w:vAlign w:val="bottom"/>
          </w:tcPr>
          <w:p>
            <w:pPr>
              <w:jc w:val="right"/>
              <w:spacing w:after="0"/>
              <w:rPr>
                <w:sz w:val="20"/>
                <w:szCs w:val="20"/>
                <w:color w:val="auto"/>
              </w:rPr>
            </w:pPr>
            <w:r>
              <w:rPr>
                <w:rFonts w:ascii="Arial" w:cs="Arial" w:eastAsia="Arial" w:hAnsi="Arial"/>
                <w:sz w:val="14"/>
                <w:szCs w:val="14"/>
                <w:color w:val="231F20"/>
                <w:w w:val="95"/>
              </w:rPr>
              <w:t>Months</w:t>
            </w:r>
          </w:p>
        </w:tc>
      </w:tr>
      <w:tr>
        <w:trPr>
          <w:trHeight w:val="27"/>
        </w:trPr>
        <w:tc>
          <w:tcPr>
            <w:tcW w:w="1760" w:type="dxa"/>
            <w:vAlign w:val="bottom"/>
            <w:tcBorders>
              <w:bottom w:val="single" w:sz="8" w:color="231F20"/>
            </w:tcBorders>
          </w:tcPr>
          <w:p>
            <w:pPr>
              <w:spacing w:after="0"/>
              <w:rPr>
                <w:sz w:val="2"/>
                <w:szCs w:val="2"/>
                <w:color w:val="auto"/>
              </w:rPr>
            </w:pPr>
          </w:p>
        </w:tc>
        <w:tc>
          <w:tcPr>
            <w:tcW w:w="2300" w:type="dxa"/>
            <w:vAlign w:val="bottom"/>
            <w:tcBorders>
              <w:bottom w:val="single" w:sz="8" w:color="231F20"/>
            </w:tcBorders>
          </w:tcPr>
          <w:p>
            <w:pPr>
              <w:spacing w:after="0"/>
              <w:rPr>
                <w:sz w:val="2"/>
                <w:szCs w:val="2"/>
                <w:color w:val="auto"/>
              </w:rPr>
            </w:pPr>
          </w:p>
        </w:tc>
        <w:tc>
          <w:tcPr>
            <w:tcW w:w="1560" w:type="dxa"/>
            <w:vAlign w:val="bottom"/>
            <w:tcBorders>
              <w:bottom w:val="single" w:sz="8" w:color="231F20"/>
            </w:tcBorders>
          </w:tcPr>
          <w:p>
            <w:pPr>
              <w:spacing w:after="0"/>
              <w:rPr>
                <w:sz w:val="2"/>
                <w:szCs w:val="2"/>
                <w:color w:val="auto"/>
              </w:rPr>
            </w:pPr>
          </w:p>
        </w:tc>
        <w:tc>
          <w:tcPr>
            <w:tcW w:w="660" w:type="dxa"/>
            <w:vAlign w:val="bottom"/>
            <w:tcBorders>
              <w:bottom w:val="single" w:sz="8" w:color="231F20"/>
            </w:tcBorders>
          </w:tcPr>
          <w:p>
            <w:pPr>
              <w:spacing w:after="0"/>
              <w:rPr>
                <w:sz w:val="2"/>
                <w:szCs w:val="2"/>
                <w:color w:val="auto"/>
              </w:rPr>
            </w:pPr>
          </w:p>
        </w:tc>
        <w:tc>
          <w:tcPr>
            <w:tcW w:w="460" w:type="dxa"/>
            <w:vAlign w:val="bottom"/>
            <w:tcBorders>
              <w:bottom w:val="single" w:sz="8" w:color="231F20"/>
            </w:tcBorders>
          </w:tcPr>
          <w:p>
            <w:pPr>
              <w:spacing w:after="0"/>
              <w:rPr>
                <w:sz w:val="2"/>
                <w:szCs w:val="2"/>
                <w:color w:val="auto"/>
              </w:rPr>
            </w:pPr>
          </w:p>
        </w:tc>
      </w:tr>
      <w:tr>
        <w:trPr>
          <w:trHeight w:val="221"/>
        </w:trPr>
        <w:tc>
          <w:tcPr>
            <w:tcW w:w="1760" w:type="dxa"/>
            <w:vAlign w:val="bottom"/>
          </w:tcPr>
          <w:p>
            <w:pPr>
              <w:spacing w:after="0"/>
              <w:rPr>
                <w:sz w:val="20"/>
                <w:szCs w:val="20"/>
                <w:color w:val="auto"/>
              </w:rPr>
            </w:pPr>
            <w:r>
              <w:rPr>
                <w:rFonts w:ascii="Arial" w:cs="Arial" w:eastAsia="Arial" w:hAnsi="Arial"/>
                <w:sz w:val="14"/>
                <w:szCs w:val="14"/>
                <w:b w:val="1"/>
                <w:bCs w:val="1"/>
                <w:color w:val="455986"/>
              </w:rPr>
              <w:t>Fox</w:t>
            </w:r>
          </w:p>
        </w:tc>
        <w:tc>
          <w:tcPr>
            <w:tcW w:w="2300" w:type="dxa"/>
            <w:vAlign w:val="bottom"/>
          </w:tcPr>
          <w:p>
            <w:pPr>
              <w:jc w:val="right"/>
              <w:spacing w:after="0"/>
              <w:rPr>
                <w:sz w:val="20"/>
                <w:szCs w:val="20"/>
                <w:color w:val="auto"/>
              </w:rPr>
            </w:pPr>
            <w:r>
              <w:rPr>
                <w:rFonts w:ascii="Arial" w:cs="Arial" w:eastAsia="Arial" w:hAnsi="Arial"/>
                <w:sz w:val="14"/>
                <w:szCs w:val="14"/>
                <w:color w:val="231F20"/>
              </w:rPr>
              <w:t>2</w:t>
            </w:r>
          </w:p>
        </w:tc>
        <w:tc>
          <w:tcPr>
            <w:tcW w:w="1560" w:type="dxa"/>
            <w:vAlign w:val="bottom"/>
          </w:tcPr>
          <w:p>
            <w:pPr>
              <w:jc w:val="right"/>
              <w:ind w:right="212"/>
              <w:spacing w:after="0"/>
              <w:rPr>
                <w:sz w:val="20"/>
                <w:szCs w:val="20"/>
                <w:color w:val="auto"/>
              </w:rPr>
            </w:pPr>
            <w:r>
              <w:rPr>
                <w:rFonts w:ascii="Arial" w:cs="Arial" w:eastAsia="Arial" w:hAnsi="Arial"/>
                <w:sz w:val="14"/>
                <w:szCs w:val="14"/>
                <w:color w:val="231F20"/>
              </w:rPr>
              <w:t>2</w:t>
            </w:r>
          </w:p>
        </w:tc>
        <w:tc>
          <w:tcPr>
            <w:tcW w:w="660" w:type="dxa"/>
            <w:vAlign w:val="bottom"/>
          </w:tcPr>
          <w:p>
            <w:pPr>
              <w:jc w:val="right"/>
              <w:spacing w:after="0"/>
              <w:rPr>
                <w:sz w:val="20"/>
                <w:szCs w:val="20"/>
                <w:color w:val="auto"/>
              </w:rPr>
            </w:pPr>
            <w:r>
              <w:rPr>
                <w:rFonts w:ascii="Arial" w:cs="Arial" w:eastAsia="Arial" w:hAnsi="Arial"/>
                <w:sz w:val="14"/>
                <w:szCs w:val="14"/>
                <w:color w:val="231F20"/>
              </w:rPr>
              <w:t>6</w:t>
            </w:r>
          </w:p>
        </w:tc>
        <w:tc>
          <w:tcPr>
            <w:tcW w:w="460" w:type="dxa"/>
            <w:vAlign w:val="bottom"/>
          </w:tcPr>
          <w:p>
            <w:pPr>
              <w:jc w:val="right"/>
              <w:spacing w:after="0"/>
              <w:rPr>
                <w:sz w:val="20"/>
                <w:szCs w:val="20"/>
                <w:color w:val="auto"/>
              </w:rPr>
            </w:pPr>
            <w:r>
              <w:rPr>
                <w:rFonts w:ascii="Arial" w:cs="Arial" w:eastAsia="Arial" w:hAnsi="Arial"/>
                <w:sz w:val="14"/>
                <w:szCs w:val="14"/>
                <w:color w:val="231F20"/>
                <w:w w:val="95"/>
              </w:rPr>
              <w:t>Months</w:t>
            </w:r>
          </w:p>
        </w:tc>
      </w:tr>
      <w:tr>
        <w:trPr>
          <w:trHeight w:val="27"/>
        </w:trPr>
        <w:tc>
          <w:tcPr>
            <w:tcW w:w="1760" w:type="dxa"/>
            <w:vAlign w:val="bottom"/>
            <w:tcBorders>
              <w:bottom w:val="single" w:sz="8" w:color="231F20"/>
            </w:tcBorders>
          </w:tcPr>
          <w:p>
            <w:pPr>
              <w:spacing w:after="0"/>
              <w:rPr>
                <w:sz w:val="2"/>
                <w:szCs w:val="2"/>
                <w:color w:val="auto"/>
              </w:rPr>
            </w:pPr>
          </w:p>
        </w:tc>
        <w:tc>
          <w:tcPr>
            <w:tcW w:w="2300" w:type="dxa"/>
            <w:vAlign w:val="bottom"/>
            <w:tcBorders>
              <w:bottom w:val="single" w:sz="8" w:color="231F20"/>
            </w:tcBorders>
          </w:tcPr>
          <w:p>
            <w:pPr>
              <w:spacing w:after="0"/>
              <w:rPr>
                <w:sz w:val="2"/>
                <w:szCs w:val="2"/>
                <w:color w:val="auto"/>
              </w:rPr>
            </w:pPr>
          </w:p>
        </w:tc>
        <w:tc>
          <w:tcPr>
            <w:tcW w:w="1560" w:type="dxa"/>
            <w:vAlign w:val="bottom"/>
            <w:tcBorders>
              <w:bottom w:val="single" w:sz="8" w:color="231F20"/>
            </w:tcBorders>
          </w:tcPr>
          <w:p>
            <w:pPr>
              <w:spacing w:after="0"/>
              <w:rPr>
                <w:sz w:val="2"/>
                <w:szCs w:val="2"/>
                <w:color w:val="auto"/>
              </w:rPr>
            </w:pPr>
          </w:p>
        </w:tc>
        <w:tc>
          <w:tcPr>
            <w:tcW w:w="660" w:type="dxa"/>
            <w:vAlign w:val="bottom"/>
            <w:tcBorders>
              <w:bottom w:val="single" w:sz="8" w:color="231F20"/>
            </w:tcBorders>
          </w:tcPr>
          <w:p>
            <w:pPr>
              <w:spacing w:after="0"/>
              <w:rPr>
                <w:sz w:val="2"/>
                <w:szCs w:val="2"/>
                <w:color w:val="auto"/>
              </w:rPr>
            </w:pPr>
          </w:p>
        </w:tc>
        <w:tc>
          <w:tcPr>
            <w:tcW w:w="460" w:type="dxa"/>
            <w:vAlign w:val="bottom"/>
            <w:tcBorders>
              <w:bottom w:val="single" w:sz="8" w:color="231F20"/>
            </w:tcBorders>
          </w:tcPr>
          <w:p>
            <w:pPr>
              <w:spacing w:after="0"/>
              <w:rPr>
                <w:sz w:val="2"/>
                <w:szCs w:val="2"/>
                <w:color w:val="auto"/>
              </w:rPr>
            </w:pPr>
          </w:p>
        </w:tc>
      </w:tr>
      <w:tr>
        <w:trPr>
          <w:trHeight w:val="221"/>
        </w:trPr>
        <w:tc>
          <w:tcPr>
            <w:tcW w:w="1760" w:type="dxa"/>
            <w:vAlign w:val="bottom"/>
          </w:tcPr>
          <w:p>
            <w:pPr>
              <w:spacing w:after="0"/>
              <w:rPr>
                <w:sz w:val="20"/>
                <w:szCs w:val="20"/>
                <w:color w:val="auto"/>
              </w:rPr>
            </w:pPr>
            <w:r>
              <w:rPr>
                <w:rFonts w:ascii="Arial" w:cs="Arial" w:eastAsia="Arial" w:hAnsi="Arial"/>
                <w:sz w:val="14"/>
                <w:szCs w:val="14"/>
                <w:b w:val="1"/>
                <w:bCs w:val="1"/>
                <w:color w:val="455986"/>
              </w:rPr>
              <w:t>Rhodes</w:t>
            </w:r>
          </w:p>
        </w:tc>
        <w:tc>
          <w:tcPr>
            <w:tcW w:w="2300" w:type="dxa"/>
            <w:vAlign w:val="bottom"/>
          </w:tcPr>
          <w:p>
            <w:pPr>
              <w:jc w:val="right"/>
              <w:spacing w:after="0"/>
              <w:rPr>
                <w:sz w:val="20"/>
                <w:szCs w:val="20"/>
                <w:color w:val="auto"/>
              </w:rPr>
            </w:pPr>
            <w:r>
              <w:rPr>
                <w:rFonts w:ascii="Arial" w:cs="Arial" w:eastAsia="Arial" w:hAnsi="Arial"/>
                <w:sz w:val="14"/>
                <w:szCs w:val="14"/>
                <w:color w:val="231F20"/>
              </w:rPr>
              <w:t>2</w:t>
            </w:r>
          </w:p>
        </w:tc>
        <w:tc>
          <w:tcPr>
            <w:tcW w:w="1560" w:type="dxa"/>
            <w:vAlign w:val="bottom"/>
          </w:tcPr>
          <w:p>
            <w:pPr>
              <w:jc w:val="right"/>
              <w:ind w:right="212"/>
              <w:spacing w:after="0"/>
              <w:rPr>
                <w:sz w:val="20"/>
                <w:szCs w:val="20"/>
                <w:color w:val="auto"/>
              </w:rPr>
            </w:pPr>
            <w:r>
              <w:rPr>
                <w:rFonts w:ascii="Arial" w:cs="Arial" w:eastAsia="Arial" w:hAnsi="Arial"/>
                <w:sz w:val="14"/>
                <w:szCs w:val="14"/>
                <w:color w:val="231F20"/>
              </w:rPr>
              <w:t>2</w:t>
            </w:r>
          </w:p>
        </w:tc>
        <w:tc>
          <w:tcPr>
            <w:tcW w:w="660" w:type="dxa"/>
            <w:vAlign w:val="bottom"/>
          </w:tcPr>
          <w:p>
            <w:pPr>
              <w:jc w:val="right"/>
              <w:spacing w:after="0"/>
              <w:rPr>
                <w:sz w:val="20"/>
                <w:szCs w:val="20"/>
                <w:color w:val="auto"/>
              </w:rPr>
            </w:pPr>
            <w:r>
              <w:rPr>
                <w:rFonts w:ascii="Arial" w:cs="Arial" w:eastAsia="Arial" w:hAnsi="Arial"/>
                <w:sz w:val="14"/>
                <w:szCs w:val="14"/>
                <w:color w:val="231F20"/>
              </w:rPr>
              <w:t>6</w:t>
            </w:r>
          </w:p>
        </w:tc>
        <w:tc>
          <w:tcPr>
            <w:tcW w:w="460" w:type="dxa"/>
            <w:vAlign w:val="bottom"/>
          </w:tcPr>
          <w:p>
            <w:pPr>
              <w:jc w:val="right"/>
              <w:spacing w:after="0"/>
              <w:rPr>
                <w:sz w:val="20"/>
                <w:szCs w:val="20"/>
                <w:color w:val="auto"/>
              </w:rPr>
            </w:pPr>
            <w:r>
              <w:rPr>
                <w:rFonts w:ascii="Arial" w:cs="Arial" w:eastAsia="Arial" w:hAnsi="Arial"/>
                <w:sz w:val="14"/>
                <w:szCs w:val="14"/>
                <w:color w:val="231F20"/>
                <w:w w:val="95"/>
              </w:rPr>
              <w:t>Months</w:t>
            </w:r>
          </w:p>
        </w:tc>
      </w:tr>
      <w:tr>
        <w:trPr>
          <w:trHeight w:val="27"/>
        </w:trPr>
        <w:tc>
          <w:tcPr>
            <w:tcW w:w="1760" w:type="dxa"/>
            <w:vAlign w:val="bottom"/>
            <w:tcBorders>
              <w:bottom w:val="single" w:sz="8" w:color="231F20"/>
            </w:tcBorders>
          </w:tcPr>
          <w:p>
            <w:pPr>
              <w:spacing w:after="0"/>
              <w:rPr>
                <w:sz w:val="2"/>
                <w:szCs w:val="2"/>
                <w:color w:val="auto"/>
              </w:rPr>
            </w:pPr>
          </w:p>
        </w:tc>
        <w:tc>
          <w:tcPr>
            <w:tcW w:w="2300" w:type="dxa"/>
            <w:vAlign w:val="bottom"/>
            <w:tcBorders>
              <w:bottom w:val="single" w:sz="8" w:color="231F20"/>
            </w:tcBorders>
          </w:tcPr>
          <w:p>
            <w:pPr>
              <w:spacing w:after="0"/>
              <w:rPr>
                <w:sz w:val="2"/>
                <w:szCs w:val="2"/>
                <w:color w:val="auto"/>
              </w:rPr>
            </w:pPr>
          </w:p>
        </w:tc>
        <w:tc>
          <w:tcPr>
            <w:tcW w:w="1560" w:type="dxa"/>
            <w:vAlign w:val="bottom"/>
            <w:tcBorders>
              <w:bottom w:val="single" w:sz="8" w:color="231F20"/>
            </w:tcBorders>
          </w:tcPr>
          <w:p>
            <w:pPr>
              <w:spacing w:after="0"/>
              <w:rPr>
                <w:sz w:val="2"/>
                <w:szCs w:val="2"/>
                <w:color w:val="auto"/>
              </w:rPr>
            </w:pPr>
          </w:p>
        </w:tc>
        <w:tc>
          <w:tcPr>
            <w:tcW w:w="660" w:type="dxa"/>
            <w:vAlign w:val="bottom"/>
            <w:tcBorders>
              <w:bottom w:val="single" w:sz="8" w:color="231F20"/>
            </w:tcBorders>
          </w:tcPr>
          <w:p>
            <w:pPr>
              <w:spacing w:after="0"/>
              <w:rPr>
                <w:sz w:val="2"/>
                <w:szCs w:val="2"/>
                <w:color w:val="auto"/>
              </w:rPr>
            </w:pPr>
          </w:p>
        </w:tc>
        <w:tc>
          <w:tcPr>
            <w:tcW w:w="460" w:type="dxa"/>
            <w:vAlign w:val="bottom"/>
            <w:tcBorders>
              <w:bottom w:val="single" w:sz="8" w:color="231F20"/>
            </w:tcBorders>
          </w:tcPr>
          <w:p>
            <w:pPr>
              <w:spacing w:after="0"/>
              <w:rPr>
                <w:sz w:val="2"/>
                <w:szCs w:val="2"/>
                <w:color w:val="auto"/>
              </w:rPr>
            </w:pPr>
          </w:p>
        </w:tc>
      </w:tr>
      <w:tr>
        <w:trPr>
          <w:trHeight w:val="221"/>
        </w:trPr>
        <w:tc>
          <w:tcPr>
            <w:tcW w:w="1760" w:type="dxa"/>
            <w:vAlign w:val="bottom"/>
          </w:tcPr>
          <w:p>
            <w:pPr>
              <w:spacing w:after="0"/>
              <w:rPr>
                <w:sz w:val="20"/>
                <w:szCs w:val="20"/>
                <w:color w:val="auto"/>
              </w:rPr>
            </w:pPr>
            <w:r>
              <w:rPr>
                <w:rFonts w:ascii="Arial" w:cs="Arial" w:eastAsia="Arial" w:hAnsi="Arial"/>
                <w:sz w:val="14"/>
                <w:szCs w:val="14"/>
                <w:b w:val="1"/>
                <w:bCs w:val="1"/>
                <w:color w:val="455986"/>
              </w:rPr>
              <w:t>Schuller</w:t>
            </w:r>
          </w:p>
        </w:tc>
        <w:tc>
          <w:tcPr>
            <w:tcW w:w="2300" w:type="dxa"/>
            <w:vAlign w:val="bottom"/>
          </w:tcPr>
          <w:p>
            <w:pPr>
              <w:jc w:val="right"/>
              <w:spacing w:after="0"/>
              <w:rPr>
                <w:sz w:val="20"/>
                <w:szCs w:val="20"/>
                <w:color w:val="auto"/>
              </w:rPr>
            </w:pPr>
            <w:r>
              <w:rPr>
                <w:rFonts w:ascii="Arial" w:cs="Arial" w:eastAsia="Arial" w:hAnsi="Arial"/>
                <w:sz w:val="14"/>
                <w:szCs w:val="14"/>
                <w:color w:val="231F20"/>
              </w:rPr>
              <w:t>2</w:t>
            </w:r>
          </w:p>
        </w:tc>
        <w:tc>
          <w:tcPr>
            <w:tcW w:w="1560" w:type="dxa"/>
            <w:vAlign w:val="bottom"/>
          </w:tcPr>
          <w:p>
            <w:pPr>
              <w:jc w:val="right"/>
              <w:ind w:right="212"/>
              <w:spacing w:after="0"/>
              <w:rPr>
                <w:sz w:val="20"/>
                <w:szCs w:val="20"/>
                <w:color w:val="auto"/>
              </w:rPr>
            </w:pPr>
            <w:r>
              <w:rPr>
                <w:rFonts w:ascii="Arial" w:cs="Arial" w:eastAsia="Arial" w:hAnsi="Arial"/>
                <w:sz w:val="14"/>
                <w:szCs w:val="14"/>
                <w:color w:val="231F20"/>
              </w:rPr>
              <w:t>2</w:t>
            </w:r>
          </w:p>
        </w:tc>
        <w:tc>
          <w:tcPr>
            <w:tcW w:w="660" w:type="dxa"/>
            <w:vAlign w:val="bottom"/>
          </w:tcPr>
          <w:p>
            <w:pPr>
              <w:jc w:val="right"/>
              <w:spacing w:after="0"/>
              <w:rPr>
                <w:sz w:val="20"/>
                <w:szCs w:val="20"/>
                <w:color w:val="auto"/>
              </w:rPr>
            </w:pPr>
            <w:r>
              <w:rPr>
                <w:rFonts w:ascii="Arial" w:cs="Arial" w:eastAsia="Arial" w:hAnsi="Arial"/>
                <w:sz w:val="14"/>
                <w:szCs w:val="14"/>
                <w:color w:val="231F20"/>
              </w:rPr>
              <w:t>6</w:t>
            </w:r>
          </w:p>
        </w:tc>
        <w:tc>
          <w:tcPr>
            <w:tcW w:w="460" w:type="dxa"/>
            <w:vAlign w:val="bottom"/>
          </w:tcPr>
          <w:p>
            <w:pPr>
              <w:jc w:val="right"/>
              <w:spacing w:after="0"/>
              <w:rPr>
                <w:sz w:val="20"/>
                <w:szCs w:val="20"/>
                <w:color w:val="auto"/>
              </w:rPr>
            </w:pPr>
            <w:r>
              <w:rPr>
                <w:rFonts w:ascii="Arial" w:cs="Arial" w:eastAsia="Arial" w:hAnsi="Arial"/>
                <w:sz w:val="14"/>
                <w:szCs w:val="14"/>
                <w:color w:val="231F20"/>
                <w:w w:val="95"/>
              </w:rPr>
              <w:t>Months</w:t>
            </w:r>
          </w:p>
        </w:tc>
      </w:tr>
      <w:tr>
        <w:trPr>
          <w:trHeight w:val="27"/>
        </w:trPr>
        <w:tc>
          <w:tcPr>
            <w:tcW w:w="1760" w:type="dxa"/>
            <w:vAlign w:val="bottom"/>
            <w:tcBorders>
              <w:bottom w:val="single" w:sz="8" w:color="231F20"/>
            </w:tcBorders>
          </w:tcPr>
          <w:p>
            <w:pPr>
              <w:spacing w:after="0"/>
              <w:rPr>
                <w:sz w:val="2"/>
                <w:szCs w:val="2"/>
                <w:color w:val="auto"/>
              </w:rPr>
            </w:pPr>
          </w:p>
        </w:tc>
        <w:tc>
          <w:tcPr>
            <w:tcW w:w="2300" w:type="dxa"/>
            <w:vAlign w:val="bottom"/>
            <w:tcBorders>
              <w:bottom w:val="single" w:sz="8" w:color="231F20"/>
            </w:tcBorders>
          </w:tcPr>
          <w:p>
            <w:pPr>
              <w:spacing w:after="0"/>
              <w:rPr>
                <w:sz w:val="2"/>
                <w:szCs w:val="2"/>
                <w:color w:val="auto"/>
              </w:rPr>
            </w:pPr>
          </w:p>
        </w:tc>
        <w:tc>
          <w:tcPr>
            <w:tcW w:w="1560" w:type="dxa"/>
            <w:vAlign w:val="bottom"/>
            <w:tcBorders>
              <w:bottom w:val="single" w:sz="8" w:color="231F20"/>
            </w:tcBorders>
          </w:tcPr>
          <w:p>
            <w:pPr>
              <w:spacing w:after="0"/>
              <w:rPr>
                <w:sz w:val="2"/>
                <w:szCs w:val="2"/>
                <w:color w:val="auto"/>
              </w:rPr>
            </w:pPr>
          </w:p>
        </w:tc>
        <w:tc>
          <w:tcPr>
            <w:tcW w:w="660" w:type="dxa"/>
            <w:vAlign w:val="bottom"/>
            <w:tcBorders>
              <w:bottom w:val="single" w:sz="8" w:color="231F20"/>
            </w:tcBorders>
          </w:tcPr>
          <w:p>
            <w:pPr>
              <w:spacing w:after="0"/>
              <w:rPr>
                <w:sz w:val="2"/>
                <w:szCs w:val="2"/>
                <w:color w:val="auto"/>
              </w:rPr>
            </w:pPr>
          </w:p>
        </w:tc>
        <w:tc>
          <w:tcPr>
            <w:tcW w:w="460" w:type="dxa"/>
            <w:vAlign w:val="bottom"/>
            <w:tcBorders>
              <w:bottom w:val="single" w:sz="8" w:color="231F20"/>
            </w:tcBorders>
          </w:tcPr>
          <w:p>
            <w:pPr>
              <w:spacing w:after="0"/>
              <w:rPr>
                <w:sz w:val="2"/>
                <w:szCs w:val="2"/>
                <w:color w:val="auto"/>
              </w:rPr>
            </w:pPr>
          </w:p>
        </w:tc>
      </w:tr>
      <w:tr>
        <w:trPr>
          <w:trHeight w:val="221"/>
        </w:trPr>
        <w:tc>
          <w:tcPr>
            <w:tcW w:w="1760" w:type="dxa"/>
            <w:vAlign w:val="bottom"/>
          </w:tcPr>
          <w:p>
            <w:pPr>
              <w:spacing w:after="0"/>
              <w:rPr>
                <w:sz w:val="20"/>
                <w:szCs w:val="20"/>
                <w:color w:val="auto"/>
              </w:rPr>
            </w:pPr>
            <w:r>
              <w:rPr>
                <w:rFonts w:ascii="Arial" w:cs="Arial" w:eastAsia="Arial" w:hAnsi="Arial"/>
                <w:sz w:val="14"/>
                <w:szCs w:val="14"/>
                <w:b w:val="1"/>
                <w:bCs w:val="1"/>
                <w:color w:val="455986"/>
              </w:rPr>
              <w:t>Luning</w:t>
            </w:r>
          </w:p>
        </w:tc>
        <w:tc>
          <w:tcPr>
            <w:tcW w:w="2300" w:type="dxa"/>
            <w:vAlign w:val="bottom"/>
          </w:tcPr>
          <w:p>
            <w:pPr>
              <w:jc w:val="right"/>
              <w:spacing w:after="0"/>
              <w:rPr>
                <w:sz w:val="20"/>
                <w:szCs w:val="20"/>
                <w:color w:val="auto"/>
              </w:rPr>
            </w:pPr>
            <w:r>
              <w:rPr>
                <w:rFonts w:ascii="Arial" w:cs="Arial" w:eastAsia="Arial" w:hAnsi="Arial"/>
                <w:sz w:val="14"/>
                <w:szCs w:val="14"/>
                <w:color w:val="231F20"/>
              </w:rPr>
              <w:t>2</w:t>
            </w:r>
          </w:p>
        </w:tc>
        <w:tc>
          <w:tcPr>
            <w:tcW w:w="1560" w:type="dxa"/>
            <w:vAlign w:val="bottom"/>
          </w:tcPr>
          <w:p>
            <w:pPr>
              <w:jc w:val="right"/>
              <w:ind w:right="212"/>
              <w:spacing w:after="0"/>
              <w:rPr>
                <w:sz w:val="20"/>
                <w:szCs w:val="20"/>
                <w:color w:val="auto"/>
              </w:rPr>
            </w:pPr>
            <w:r>
              <w:rPr>
                <w:rFonts w:ascii="Arial" w:cs="Arial" w:eastAsia="Arial" w:hAnsi="Arial"/>
                <w:sz w:val="14"/>
                <w:szCs w:val="14"/>
                <w:color w:val="231F20"/>
              </w:rPr>
              <w:t>2</w:t>
            </w:r>
          </w:p>
        </w:tc>
        <w:tc>
          <w:tcPr>
            <w:tcW w:w="660" w:type="dxa"/>
            <w:vAlign w:val="bottom"/>
          </w:tcPr>
          <w:p>
            <w:pPr>
              <w:jc w:val="right"/>
              <w:spacing w:after="0"/>
              <w:rPr>
                <w:sz w:val="20"/>
                <w:szCs w:val="20"/>
                <w:color w:val="auto"/>
              </w:rPr>
            </w:pPr>
            <w:r>
              <w:rPr>
                <w:rFonts w:ascii="Arial" w:cs="Arial" w:eastAsia="Arial" w:hAnsi="Arial"/>
                <w:sz w:val="14"/>
                <w:szCs w:val="14"/>
                <w:color w:val="231F20"/>
              </w:rPr>
              <w:t>6</w:t>
            </w:r>
          </w:p>
        </w:tc>
        <w:tc>
          <w:tcPr>
            <w:tcW w:w="460" w:type="dxa"/>
            <w:vAlign w:val="bottom"/>
          </w:tcPr>
          <w:p>
            <w:pPr>
              <w:jc w:val="right"/>
              <w:spacing w:after="0"/>
              <w:rPr>
                <w:sz w:val="20"/>
                <w:szCs w:val="20"/>
                <w:color w:val="auto"/>
              </w:rPr>
            </w:pPr>
            <w:r>
              <w:rPr>
                <w:rFonts w:ascii="Arial" w:cs="Arial" w:eastAsia="Arial" w:hAnsi="Arial"/>
                <w:sz w:val="14"/>
                <w:szCs w:val="14"/>
                <w:color w:val="231F20"/>
                <w:w w:val="95"/>
              </w:rPr>
              <w:t>Months</w:t>
            </w:r>
          </w:p>
        </w:tc>
      </w:tr>
      <w:tr>
        <w:trPr>
          <w:trHeight w:val="27"/>
        </w:trPr>
        <w:tc>
          <w:tcPr>
            <w:tcW w:w="1760" w:type="dxa"/>
            <w:vAlign w:val="bottom"/>
            <w:tcBorders>
              <w:bottom w:val="single" w:sz="8" w:color="231F20"/>
            </w:tcBorders>
          </w:tcPr>
          <w:p>
            <w:pPr>
              <w:spacing w:after="0"/>
              <w:rPr>
                <w:sz w:val="2"/>
                <w:szCs w:val="2"/>
                <w:color w:val="auto"/>
              </w:rPr>
            </w:pPr>
          </w:p>
        </w:tc>
        <w:tc>
          <w:tcPr>
            <w:tcW w:w="2300" w:type="dxa"/>
            <w:vAlign w:val="bottom"/>
            <w:tcBorders>
              <w:bottom w:val="single" w:sz="8" w:color="231F20"/>
            </w:tcBorders>
          </w:tcPr>
          <w:p>
            <w:pPr>
              <w:spacing w:after="0"/>
              <w:rPr>
                <w:sz w:val="2"/>
                <w:szCs w:val="2"/>
                <w:color w:val="auto"/>
              </w:rPr>
            </w:pPr>
          </w:p>
        </w:tc>
        <w:tc>
          <w:tcPr>
            <w:tcW w:w="1560" w:type="dxa"/>
            <w:vAlign w:val="bottom"/>
            <w:tcBorders>
              <w:bottom w:val="single" w:sz="8" w:color="231F20"/>
            </w:tcBorders>
          </w:tcPr>
          <w:p>
            <w:pPr>
              <w:spacing w:after="0"/>
              <w:rPr>
                <w:sz w:val="2"/>
                <w:szCs w:val="2"/>
                <w:color w:val="auto"/>
              </w:rPr>
            </w:pPr>
          </w:p>
        </w:tc>
        <w:tc>
          <w:tcPr>
            <w:tcW w:w="660" w:type="dxa"/>
            <w:vAlign w:val="bottom"/>
            <w:tcBorders>
              <w:bottom w:val="single" w:sz="8" w:color="231F20"/>
            </w:tcBorders>
          </w:tcPr>
          <w:p>
            <w:pPr>
              <w:spacing w:after="0"/>
              <w:rPr>
                <w:sz w:val="2"/>
                <w:szCs w:val="2"/>
                <w:color w:val="auto"/>
              </w:rPr>
            </w:pPr>
          </w:p>
        </w:tc>
        <w:tc>
          <w:tcPr>
            <w:tcW w:w="460" w:type="dxa"/>
            <w:vAlign w:val="bottom"/>
            <w:tcBorders>
              <w:bottom w:val="single" w:sz="8" w:color="231F20"/>
            </w:tcBorders>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113665</wp:posOffset>
            </wp:positionV>
            <wp:extent cx="7139940" cy="825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7139940" cy="8255"/>
                    </a:xfrm>
                    <a:prstGeom prst="rect">
                      <a:avLst/>
                    </a:prstGeom>
                    <a:noFill/>
                  </pic:spPr>
                </pic:pic>
              </a:graphicData>
            </a:graphic>
          </wp:anchor>
        </w:drawing>
      </w:r>
    </w:p>
    <w:p>
      <w:pPr>
        <w:spacing w:after="0" w:line="228" w:lineRule="exact"/>
        <w:rPr>
          <w:sz w:val="20"/>
          <w:szCs w:val="20"/>
          <w:color w:val="auto"/>
        </w:rPr>
      </w:pPr>
    </w:p>
    <w:p>
      <w:pPr>
        <w:ind w:left="300" w:hanging="298"/>
        <w:spacing w:after="0"/>
        <w:tabs>
          <w:tab w:leader="none" w:pos="300" w:val="left"/>
        </w:tabs>
        <w:numPr>
          <w:ilvl w:val="0"/>
          <w:numId w:val="143"/>
        </w:numPr>
        <w:rPr>
          <w:rFonts w:ascii="Arial" w:cs="Arial" w:eastAsia="Arial" w:hAnsi="Arial"/>
          <w:sz w:val="15"/>
          <w:szCs w:val="15"/>
          <w:color w:val="455986"/>
        </w:rPr>
      </w:pPr>
      <w:r>
        <w:rPr>
          <w:rFonts w:ascii="Arial" w:cs="Arial" w:eastAsia="Arial" w:hAnsi="Arial"/>
          <w:sz w:val="12"/>
          <w:szCs w:val="12"/>
          <w:color w:val="4395D4"/>
        </w:rPr>
        <w:t xml:space="preserve">ESSENTIAL UTILITIES, INC. </w:t>
      </w:r>
      <w:r>
        <w:rPr>
          <w:rFonts w:ascii="Arial" w:cs="Arial" w:eastAsia="Arial" w:hAnsi="Arial"/>
          <w:sz w:val="12"/>
          <w:szCs w:val="12"/>
          <w:color w:val="455986"/>
        </w:rPr>
        <w:t>2021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316230</wp:posOffset>
            </wp:positionV>
            <wp:extent cx="7139940" cy="24130"/>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7139940" cy="24130"/>
                    </a:xfrm>
                    <a:prstGeom prst="rect">
                      <a:avLst/>
                    </a:prstGeom>
                    <a:noFill/>
                  </pic:spPr>
                </pic:pic>
              </a:graphicData>
            </a:graphic>
          </wp:anchor>
        </w:drawing>
      </w:r>
    </w:p>
    <w:p>
      <w:pPr>
        <w:sectPr>
          <w:pgSz w:w="11900" w:h="16838" w:orient="portrait"/>
          <w:cols w:equalWidth="0" w:num="1">
            <w:col w:w="11240"/>
          </w:cols>
          <w:pgMar w:left="320" w:top="636" w:right="339" w:bottom="1440" w:gutter="0" w:footer="0" w:header="0"/>
        </w:sectPr>
      </w:pPr>
    </w:p>
    <w:bookmarkStart w:id="81" w:name="page82"/>
    <w:bookmarkEnd w:id="81"/>
    <w:p>
      <w:pPr>
        <w:spacing w:after="0"/>
        <w:rPr>
          <w:sz w:val="20"/>
          <w:szCs w:val="20"/>
          <w:color w:val="auto"/>
        </w:rPr>
      </w:pPr>
      <w:r>
        <w:rPr>
          <w:rFonts w:ascii="Arial" w:cs="Arial" w:eastAsia="Arial" w:hAnsi="Arial"/>
          <w:sz w:val="14"/>
          <w:szCs w:val="14"/>
          <w:b w:val="1"/>
          <w:bCs w:val="1"/>
          <w:color w:val="455986"/>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27940</wp:posOffset>
            </wp:positionV>
            <wp:extent cx="7139940" cy="825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7139940" cy="8255"/>
                    </a:xfrm>
                    <a:prstGeom prst="rect">
                      <a:avLst/>
                    </a:prstGeom>
                    <a:noFill/>
                  </pic:spPr>
                </pic:pic>
              </a:graphicData>
            </a:graphic>
          </wp:anchor>
        </w:drawing>
      </w:r>
    </w:p>
    <w:p>
      <w:pPr>
        <w:spacing w:after="0" w:line="76" w:lineRule="exact"/>
        <w:rPr>
          <w:sz w:val="20"/>
          <w:szCs w:val="20"/>
          <w:color w:val="auto"/>
        </w:rPr>
      </w:pPr>
    </w:p>
    <w:p>
      <w:pPr>
        <w:spacing w:after="0"/>
        <w:rPr>
          <w:sz w:val="20"/>
          <w:szCs w:val="20"/>
          <w:color w:val="auto"/>
        </w:rPr>
      </w:pPr>
      <w:r>
        <w:rPr>
          <w:rFonts w:ascii="Arial" w:cs="Arial" w:eastAsia="Arial" w:hAnsi="Arial"/>
          <w:sz w:val="14"/>
          <w:szCs w:val="14"/>
          <w:color w:val="231F20"/>
        </w:rPr>
        <w:t>Potential Payments Upon Termination or Change-In-Control</w:t>
      </w:r>
    </w:p>
    <w:p>
      <w:pPr>
        <w:spacing w:after="0" w:line="174" w:lineRule="exact"/>
        <w:rPr>
          <w:sz w:val="20"/>
          <w:szCs w:val="20"/>
          <w:color w:val="auto"/>
        </w:rPr>
      </w:pPr>
    </w:p>
    <w:p>
      <w:pPr>
        <w:ind w:right="20"/>
        <w:spacing w:after="0" w:line="237" w:lineRule="auto"/>
        <w:rPr>
          <w:sz w:val="20"/>
          <w:szCs w:val="20"/>
          <w:color w:val="auto"/>
        </w:rPr>
      </w:pPr>
      <w:r>
        <w:rPr>
          <w:rFonts w:ascii="Arial" w:cs="Arial" w:eastAsia="Arial" w:hAnsi="Arial"/>
          <w:sz w:val="14"/>
          <w:szCs w:val="14"/>
          <w:color w:val="231F20"/>
        </w:rPr>
        <w:t>For purposes of the change-in-control agreements, Base Compensation is defined as current base annual salary, plus the greater of the named executive officer’s target bonus for the year in which the executive incurs a termination of employment, or the last actual bonus paid to the named executive officer under the Annual Cash Incentive Compensation Plan (or any successor plan maintained by the Company), in all capacities with the Company and its subsidiaries or affiliates. The executive’s Base Compensation would be determined prior to reduction for salary deferred by the named executive officer under any deferred compensation plan of Essential and its subsidiaries or affiliates, or otherwise. The named executive officer is entitled to receive a pro-rata share of the named executive officer’s target annual cash incentive compensation based on the portion of the calendar year that has elapsed at the time of the named executive officer’s termination. The named executive officer is also entitled to receive a lump sum payment in lieu of the continuation of certain health benefits for a period of 2 years and outplacement services.</w:t>
      </w:r>
    </w:p>
    <w:p>
      <w:pPr>
        <w:spacing w:after="0" w:line="112" w:lineRule="exact"/>
        <w:rPr>
          <w:sz w:val="20"/>
          <w:szCs w:val="20"/>
          <w:color w:val="auto"/>
        </w:rPr>
      </w:pPr>
    </w:p>
    <w:p>
      <w:pPr>
        <w:spacing w:after="0" w:line="245" w:lineRule="auto"/>
        <w:rPr>
          <w:sz w:val="20"/>
          <w:szCs w:val="20"/>
          <w:color w:val="auto"/>
        </w:rPr>
      </w:pPr>
      <w:r>
        <w:rPr>
          <w:rFonts w:ascii="Arial" w:cs="Arial" w:eastAsia="Arial" w:hAnsi="Arial"/>
          <w:sz w:val="14"/>
          <w:szCs w:val="14"/>
          <w:color w:val="231F20"/>
        </w:rPr>
        <w:t>The payment of the multiple of Base Compensation would be made in a lump sum within 60 days after the executive’s termination as defined under the agreement, although under the requirements of Section 409A of the Code, part or all of such payment may need to be deferred until the first day of the seventh month following the date of the named executive officer’s separation from employment. Each executive is required to execute a standard release of the Company as a condition to receiving the payment under the agreement.</w:t>
      </w:r>
    </w:p>
    <w:p>
      <w:pPr>
        <w:spacing w:after="0" w:line="273" w:lineRule="exact"/>
        <w:rPr>
          <w:sz w:val="20"/>
          <w:szCs w:val="20"/>
          <w:color w:val="auto"/>
        </w:rPr>
      </w:pPr>
    </w:p>
    <w:p>
      <w:pPr>
        <w:ind w:right="20"/>
        <w:spacing w:after="0"/>
        <w:rPr>
          <w:sz w:val="20"/>
          <w:szCs w:val="20"/>
          <w:color w:val="auto"/>
        </w:rPr>
      </w:pPr>
      <w:r>
        <w:rPr>
          <w:rFonts w:ascii="Arial" w:cs="Arial" w:eastAsia="Arial" w:hAnsi="Arial"/>
          <w:sz w:val="14"/>
          <w:szCs w:val="14"/>
          <w:color w:val="231F20"/>
        </w:rPr>
        <w:t>For equity incentive awards made under the Plan: (i) for restricted stock units without performance goals, if a change-in-control occurs prior to the vesting date, the restricted stock units would remain outstanding and vest on the vesting date or, if earlier, vest upon a qualified termination event following a change-in-control; (ii) for Options, if a change-in-control occurs prior to any vesting date, the Options would remain outstanding and vest in accordance with the vesting schedule, or, if earlier, accelerate and vest upon a qualified termination event following a change-in-control; and (iii) for performance shares, if a change-in-control occurs, performance would be measured at the date of the change-in-control, and the number of performance shares earned to be determined as of the date of the change-in-control as follows:</w:t>
      </w:r>
    </w:p>
    <w:p>
      <w:pPr>
        <w:spacing w:after="0" w:line="114" w:lineRule="exact"/>
        <w:rPr>
          <w:sz w:val="20"/>
          <w:szCs w:val="20"/>
          <w:color w:val="auto"/>
        </w:rPr>
      </w:pPr>
    </w:p>
    <w:p>
      <w:pPr>
        <w:ind w:left="200" w:right="120" w:hanging="198"/>
        <w:spacing w:after="0" w:line="278" w:lineRule="auto"/>
        <w:tabs>
          <w:tab w:leader="none" w:pos="200" w:val="left"/>
        </w:tabs>
        <w:numPr>
          <w:ilvl w:val="0"/>
          <w:numId w:val="144"/>
        </w:numPr>
        <w:rPr>
          <w:rFonts w:ascii="Arial" w:cs="Arial" w:eastAsia="Arial" w:hAnsi="Arial"/>
          <w:sz w:val="14"/>
          <w:szCs w:val="14"/>
          <w:color w:val="4395D4"/>
        </w:rPr>
      </w:pPr>
      <w:r>
        <w:rPr>
          <w:rFonts w:ascii="Arial" w:cs="Arial" w:eastAsia="Arial" w:hAnsi="Arial"/>
          <w:sz w:val="14"/>
          <w:szCs w:val="14"/>
          <w:color w:val="231F20"/>
        </w:rPr>
        <w:t>If a change-in-control occurs more than one year after the grant date, then the number of performance shares earned as of the change-in-control date would be the greater of (i) the amount earned based on actual performance, or (ii) the target number of performance shares.</w:t>
      </w:r>
    </w:p>
    <w:p>
      <w:pPr>
        <w:spacing w:after="0" w:line="9" w:lineRule="exact"/>
        <w:rPr>
          <w:rFonts w:ascii="Arial" w:cs="Arial" w:eastAsia="Arial" w:hAnsi="Arial"/>
          <w:sz w:val="14"/>
          <w:szCs w:val="14"/>
          <w:color w:val="4395D4"/>
        </w:rPr>
      </w:pPr>
    </w:p>
    <w:p>
      <w:pPr>
        <w:ind w:left="200" w:right="140" w:hanging="198"/>
        <w:spacing w:after="0" w:line="253" w:lineRule="auto"/>
        <w:tabs>
          <w:tab w:leader="none" w:pos="200" w:val="left"/>
        </w:tabs>
        <w:numPr>
          <w:ilvl w:val="0"/>
          <w:numId w:val="144"/>
        </w:numPr>
        <w:rPr>
          <w:rFonts w:ascii="Arial" w:cs="Arial" w:eastAsia="Arial" w:hAnsi="Arial"/>
          <w:sz w:val="14"/>
          <w:szCs w:val="14"/>
          <w:color w:val="4395D4"/>
        </w:rPr>
      </w:pPr>
      <w:r>
        <w:rPr>
          <w:rFonts w:ascii="Arial" w:cs="Arial" w:eastAsia="Arial" w:hAnsi="Arial"/>
          <w:sz w:val="14"/>
          <w:szCs w:val="14"/>
          <w:color w:val="231F20"/>
        </w:rPr>
        <w:t>If a change-in-control occurs within one year after the grant date, then the number of performance shares earned as of the change-in-control date would be a pro-rata portion (based on the number of whole months in the applicable performance period worked from the date of grant to the change-in-control) of the greater of (i) the amount earned based on actual performance, or (ii) the target number of performance shares.</w:t>
      </w:r>
    </w:p>
    <w:p>
      <w:pPr>
        <w:spacing w:after="0" w:line="103" w:lineRule="exact"/>
        <w:rPr>
          <w:sz w:val="20"/>
          <w:szCs w:val="20"/>
          <w:color w:val="auto"/>
        </w:rPr>
      </w:pPr>
    </w:p>
    <w:p>
      <w:pPr>
        <w:spacing w:after="0"/>
        <w:rPr>
          <w:sz w:val="20"/>
          <w:szCs w:val="20"/>
          <w:color w:val="auto"/>
        </w:rPr>
      </w:pPr>
      <w:r>
        <w:rPr>
          <w:rFonts w:ascii="Arial" w:cs="Arial" w:eastAsia="Arial" w:hAnsi="Arial"/>
          <w:sz w:val="14"/>
          <w:szCs w:val="14"/>
          <w:color w:val="231F20"/>
        </w:rPr>
        <w:t>Any performance shares that are not earned at the change-in-control date would be forfeited. The vesting of these equity incentives is applicable to all grantees under the Plan.</w:t>
      </w:r>
    </w:p>
    <w:p>
      <w:pPr>
        <w:spacing w:after="0" w:line="145" w:lineRule="exact"/>
        <w:rPr>
          <w:sz w:val="20"/>
          <w:szCs w:val="20"/>
          <w:color w:val="auto"/>
        </w:rPr>
      </w:pPr>
    </w:p>
    <w:p>
      <w:pPr>
        <w:ind w:right="100"/>
        <w:spacing w:after="0" w:line="278" w:lineRule="auto"/>
        <w:rPr>
          <w:sz w:val="20"/>
          <w:szCs w:val="20"/>
          <w:color w:val="auto"/>
        </w:rPr>
      </w:pPr>
      <w:r>
        <w:rPr>
          <w:rFonts w:ascii="Arial" w:cs="Arial" w:eastAsia="Arial" w:hAnsi="Arial"/>
          <w:sz w:val="14"/>
          <w:szCs w:val="14"/>
          <w:color w:val="231F20"/>
        </w:rPr>
        <w:t>The number of shares underlying the performance share awards will be earned and paid out at the end of the performance period, or, if earlier, as a double-trigger payment on the date of termination of employment following or in connection with the change-in-control.</w:t>
      </w:r>
    </w:p>
    <w:p>
      <w:pPr>
        <w:spacing w:after="0" w:line="86" w:lineRule="exact"/>
        <w:rPr>
          <w:sz w:val="20"/>
          <w:szCs w:val="20"/>
          <w:color w:val="auto"/>
        </w:rPr>
      </w:pPr>
    </w:p>
    <w:p>
      <w:pPr>
        <w:spacing w:after="0"/>
        <w:rPr>
          <w:sz w:val="20"/>
          <w:szCs w:val="20"/>
          <w:color w:val="auto"/>
        </w:rPr>
      </w:pPr>
      <w:r>
        <w:rPr>
          <w:rFonts w:ascii="Arial" w:cs="Arial" w:eastAsia="Arial" w:hAnsi="Arial"/>
          <w:sz w:val="14"/>
          <w:szCs w:val="14"/>
          <w:color w:val="231F20"/>
        </w:rPr>
        <w:t>For purposes of the change-in-control agreements and the vesting of unvested equity incentives as described above, a change-in- control, subject to certain exceptions, means:</w:t>
      </w:r>
    </w:p>
    <w:p>
      <w:pPr>
        <w:spacing w:after="0" w:line="145" w:lineRule="exact"/>
        <w:rPr>
          <w:sz w:val="20"/>
          <w:szCs w:val="20"/>
          <w:color w:val="auto"/>
        </w:rPr>
      </w:pPr>
    </w:p>
    <w:p>
      <w:pPr>
        <w:ind w:left="200" w:right="120" w:hanging="198"/>
        <w:spacing w:after="0" w:line="253" w:lineRule="auto"/>
        <w:tabs>
          <w:tab w:leader="none" w:pos="200" w:val="left"/>
        </w:tabs>
        <w:numPr>
          <w:ilvl w:val="0"/>
          <w:numId w:val="145"/>
        </w:numPr>
        <w:rPr>
          <w:rFonts w:ascii="Arial" w:cs="Arial" w:eastAsia="Arial" w:hAnsi="Arial"/>
          <w:sz w:val="14"/>
          <w:szCs w:val="14"/>
          <w:color w:val="231F20"/>
        </w:rPr>
      </w:pPr>
      <w:r>
        <w:rPr>
          <w:rFonts w:ascii="Arial" w:cs="Arial" w:eastAsia="Arial" w:hAnsi="Arial"/>
          <w:sz w:val="14"/>
          <w:szCs w:val="14"/>
          <w:color w:val="231F20"/>
        </w:rPr>
        <w:t>any person (including any individual, firm, corporation, partnership or other entity except Essential, any subsidiary of Essential, any employee benefit plan of Essential or of any subsidiary, or any person or entity organized, appointed or established by Essential for or pursuant to the terms of any such employee benefit plan), together with all affiliates and associates of such person, shall become the beneficial owner in the aggregate of 20% or more of the common stock of Essential then outstanding; or</w:t>
      </w:r>
    </w:p>
    <w:p>
      <w:pPr>
        <w:spacing w:after="0" w:line="103" w:lineRule="exact"/>
        <w:rPr>
          <w:rFonts w:ascii="Arial" w:cs="Arial" w:eastAsia="Arial" w:hAnsi="Arial"/>
          <w:sz w:val="14"/>
          <w:szCs w:val="14"/>
          <w:color w:val="231F20"/>
        </w:rPr>
      </w:pPr>
    </w:p>
    <w:p>
      <w:pPr>
        <w:ind w:left="200" w:right="20" w:hanging="198"/>
        <w:spacing w:after="0" w:line="245" w:lineRule="auto"/>
        <w:tabs>
          <w:tab w:leader="none" w:pos="200" w:val="left"/>
        </w:tabs>
        <w:numPr>
          <w:ilvl w:val="0"/>
          <w:numId w:val="145"/>
        </w:numPr>
        <w:rPr>
          <w:rFonts w:ascii="Arial" w:cs="Arial" w:eastAsia="Arial" w:hAnsi="Arial"/>
          <w:sz w:val="14"/>
          <w:szCs w:val="14"/>
          <w:color w:val="231F20"/>
        </w:rPr>
      </w:pPr>
      <w:r>
        <w:rPr>
          <w:rFonts w:ascii="Arial" w:cs="Arial" w:eastAsia="Arial" w:hAnsi="Arial"/>
          <w:sz w:val="14"/>
          <w:szCs w:val="14"/>
          <w:color w:val="231F20"/>
        </w:rPr>
        <w:t>during any 24-month period, individuals who at the beginning of such period constitute the Board of Directors of Essential cease for any reason to constitute a majority thereof, unless the election, or the nomination for election by Essential’s shareholders, of at least seventy-five percent of the directors who were not directors at the beginning of such period was approved by a vote of at least seventy-five percent of the directors in office at the time of such election or nomination who were directors at the beginning of such period; or</w:t>
      </w:r>
    </w:p>
    <w:p>
      <w:pPr>
        <w:spacing w:after="0" w:line="108" w:lineRule="exact"/>
        <w:rPr>
          <w:rFonts w:ascii="Arial" w:cs="Arial" w:eastAsia="Arial" w:hAnsi="Arial"/>
          <w:sz w:val="14"/>
          <w:szCs w:val="14"/>
          <w:color w:val="231F20"/>
        </w:rPr>
      </w:pPr>
    </w:p>
    <w:p>
      <w:pPr>
        <w:jc w:val="both"/>
        <w:ind w:left="200" w:right="100" w:hanging="198"/>
        <w:spacing w:after="0" w:line="258" w:lineRule="auto"/>
        <w:tabs>
          <w:tab w:leader="none" w:pos="200" w:val="left"/>
        </w:tabs>
        <w:numPr>
          <w:ilvl w:val="0"/>
          <w:numId w:val="145"/>
        </w:numPr>
        <w:rPr>
          <w:rFonts w:ascii="Arial" w:cs="Arial" w:eastAsia="Arial" w:hAnsi="Arial"/>
          <w:sz w:val="14"/>
          <w:szCs w:val="14"/>
          <w:color w:val="231F20"/>
        </w:rPr>
      </w:pPr>
      <w:r>
        <w:rPr>
          <w:rFonts w:ascii="Arial" w:cs="Arial" w:eastAsia="Arial" w:hAnsi="Arial"/>
          <w:sz w:val="14"/>
          <w:szCs w:val="14"/>
          <w:color w:val="231F20"/>
        </w:rPr>
        <w:t>there occurs a sale of 50% or more of the aggregate assets or earning power of Essential and its subsidiaries, or its liquidation is approved by a majority of its shareholders or Essential is merged into or is merged with an unrelated entity such that following the merger the shareholders of Essential no longer own more than 50% of the resultant entity.</w:t>
      </w:r>
    </w:p>
    <w:p>
      <w:pPr>
        <w:spacing w:after="0" w:line="266" w:lineRule="exact"/>
        <w:rPr>
          <w:sz w:val="20"/>
          <w:szCs w:val="20"/>
          <w:color w:val="auto"/>
        </w:rPr>
      </w:pPr>
    </w:p>
    <w:p>
      <w:pPr>
        <w:ind w:right="120"/>
        <w:spacing w:after="0" w:line="278" w:lineRule="auto"/>
        <w:rPr>
          <w:sz w:val="20"/>
          <w:szCs w:val="20"/>
          <w:color w:val="auto"/>
        </w:rPr>
      </w:pPr>
      <w:r>
        <w:rPr>
          <w:rFonts w:ascii="Arial" w:cs="Arial" w:eastAsia="Arial" w:hAnsi="Arial"/>
          <w:sz w:val="14"/>
          <w:szCs w:val="14"/>
          <w:color w:val="231F20"/>
        </w:rPr>
        <w:t>The change-in-control agreement for Mr. Franklin and the form of change-in-control agreement for the other named executive officers have been filed with the SEC as exhibits to the Company’s periodic report filings.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92710</wp:posOffset>
            </wp:positionV>
            <wp:extent cx="7139940" cy="825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7139940" cy="8255"/>
                    </a:xfrm>
                    <a:prstGeom prst="rect">
                      <a:avLst/>
                    </a:prstGeom>
                    <a:noFill/>
                  </pic:spPr>
                </pic:pic>
              </a:graphicData>
            </a:graphic>
          </wp:anchor>
        </w:drawing>
      </w:r>
    </w:p>
    <w:p>
      <w:pPr>
        <w:spacing w:after="0" w:line="172" w:lineRule="exact"/>
        <w:rPr>
          <w:sz w:val="20"/>
          <w:szCs w:val="20"/>
          <w:color w:val="auto"/>
        </w:rPr>
      </w:pPr>
    </w:p>
    <w:p>
      <w:pPr>
        <w:jc w:val="right"/>
        <w:spacing w:after="0"/>
        <w:tabs>
          <w:tab w:leader="none" w:pos="140" w:val="left"/>
        </w:tabs>
        <w:rPr>
          <w:sz w:val="20"/>
          <w:szCs w:val="20"/>
          <w:color w:val="auto"/>
        </w:rPr>
      </w:pPr>
      <w:r>
        <w:rPr>
          <w:rFonts w:ascii="Arial" w:cs="Arial" w:eastAsia="Arial" w:hAnsi="Arial"/>
          <w:sz w:val="12"/>
          <w:szCs w:val="12"/>
          <w:color w:val="4395D4"/>
        </w:rPr>
        <w:t xml:space="preserve">ESSENTIAL UTILITIES, INC. </w:t>
      </w:r>
      <w:r>
        <w:rPr>
          <w:rFonts w:ascii="Arial" w:cs="Arial" w:eastAsia="Arial" w:hAnsi="Arial"/>
          <w:sz w:val="12"/>
          <w:szCs w:val="12"/>
          <w:color w:val="455986"/>
        </w:rPr>
        <w:t>2021 PROXY STATEMENT</w:t>
      </w:r>
      <w:r>
        <w:rPr>
          <w:sz w:val="20"/>
          <w:szCs w:val="20"/>
          <w:color w:val="auto"/>
        </w:rPr>
        <w:tab/>
      </w:r>
      <w:r>
        <w:rPr>
          <w:rFonts w:ascii="Arial" w:cs="Arial" w:eastAsia="Arial" w:hAnsi="Arial"/>
          <w:sz w:val="14"/>
          <w:szCs w:val="14"/>
          <w:color w:val="455986"/>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346710</wp:posOffset>
            </wp:positionV>
            <wp:extent cx="7139940" cy="24130"/>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7139940" cy="24130"/>
                    </a:xfrm>
                    <a:prstGeom prst="rect">
                      <a:avLst/>
                    </a:prstGeom>
                    <a:noFill/>
                  </pic:spPr>
                </pic:pic>
              </a:graphicData>
            </a:graphic>
          </wp:anchor>
        </w:drawing>
      </w:r>
    </w:p>
    <w:p>
      <w:pPr>
        <w:sectPr>
          <w:pgSz w:w="11900" w:h="16838" w:orient="portrait"/>
          <w:cols w:equalWidth="0" w:num="1">
            <w:col w:w="11240"/>
          </w:cols>
          <w:pgMar w:left="320" w:top="636" w:right="339" w:bottom="1440" w:gutter="0" w:footer="0" w:header="0"/>
        </w:sectPr>
      </w:pPr>
    </w:p>
    <w:bookmarkStart w:id="82" w:name="page83"/>
    <w:bookmarkEnd w:id="82"/>
    <w:p>
      <w:pPr>
        <w:spacing w:after="0"/>
        <w:rPr>
          <w:sz w:val="20"/>
          <w:szCs w:val="20"/>
          <w:color w:val="auto"/>
        </w:rPr>
      </w:pPr>
      <w:r>
        <w:rPr>
          <w:rFonts w:ascii="Arial" w:cs="Arial" w:eastAsia="Arial" w:hAnsi="Arial"/>
          <w:sz w:val="14"/>
          <w:szCs w:val="14"/>
          <w:b w:val="1"/>
          <w:bCs w:val="1"/>
          <w:color w:val="455986"/>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27940</wp:posOffset>
            </wp:positionV>
            <wp:extent cx="7139940" cy="825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7139940" cy="8255"/>
                    </a:xfrm>
                    <a:prstGeom prst="rect">
                      <a:avLst/>
                    </a:prstGeom>
                    <a:noFill/>
                  </pic:spPr>
                </pic:pic>
              </a:graphicData>
            </a:graphic>
          </wp:anchor>
        </w:drawing>
      </w:r>
    </w:p>
    <w:p>
      <w:pPr>
        <w:spacing w:after="0" w:line="76" w:lineRule="exact"/>
        <w:rPr>
          <w:sz w:val="20"/>
          <w:szCs w:val="20"/>
          <w:color w:val="auto"/>
        </w:rPr>
      </w:pPr>
    </w:p>
    <w:p>
      <w:pPr>
        <w:spacing w:after="0"/>
        <w:rPr>
          <w:sz w:val="20"/>
          <w:szCs w:val="20"/>
          <w:color w:val="auto"/>
        </w:rPr>
      </w:pPr>
      <w:r>
        <w:rPr>
          <w:rFonts w:ascii="Arial" w:cs="Arial" w:eastAsia="Arial" w:hAnsi="Arial"/>
          <w:sz w:val="14"/>
          <w:szCs w:val="14"/>
          <w:color w:val="231F20"/>
        </w:rPr>
        <w:t>Potential Payments Upon Termination or Change-In-Control</w:t>
      </w:r>
    </w:p>
    <w:p>
      <w:pPr>
        <w:spacing w:after="0" w:line="161" w:lineRule="exact"/>
        <w:rPr>
          <w:sz w:val="20"/>
          <w:szCs w:val="20"/>
          <w:color w:val="auto"/>
        </w:rPr>
      </w:pPr>
    </w:p>
    <w:p>
      <w:pPr>
        <w:spacing w:after="0"/>
        <w:rPr>
          <w:sz w:val="20"/>
          <w:szCs w:val="20"/>
          <w:color w:val="auto"/>
        </w:rPr>
      </w:pPr>
      <w:r>
        <w:rPr>
          <w:rFonts w:ascii="Arial" w:cs="Arial" w:eastAsia="Arial" w:hAnsi="Arial"/>
          <w:sz w:val="20"/>
          <w:szCs w:val="20"/>
          <w:b w:val="1"/>
          <w:bCs w:val="1"/>
          <w:color w:val="231F20"/>
        </w:rPr>
        <w:t>Retirement and other Benefits</w:t>
      </w:r>
    </w:p>
    <w:p>
      <w:pPr>
        <w:spacing w:after="0" w:line="166" w:lineRule="exact"/>
        <w:rPr>
          <w:sz w:val="20"/>
          <w:szCs w:val="20"/>
          <w:color w:val="auto"/>
        </w:rPr>
      </w:pPr>
    </w:p>
    <w:p>
      <w:pPr>
        <w:spacing w:after="0"/>
        <w:rPr>
          <w:sz w:val="20"/>
          <w:szCs w:val="20"/>
          <w:color w:val="auto"/>
        </w:rPr>
      </w:pPr>
      <w:r>
        <w:rPr>
          <w:rFonts w:ascii="Arial" w:cs="Arial" w:eastAsia="Arial" w:hAnsi="Arial"/>
          <w:sz w:val="14"/>
          <w:szCs w:val="14"/>
          <w:color w:val="231F20"/>
        </w:rPr>
        <w:t>Under the terms of our qualified and non-qualified defined benefit retirement plans, eligible salaried employees, including the certain named executive officers, are entitled to certain pension benefits upon their termination, retirement, death or disability. In general, the terms under which benefits are payable upon these triggering events are the same for all participants under the qualified and nonqualified plans. The present value of accumulated pension benefits, assumed payable at the earliest unreduced age (or current age, if later), for the named executive officers is shown in the Pension Benefits Table on page 75. The pension benefit values included in the tables on pages 75 through 77 reflect the incremental value above the amounts shown in the Pension Benefits Table for benefits payable upon each triggering event from all pension plans in the aggregate.</w:t>
      </w:r>
    </w:p>
    <w:p>
      <w:pPr>
        <w:spacing w:after="0" w:line="114" w:lineRule="exact"/>
        <w:rPr>
          <w:sz w:val="20"/>
          <w:szCs w:val="20"/>
          <w:color w:val="auto"/>
        </w:rPr>
      </w:pPr>
    </w:p>
    <w:p>
      <w:pPr>
        <w:ind w:right="80"/>
        <w:spacing w:after="0" w:line="238" w:lineRule="auto"/>
        <w:rPr>
          <w:sz w:val="20"/>
          <w:szCs w:val="20"/>
          <w:color w:val="auto"/>
        </w:rPr>
      </w:pPr>
      <w:r>
        <w:rPr>
          <w:rFonts w:ascii="Arial" w:cs="Arial" w:eastAsia="Arial" w:hAnsi="Arial"/>
          <w:sz w:val="14"/>
          <w:szCs w:val="14"/>
          <w:color w:val="231F20"/>
        </w:rPr>
        <w:t>The Company sponsors postretirement medical plans to subsidize retiree medical benefits for employees hired prior to certain dates starting in 2003. Under the postretirement medical plans, employees are generally eligible to retire upon attainment of age 55 and completion of 15 years of service. Upon retirement, eligible participants are entitled to receive subsidized medical benefits prior to attainment of age 65 where the subsidy provided is based upon age and years of service upon retirement. Upon attainment of age 65, eligible participants are entitled to receive employer contributions into a premium reimbursement account which may be used by the retiree in paying medical and prescription drug benefit premiums. Mr. Fox is eligible for these benefits. The postretirement medical benefits shown in the tables on pages 82 through 84 are those which are payable from the Company under each of the triggering events.</w:t>
      </w:r>
    </w:p>
    <w:p>
      <w:pPr>
        <w:spacing w:after="0" w:line="114" w:lineRule="exact"/>
        <w:rPr>
          <w:sz w:val="20"/>
          <w:szCs w:val="20"/>
          <w:color w:val="auto"/>
        </w:rPr>
      </w:pPr>
    </w:p>
    <w:p>
      <w:pPr>
        <w:ind w:right="60"/>
        <w:spacing w:after="0" w:line="253" w:lineRule="auto"/>
        <w:rPr>
          <w:sz w:val="20"/>
          <w:szCs w:val="20"/>
          <w:color w:val="auto"/>
        </w:rPr>
      </w:pPr>
      <w:r>
        <w:rPr>
          <w:rFonts w:ascii="Arial" w:cs="Arial" w:eastAsia="Arial" w:hAnsi="Arial"/>
          <w:sz w:val="14"/>
          <w:szCs w:val="14"/>
          <w:color w:val="231F20"/>
        </w:rPr>
        <w:t>Assumptions used to determine the values are the same as those disclosed on the Company’s financial statements. In addition, the Company assumes immediate termination, retirement, death or disability have occurred at December 31, 2020 for purposes of the tables on pages 82 through 84. Participants not eligible to receive benefits if leaving under a triggering event as of December 31, 2020 are shown with zero value in the tables.</w:t>
      </w:r>
    </w:p>
    <w:p>
      <w:pPr>
        <w:spacing w:after="0" w:line="103" w:lineRule="exact"/>
        <w:rPr>
          <w:sz w:val="20"/>
          <w:szCs w:val="20"/>
          <w:color w:val="auto"/>
        </w:rPr>
      </w:pPr>
    </w:p>
    <w:p>
      <w:pPr>
        <w:ind w:right="120"/>
        <w:spacing w:after="0" w:line="245" w:lineRule="auto"/>
        <w:rPr>
          <w:sz w:val="20"/>
          <w:szCs w:val="20"/>
          <w:color w:val="auto"/>
        </w:rPr>
      </w:pPr>
      <w:r>
        <w:rPr>
          <w:rFonts w:ascii="Arial" w:cs="Arial" w:eastAsia="Arial" w:hAnsi="Arial"/>
          <w:sz w:val="14"/>
          <w:szCs w:val="14"/>
          <w:color w:val="231F20"/>
        </w:rPr>
        <w:t>Upon termination for any reason, the named executive officer in our Executive Deferral Plan, would be entitled to a distribution of their account balances as shown in the Non-qualified Deferred Compensation table on page 78, subject to the restrictions under the Executive Deferral Plan described on pages 76 and 77. The values of these account balances are not included in the tables on pages 82 through 84. The named executive officers are also eligible for the same death and disability benefits of other eligible salaried employees. These common benefits are not included in the tables on pages 82 through 84.</w:t>
      </w:r>
    </w:p>
    <w:p>
      <w:pPr>
        <w:spacing w:after="0" w:line="108" w:lineRule="exact"/>
        <w:rPr>
          <w:sz w:val="20"/>
          <w:szCs w:val="20"/>
          <w:color w:val="auto"/>
        </w:rPr>
      </w:pPr>
    </w:p>
    <w:p>
      <w:pPr>
        <w:spacing w:after="0"/>
        <w:rPr>
          <w:sz w:val="20"/>
          <w:szCs w:val="20"/>
          <w:color w:val="auto"/>
        </w:rPr>
      </w:pPr>
      <w:r>
        <w:rPr>
          <w:rFonts w:ascii="Arial" w:cs="Arial" w:eastAsia="Arial" w:hAnsi="Arial"/>
          <w:sz w:val="14"/>
          <w:szCs w:val="14"/>
          <w:color w:val="231F20"/>
        </w:rPr>
        <w:t>Under the terms of the Amended and Restated Omnibus Equity Compensation Plan (the Plan):</w:t>
      </w:r>
    </w:p>
    <w:p>
      <w:pPr>
        <w:spacing w:after="0" w:line="145" w:lineRule="exact"/>
        <w:rPr>
          <w:sz w:val="20"/>
          <w:szCs w:val="20"/>
          <w:color w:val="auto"/>
        </w:rPr>
      </w:pPr>
    </w:p>
    <w:p>
      <w:pPr>
        <w:ind w:left="200" w:right="460" w:hanging="198"/>
        <w:spacing w:after="0" w:line="278" w:lineRule="auto"/>
        <w:tabs>
          <w:tab w:leader="none" w:pos="200" w:val="left"/>
        </w:tabs>
        <w:numPr>
          <w:ilvl w:val="0"/>
          <w:numId w:val="146"/>
        </w:numPr>
        <w:rPr>
          <w:rFonts w:ascii="Arial" w:cs="Arial" w:eastAsia="Arial" w:hAnsi="Arial"/>
          <w:sz w:val="14"/>
          <w:szCs w:val="14"/>
          <w:color w:val="4395D4"/>
        </w:rPr>
      </w:pPr>
      <w:r>
        <w:rPr>
          <w:rFonts w:ascii="Arial" w:cs="Arial" w:eastAsia="Arial" w:hAnsi="Arial"/>
          <w:sz w:val="14"/>
          <w:szCs w:val="14"/>
          <w:color w:val="231F20"/>
        </w:rPr>
        <w:t>if the employment of the named executive officer terminates, any vested Options will remain exercisable for 90 days following the date of termination, or if shorter, the remaining term of the stock option;</w:t>
      </w:r>
    </w:p>
    <w:p>
      <w:pPr>
        <w:spacing w:after="0" w:line="9" w:lineRule="exact"/>
        <w:rPr>
          <w:rFonts w:ascii="Arial" w:cs="Arial" w:eastAsia="Arial" w:hAnsi="Arial"/>
          <w:sz w:val="14"/>
          <w:szCs w:val="14"/>
          <w:color w:val="4395D4"/>
        </w:rPr>
      </w:pPr>
    </w:p>
    <w:p>
      <w:pPr>
        <w:ind w:left="200" w:right="60" w:hanging="198"/>
        <w:spacing w:after="0" w:line="278" w:lineRule="auto"/>
        <w:tabs>
          <w:tab w:leader="none" w:pos="200" w:val="left"/>
        </w:tabs>
        <w:numPr>
          <w:ilvl w:val="0"/>
          <w:numId w:val="146"/>
        </w:numPr>
        <w:rPr>
          <w:rFonts w:ascii="Arial" w:cs="Arial" w:eastAsia="Arial" w:hAnsi="Arial"/>
          <w:sz w:val="14"/>
          <w:szCs w:val="14"/>
          <w:color w:val="4395D4"/>
        </w:rPr>
      </w:pPr>
      <w:r>
        <w:rPr>
          <w:rFonts w:ascii="Arial" w:cs="Arial" w:eastAsia="Arial" w:hAnsi="Arial"/>
          <w:sz w:val="14"/>
          <w:szCs w:val="14"/>
          <w:color w:val="231F20"/>
        </w:rPr>
        <w:t>if the named executive officer retires, other than in a change-in-control context, a prorated portion of the unvested Options will vest if the applicable performance goal is met for the year in which retirement occurs, and the vested Options will remain exercisable for the full term of the Options;</w:t>
      </w:r>
    </w:p>
    <w:p>
      <w:pPr>
        <w:spacing w:after="0" w:line="22" w:lineRule="exact"/>
        <w:rPr>
          <w:rFonts w:ascii="Arial" w:cs="Arial" w:eastAsia="Arial" w:hAnsi="Arial"/>
          <w:sz w:val="14"/>
          <w:szCs w:val="14"/>
          <w:color w:val="4395D4"/>
        </w:rPr>
      </w:pPr>
    </w:p>
    <w:p>
      <w:pPr>
        <w:ind w:left="200" w:right="220" w:hanging="198"/>
        <w:spacing w:after="0" w:line="278" w:lineRule="auto"/>
        <w:tabs>
          <w:tab w:leader="none" w:pos="200" w:val="left"/>
        </w:tabs>
        <w:numPr>
          <w:ilvl w:val="0"/>
          <w:numId w:val="146"/>
        </w:numPr>
        <w:rPr>
          <w:rFonts w:ascii="Arial" w:cs="Arial" w:eastAsia="Arial" w:hAnsi="Arial"/>
          <w:sz w:val="14"/>
          <w:szCs w:val="14"/>
          <w:color w:val="4395D4"/>
        </w:rPr>
      </w:pPr>
      <w:r>
        <w:rPr>
          <w:rFonts w:ascii="Arial" w:cs="Arial" w:eastAsia="Arial" w:hAnsi="Arial"/>
          <w:sz w:val="14"/>
          <w:szCs w:val="14"/>
          <w:color w:val="231F20"/>
        </w:rPr>
        <w:t>if the named executive officer dies or becomes disabled any unvested portion of any outstanding Options will become immediately vested, and will remain exercisable for one year following the termination date; and,</w:t>
      </w:r>
    </w:p>
    <w:p>
      <w:pPr>
        <w:spacing w:after="0" w:line="22" w:lineRule="exact"/>
        <w:rPr>
          <w:rFonts w:ascii="Arial" w:cs="Arial" w:eastAsia="Arial" w:hAnsi="Arial"/>
          <w:sz w:val="14"/>
          <w:szCs w:val="14"/>
          <w:color w:val="4395D4"/>
        </w:rPr>
      </w:pPr>
    </w:p>
    <w:p>
      <w:pPr>
        <w:ind w:left="200" w:hanging="198"/>
        <w:spacing w:after="0" w:line="278" w:lineRule="auto"/>
        <w:tabs>
          <w:tab w:leader="none" w:pos="200" w:val="left"/>
        </w:tabs>
        <w:numPr>
          <w:ilvl w:val="0"/>
          <w:numId w:val="146"/>
        </w:numPr>
        <w:rPr>
          <w:rFonts w:ascii="Arial" w:cs="Arial" w:eastAsia="Arial" w:hAnsi="Arial"/>
          <w:sz w:val="14"/>
          <w:szCs w:val="14"/>
          <w:color w:val="4395D4"/>
        </w:rPr>
      </w:pPr>
      <w:r>
        <w:rPr>
          <w:rFonts w:ascii="Arial" w:cs="Arial" w:eastAsia="Arial" w:hAnsi="Arial"/>
          <w:sz w:val="14"/>
          <w:szCs w:val="14"/>
          <w:color w:val="231F20"/>
        </w:rPr>
        <w:t>if, in connection with a change-in-control, the named executive officer’s employment is terminated by retirement, termination without cause or disability or death, all unvested stock options will accelerate and vest on the termination date. The vested Options shall be exercisable for the applicable period.</w:t>
      </w:r>
    </w:p>
    <w:p>
      <w:pPr>
        <w:spacing w:after="0" w:line="86" w:lineRule="exact"/>
        <w:rPr>
          <w:sz w:val="20"/>
          <w:szCs w:val="20"/>
          <w:color w:val="auto"/>
        </w:rPr>
      </w:pPr>
    </w:p>
    <w:p>
      <w:pPr>
        <w:ind w:right="100"/>
        <w:spacing w:after="0" w:line="245" w:lineRule="auto"/>
        <w:rPr>
          <w:sz w:val="20"/>
          <w:szCs w:val="20"/>
          <w:color w:val="auto"/>
        </w:rPr>
      </w:pPr>
      <w:r>
        <w:rPr>
          <w:rFonts w:ascii="Arial" w:cs="Arial" w:eastAsia="Arial" w:hAnsi="Arial"/>
          <w:sz w:val="14"/>
          <w:szCs w:val="14"/>
          <w:color w:val="231F20"/>
        </w:rPr>
        <w:t>Under the terms of the RSUs granted under the Plan, grantees of RSUs will (i) vest in a pro-rata portion of unvested grants upon the grantee’s termination of employment as a result of retirement, or (ii) vest immediately in unvested grants following the grantee’s termination of employment as a result of death or disability. Shares of Company stock equal to the applicable portion of the restricted stock units shall be issued to the grantee within 60 days following the grantee’s retirement, death or disability, subject to applicable tax withholding and the values of these restricted stock units as of December 31, 2020 are included in the tables on pages 82 through 84.</w:t>
      </w:r>
    </w:p>
    <w:p>
      <w:pPr>
        <w:spacing w:after="0" w:line="108" w:lineRule="exact"/>
        <w:rPr>
          <w:sz w:val="20"/>
          <w:szCs w:val="20"/>
          <w:color w:val="auto"/>
        </w:rPr>
      </w:pPr>
    </w:p>
    <w:p>
      <w:pPr>
        <w:ind w:right="20"/>
        <w:spacing w:after="0" w:line="237" w:lineRule="auto"/>
        <w:rPr>
          <w:sz w:val="20"/>
          <w:szCs w:val="20"/>
          <w:color w:val="auto"/>
        </w:rPr>
      </w:pPr>
      <w:r>
        <w:rPr>
          <w:rFonts w:ascii="Arial" w:cs="Arial" w:eastAsia="Arial" w:hAnsi="Arial"/>
          <w:sz w:val="14"/>
          <w:szCs w:val="14"/>
          <w:color w:val="231F20"/>
        </w:rPr>
        <w:t>Under the terms of the performance share unit grants under the Plan, grantees of performance share units will (i) earn a pro- rata portion of unvested grants upon the grantee’s termination of employment as a result of retirement or earn immediately any unvested grants following the grantee’s termination of employment as a result of death or disability. Shares of Company stock equal to the applicable portion of the performance share units shall be issued to the grantee on the vesting date for such performance share units and the estimated values of these performance share units based on interim performance through December 31, 2020 are included in the tables on pages 82 through 84. For purposes of the performance share units tied to the performance goal of cumulative earnings before taxes, the Company’s actual performance is measured against a pro-rata portion of the performance goal as of year-end. Actual performance results for the full performance period may be substantially different from the amounts presented in the tables on pages 82 through 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100965</wp:posOffset>
            </wp:positionV>
            <wp:extent cx="7139940" cy="825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7139940" cy="8255"/>
                    </a:xfrm>
                    <a:prstGeom prst="rect">
                      <a:avLst/>
                    </a:prstGeom>
                    <a:noFill/>
                  </pic:spPr>
                </pic:pic>
              </a:graphicData>
            </a:graphic>
          </wp:anchor>
        </w:drawing>
      </w:r>
    </w:p>
    <w:p>
      <w:pPr>
        <w:spacing w:after="0" w:line="209" w:lineRule="exact"/>
        <w:rPr>
          <w:sz w:val="20"/>
          <w:szCs w:val="20"/>
          <w:color w:val="auto"/>
        </w:rPr>
      </w:pPr>
    </w:p>
    <w:p>
      <w:pPr>
        <w:ind w:left="300" w:hanging="298"/>
        <w:spacing w:after="0"/>
        <w:tabs>
          <w:tab w:leader="none" w:pos="300" w:val="left"/>
        </w:tabs>
        <w:numPr>
          <w:ilvl w:val="0"/>
          <w:numId w:val="147"/>
        </w:numPr>
        <w:rPr>
          <w:rFonts w:ascii="Arial" w:cs="Arial" w:eastAsia="Arial" w:hAnsi="Arial"/>
          <w:sz w:val="15"/>
          <w:szCs w:val="15"/>
          <w:color w:val="455986"/>
        </w:rPr>
      </w:pPr>
      <w:r>
        <w:rPr>
          <w:rFonts w:ascii="Arial" w:cs="Arial" w:eastAsia="Arial" w:hAnsi="Arial"/>
          <w:sz w:val="12"/>
          <w:szCs w:val="12"/>
          <w:color w:val="4395D4"/>
        </w:rPr>
        <w:t xml:space="preserve">ESSENTIAL UTILITIES, INC. </w:t>
      </w:r>
      <w:r>
        <w:rPr>
          <w:rFonts w:ascii="Arial" w:cs="Arial" w:eastAsia="Arial" w:hAnsi="Arial"/>
          <w:sz w:val="12"/>
          <w:szCs w:val="12"/>
          <w:color w:val="455986"/>
        </w:rPr>
        <w:t>2021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316230</wp:posOffset>
            </wp:positionV>
            <wp:extent cx="7139940" cy="24130"/>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7139940" cy="24130"/>
                    </a:xfrm>
                    <a:prstGeom prst="rect">
                      <a:avLst/>
                    </a:prstGeom>
                    <a:noFill/>
                  </pic:spPr>
                </pic:pic>
              </a:graphicData>
            </a:graphic>
          </wp:anchor>
        </w:drawing>
      </w:r>
    </w:p>
    <w:p>
      <w:pPr>
        <w:sectPr>
          <w:pgSz w:w="11900" w:h="16838" w:orient="portrait"/>
          <w:cols w:equalWidth="0" w:num="1">
            <w:col w:w="11220"/>
          </w:cols>
          <w:pgMar w:left="320" w:top="636" w:right="359" w:bottom="1440" w:gutter="0" w:footer="0" w:header="0"/>
        </w:sectPr>
      </w:pPr>
    </w:p>
    <w:bookmarkStart w:id="83" w:name="page84"/>
    <w:bookmarkEnd w:id="83"/>
    <w:p>
      <w:pPr>
        <w:spacing w:after="0"/>
        <w:rPr>
          <w:sz w:val="20"/>
          <w:szCs w:val="20"/>
          <w:color w:val="auto"/>
        </w:rPr>
      </w:pPr>
      <w:r>
        <w:rPr>
          <w:rFonts w:ascii="Arial" w:cs="Arial" w:eastAsia="Arial" w:hAnsi="Arial"/>
          <w:sz w:val="14"/>
          <w:szCs w:val="14"/>
          <w:b w:val="1"/>
          <w:bCs w:val="1"/>
          <w:color w:val="455986"/>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27940</wp:posOffset>
            </wp:positionV>
            <wp:extent cx="7139940" cy="825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7139940" cy="8255"/>
                    </a:xfrm>
                    <a:prstGeom prst="rect">
                      <a:avLst/>
                    </a:prstGeom>
                    <a:noFill/>
                  </pic:spPr>
                </pic:pic>
              </a:graphicData>
            </a:graphic>
          </wp:anchor>
        </w:drawing>
      </w:r>
    </w:p>
    <w:p>
      <w:pPr>
        <w:spacing w:after="0" w:line="76" w:lineRule="exact"/>
        <w:rPr>
          <w:sz w:val="20"/>
          <w:szCs w:val="20"/>
          <w:color w:val="auto"/>
        </w:rPr>
      </w:pPr>
    </w:p>
    <w:p>
      <w:pPr>
        <w:spacing w:after="0"/>
        <w:rPr>
          <w:sz w:val="20"/>
          <w:szCs w:val="20"/>
          <w:color w:val="auto"/>
        </w:rPr>
      </w:pPr>
      <w:r>
        <w:rPr>
          <w:rFonts w:ascii="Arial" w:cs="Arial" w:eastAsia="Arial" w:hAnsi="Arial"/>
          <w:sz w:val="14"/>
          <w:szCs w:val="14"/>
          <w:color w:val="231F20"/>
        </w:rPr>
        <w:t>Potential Payments Upon Termination or Change-In-Control</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b w:val="1"/>
          <w:bCs w:val="1"/>
          <w:color w:val="4395D4"/>
        </w:rPr>
        <w:t>Termination</w:t>
      </w:r>
    </w:p>
    <w:p>
      <w:pPr>
        <w:spacing w:after="0" w:line="153" w:lineRule="exact"/>
        <w:rPr>
          <w:sz w:val="20"/>
          <w:szCs w:val="20"/>
          <w:color w:val="auto"/>
        </w:rPr>
      </w:pPr>
    </w:p>
    <w:p>
      <w:pPr>
        <w:spacing w:after="0" w:line="253" w:lineRule="auto"/>
        <w:rPr>
          <w:sz w:val="20"/>
          <w:szCs w:val="20"/>
          <w:color w:val="auto"/>
        </w:rPr>
      </w:pPr>
      <w:r>
        <w:rPr>
          <w:rFonts w:ascii="Arial" w:cs="Arial" w:eastAsia="Arial" w:hAnsi="Arial"/>
          <w:sz w:val="14"/>
          <w:szCs w:val="14"/>
          <w:color w:val="231F20"/>
        </w:rPr>
        <w:t>With respect to a termination event other than in connection with a change-in-control, the severance plan applicable to the named executive officers other than Mr. Franklin, and Mr. Franklin’s Employment Agreement as described on page 60, provides the named executive officers with a severance benefit of one full year salary and one full year projected bonus and up to six months of continued medical benefits if the named executive officer is terminated for any reason other than for cause.</w:t>
      </w:r>
    </w:p>
    <w:p>
      <w:pPr>
        <w:spacing w:after="0" w:line="103" w:lineRule="exact"/>
        <w:rPr>
          <w:sz w:val="20"/>
          <w:szCs w:val="20"/>
          <w:color w:val="auto"/>
        </w:rPr>
      </w:pPr>
    </w:p>
    <w:p>
      <w:pPr>
        <w:jc w:val="both"/>
        <w:ind w:right="60"/>
        <w:spacing w:after="0" w:line="253" w:lineRule="auto"/>
        <w:rPr>
          <w:sz w:val="20"/>
          <w:szCs w:val="20"/>
          <w:color w:val="auto"/>
        </w:rPr>
      </w:pPr>
      <w:r>
        <w:rPr>
          <w:rFonts w:ascii="Arial" w:cs="Arial" w:eastAsia="Arial" w:hAnsi="Arial"/>
          <w:sz w:val="14"/>
          <w:szCs w:val="14"/>
          <w:color w:val="231F20"/>
        </w:rPr>
        <w:t>In addition, once vested, participants are eligible to receive qualified benefits under the Retirement Plan and nonqualified benefits from the Non-Qualified Pension Benefit Plan. Benefits vest upon attaining five years of service. Pension benefits for Messrs. Franklin, Fox, and Luning are vested and payable from the Retirement Plan as well as the Non-Qualified Pension Benefit Plan.</w:t>
      </w:r>
    </w:p>
    <w:p>
      <w:pPr>
        <w:spacing w:after="0" w:line="103" w:lineRule="exact"/>
        <w:rPr>
          <w:sz w:val="20"/>
          <w:szCs w:val="20"/>
          <w:color w:val="auto"/>
        </w:rPr>
      </w:pPr>
    </w:p>
    <w:p>
      <w:pPr>
        <w:ind w:right="280"/>
        <w:spacing w:after="0" w:line="253" w:lineRule="auto"/>
        <w:rPr>
          <w:sz w:val="20"/>
          <w:szCs w:val="20"/>
          <w:color w:val="auto"/>
        </w:rPr>
      </w:pPr>
      <w:r>
        <w:rPr>
          <w:rFonts w:ascii="Arial" w:cs="Arial" w:eastAsia="Arial" w:hAnsi="Arial"/>
          <w:sz w:val="14"/>
          <w:szCs w:val="14"/>
          <w:color w:val="231F20"/>
        </w:rPr>
        <w:t>The full value of the benefits payable due to termination is determined based on the assumed timing and form of the benefits payable as follows: the benefits for Messrs. Franklin, Fox and Luning are payable as an immediate lump sum payment or life annuity from the Retirement Plan and an immediate lump sum payment at age 55 from the non-qualified plans. Benefits have been reduced for early commencement by 3% per year of commencement prior to age 65.</w:t>
      </w:r>
    </w:p>
    <w:p>
      <w:pPr>
        <w:spacing w:after="0" w:line="100" w:lineRule="exact"/>
        <w:rPr>
          <w:sz w:val="20"/>
          <w:szCs w:val="20"/>
          <w:color w:val="auto"/>
        </w:rPr>
      </w:pPr>
    </w:p>
    <w:p>
      <w:pPr>
        <w:spacing w:after="0"/>
        <w:rPr>
          <w:sz w:val="20"/>
          <w:szCs w:val="20"/>
          <w:color w:val="auto"/>
        </w:rPr>
      </w:pPr>
      <w:r>
        <w:rPr>
          <w:rFonts w:ascii="Arial" w:cs="Arial" w:eastAsia="Arial" w:hAnsi="Arial"/>
          <w:sz w:val="17"/>
          <w:szCs w:val="17"/>
          <w:b w:val="1"/>
          <w:bCs w:val="1"/>
          <w:color w:val="4395D4"/>
        </w:rPr>
        <w:t>Retirement</w:t>
      </w:r>
    </w:p>
    <w:p>
      <w:pPr>
        <w:spacing w:after="0" w:line="153" w:lineRule="exact"/>
        <w:rPr>
          <w:sz w:val="20"/>
          <w:szCs w:val="20"/>
          <w:color w:val="auto"/>
        </w:rPr>
      </w:pPr>
    </w:p>
    <w:p>
      <w:pPr>
        <w:ind w:right="300"/>
        <w:spacing w:after="0" w:line="278" w:lineRule="auto"/>
        <w:rPr>
          <w:sz w:val="20"/>
          <w:szCs w:val="20"/>
          <w:color w:val="auto"/>
        </w:rPr>
      </w:pPr>
      <w:r>
        <w:rPr>
          <w:rFonts w:ascii="Arial" w:cs="Arial" w:eastAsia="Arial" w:hAnsi="Arial"/>
          <w:sz w:val="14"/>
          <w:szCs w:val="14"/>
          <w:color w:val="231F20"/>
        </w:rPr>
        <w:t>In the case of retirement, the present value of benefits is determined in the same manner as termination. Messrs. Rhodes, Schuller, and Luning are not currently eligible for retirement benefits. Messrs. Franklin and Fox are eligible for retirement.</w:t>
      </w:r>
    </w:p>
    <w:p>
      <w:pPr>
        <w:spacing w:after="0" w:line="83" w:lineRule="exact"/>
        <w:rPr>
          <w:sz w:val="20"/>
          <w:szCs w:val="20"/>
          <w:color w:val="auto"/>
        </w:rPr>
      </w:pPr>
    </w:p>
    <w:p>
      <w:pPr>
        <w:spacing w:after="0"/>
        <w:rPr>
          <w:sz w:val="20"/>
          <w:szCs w:val="20"/>
          <w:color w:val="auto"/>
        </w:rPr>
      </w:pPr>
      <w:r>
        <w:rPr>
          <w:rFonts w:ascii="Arial" w:cs="Arial" w:eastAsia="Arial" w:hAnsi="Arial"/>
          <w:sz w:val="17"/>
          <w:szCs w:val="17"/>
          <w:b w:val="1"/>
          <w:bCs w:val="1"/>
          <w:color w:val="4395D4"/>
        </w:rPr>
        <w:t>Death</w:t>
      </w:r>
    </w:p>
    <w:p>
      <w:pPr>
        <w:spacing w:after="0" w:line="153" w:lineRule="exact"/>
        <w:rPr>
          <w:sz w:val="20"/>
          <w:szCs w:val="20"/>
          <w:color w:val="auto"/>
        </w:rPr>
      </w:pPr>
    </w:p>
    <w:p>
      <w:pPr>
        <w:ind w:right="40"/>
        <w:spacing w:after="0" w:line="236" w:lineRule="auto"/>
        <w:rPr>
          <w:sz w:val="20"/>
          <w:szCs w:val="20"/>
          <w:color w:val="auto"/>
        </w:rPr>
      </w:pPr>
      <w:r>
        <w:rPr>
          <w:rFonts w:ascii="Arial" w:cs="Arial" w:eastAsia="Arial" w:hAnsi="Arial"/>
          <w:sz w:val="14"/>
          <w:szCs w:val="14"/>
          <w:color w:val="231F20"/>
        </w:rPr>
        <w:t>Vested benefits under the Retirement Plan are payable to the participant’s surviving spouse as a single life annuity upon the death of the participant. The benefit will be paid to the spouse as early as the deceased participant’s earliest retirement age (age 55 with ten years of service or age 65). The benefit will be equal to 75% of the benefit calculated as if the participant had separated from service on the date of death (assumed to be December 31, 2020 in the tables on pages 75 through 77), survived to the earliest retirement age and retired with a qualified contingent annuity. Vested benefits under the Non-Qualified Pension Benefit Plan are payable to the participant’s surviving spouse as a lump sum (or in certain cases transferred to the Company’s Executive Deferral Plan) upon the death of the participant. The benefit will be equal to 75% of the benefit calculated as if the participant had separated from service on the date of death (assumed to be December 31, 2020 in the tables on pages 75 through 77), survived to the earliest retirement age and retired with a qualified contingent annuity. For each of the participants, the total present value of pension benefits payable upon death is less than the amount shown in the Pension Benefits Table. For purposes of the benefit calculations shown, spouses are assumed to be three years younger than the participant.</w:t>
      </w:r>
    </w:p>
    <w:p>
      <w:pPr>
        <w:spacing w:after="0" w:line="108" w:lineRule="exact"/>
        <w:rPr>
          <w:sz w:val="20"/>
          <w:szCs w:val="20"/>
          <w:color w:val="auto"/>
        </w:rPr>
      </w:pPr>
    </w:p>
    <w:p>
      <w:pPr>
        <w:spacing w:after="0"/>
        <w:rPr>
          <w:sz w:val="20"/>
          <w:szCs w:val="20"/>
          <w:color w:val="auto"/>
        </w:rPr>
      </w:pPr>
      <w:r>
        <w:rPr>
          <w:rFonts w:ascii="Arial" w:cs="Arial" w:eastAsia="Arial" w:hAnsi="Arial"/>
          <w:sz w:val="17"/>
          <w:szCs w:val="17"/>
          <w:b w:val="1"/>
          <w:bCs w:val="1"/>
          <w:color w:val="4395D4"/>
        </w:rPr>
        <w:t>Disability</w:t>
      </w:r>
    </w:p>
    <w:p>
      <w:pPr>
        <w:spacing w:after="0" w:line="153" w:lineRule="exact"/>
        <w:rPr>
          <w:sz w:val="20"/>
          <w:szCs w:val="20"/>
          <w:color w:val="auto"/>
        </w:rPr>
      </w:pPr>
    </w:p>
    <w:p>
      <w:pPr>
        <w:spacing w:after="0" w:line="245" w:lineRule="auto"/>
        <w:rPr>
          <w:sz w:val="20"/>
          <w:szCs w:val="20"/>
          <w:color w:val="auto"/>
        </w:rPr>
      </w:pPr>
      <w:r>
        <w:rPr>
          <w:rFonts w:ascii="Arial" w:cs="Arial" w:eastAsia="Arial" w:hAnsi="Arial"/>
          <w:sz w:val="14"/>
          <w:szCs w:val="14"/>
          <w:color w:val="231F20"/>
        </w:rPr>
        <w:t>If an individual is terminated as a result of a disability with less than ten years of service, the benefits are payable in the same amount and form as an individual who is terminated. Individuals who terminate employment as a result of a disability with at least ten years of service are entitled to future accruals until age 65 (or earlier date if elected by the participant) assuming level future earnings and continued service. The benefits are not payable until age 65, unless elected by the participant for an earlier age. Upon the attainment of age 65, the individual would be entitled to the same options as an individual who retired from the Retirement Plan.</w:t>
      </w:r>
    </w:p>
    <w:p>
      <w:pPr>
        <w:spacing w:after="0" w:line="108" w:lineRule="exact"/>
        <w:rPr>
          <w:sz w:val="20"/>
          <w:szCs w:val="20"/>
          <w:color w:val="auto"/>
        </w:rPr>
      </w:pPr>
    </w:p>
    <w:p>
      <w:pPr>
        <w:jc w:val="both"/>
        <w:spacing w:after="0" w:line="258" w:lineRule="auto"/>
        <w:rPr>
          <w:sz w:val="20"/>
          <w:szCs w:val="20"/>
          <w:color w:val="auto"/>
        </w:rPr>
      </w:pPr>
      <w:r>
        <w:rPr>
          <w:rFonts w:ascii="Arial" w:cs="Arial" w:eastAsia="Arial" w:hAnsi="Arial"/>
          <w:sz w:val="14"/>
          <w:szCs w:val="14"/>
          <w:color w:val="231F20"/>
        </w:rPr>
        <w:t>Messrs. Franklin, Fox, and Luning have each completed ten years of service. Therefore, for purposes of this present value calculation, these participants are assumed to accrue additional service and earnings until age 65, at which time pension payments are assumed to commence. Mr. Schuller and Mr. Rhodes have not completed ten years of service.</w:t>
      </w:r>
    </w:p>
    <w:p>
      <w:pPr>
        <w:spacing w:after="0" w:line="263" w:lineRule="exact"/>
        <w:rPr>
          <w:sz w:val="20"/>
          <w:szCs w:val="20"/>
          <w:color w:val="auto"/>
        </w:rPr>
      </w:pPr>
    </w:p>
    <w:p>
      <w:pPr>
        <w:spacing w:after="0"/>
        <w:rPr>
          <w:sz w:val="20"/>
          <w:szCs w:val="20"/>
          <w:color w:val="auto"/>
        </w:rPr>
      </w:pPr>
      <w:r>
        <w:rPr>
          <w:rFonts w:ascii="Arial" w:cs="Arial" w:eastAsia="Arial" w:hAnsi="Arial"/>
          <w:sz w:val="17"/>
          <w:szCs w:val="17"/>
          <w:b w:val="1"/>
          <w:bCs w:val="1"/>
          <w:color w:val="4395D4"/>
        </w:rPr>
        <w:t>Termination Events Compensation</w:t>
      </w:r>
    </w:p>
    <w:p>
      <w:pPr>
        <w:spacing w:after="0" w:line="153" w:lineRule="exact"/>
        <w:rPr>
          <w:sz w:val="20"/>
          <w:szCs w:val="20"/>
          <w:color w:val="auto"/>
        </w:rPr>
      </w:pPr>
    </w:p>
    <w:p>
      <w:pPr>
        <w:jc w:val="both"/>
        <w:ind w:right="40"/>
        <w:spacing w:after="0" w:line="253" w:lineRule="auto"/>
        <w:rPr>
          <w:sz w:val="20"/>
          <w:szCs w:val="20"/>
          <w:color w:val="auto"/>
        </w:rPr>
      </w:pPr>
      <w:r>
        <w:rPr>
          <w:rFonts w:ascii="Arial" w:cs="Arial" w:eastAsia="Arial" w:hAnsi="Arial"/>
          <w:sz w:val="14"/>
          <w:szCs w:val="14"/>
          <w:color w:val="231F20"/>
        </w:rPr>
        <w:t>The total estimated value of the payments that would be triggered by a termination following a change-in-control, a termination other than for cause without a change-in-control, retirement, death or disability for the named executive officers calculated assuming that the triggering event for the payments occurred on December 31, 2020 and assuming a value for our Common Stock as of December 31, 2020 for purposes of valuing the vesting of the equity incentives are shown on the following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103505</wp:posOffset>
            </wp:positionV>
            <wp:extent cx="7139940" cy="825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7139940" cy="8255"/>
                    </a:xfrm>
                    <a:prstGeom prst="rect">
                      <a:avLst/>
                    </a:prstGeom>
                    <a:noFill/>
                  </pic:spPr>
                </pic:pic>
              </a:graphicData>
            </a:graphic>
          </wp:anchor>
        </w:drawing>
      </w:r>
    </w:p>
    <w:p>
      <w:pPr>
        <w:spacing w:after="0" w:line="189" w:lineRule="exact"/>
        <w:rPr>
          <w:sz w:val="20"/>
          <w:szCs w:val="20"/>
          <w:color w:val="auto"/>
        </w:rPr>
      </w:pPr>
    </w:p>
    <w:p>
      <w:pPr>
        <w:jc w:val="right"/>
        <w:spacing w:after="0"/>
        <w:tabs>
          <w:tab w:leader="none" w:pos="140" w:val="left"/>
        </w:tabs>
        <w:rPr>
          <w:sz w:val="20"/>
          <w:szCs w:val="20"/>
          <w:color w:val="auto"/>
        </w:rPr>
      </w:pPr>
      <w:r>
        <w:rPr>
          <w:rFonts w:ascii="Arial" w:cs="Arial" w:eastAsia="Arial" w:hAnsi="Arial"/>
          <w:sz w:val="12"/>
          <w:szCs w:val="12"/>
          <w:color w:val="4395D4"/>
        </w:rPr>
        <w:t xml:space="preserve">ESSENTIAL UTILITIES, INC. </w:t>
      </w:r>
      <w:r>
        <w:rPr>
          <w:rFonts w:ascii="Arial" w:cs="Arial" w:eastAsia="Arial" w:hAnsi="Arial"/>
          <w:sz w:val="12"/>
          <w:szCs w:val="12"/>
          <w:color w:val="455986"/>
        </w:rPr>
        <w:t>2021 PROXY STATEMENT</w:t>
      </w:r>
      <w:r>
        <w:rPr>
          <w:sz w:val="20"/>
          <w:szCs w:val="20"/>
          <w:color w:val="auto"/>
        </w:rPr>
        <w:tab/>
      </w:r>
      <w:r>
        <w:rPr>
          <w:rFonts w:ascii="Arial" w:cs="Arial" w:eastAsia="Arial" w:hAnsi="Arial"/>
          <w:sz w:val="14"/>
          <w:szCs w:val="14"/>
          <w:color w:val="455986"/>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339090</wp:posOffset>
            </wp:positionV>
            <wp:extent cx="7139940" cy="24130"/>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7139940" cy="24130"/>
                    </a:xfrm>
                    <a:prstGeom prst="rect">
                      <a:avLst/>
                    </a:prstGeom>
                    <a:noFill/>
                  </pic:spPr>
                </pic:pic>
              </a:graphicData>
            </a:graphic>
          </wp:anchor>
        </w:drawing>
      </w:r>
    </w:p>
    <w:p>
      <w:pPr>
        <w:sectPr>
          <w:pgSz w:w="11900" w:h="16838" w:orient="portrait"/>
          <w:cols w:equalWidth="0" w:num="1">
            <w:col w:w="11240"/>
          </w:cols>
          <w:pgMar w:left="320" w:top="636" w:right="339" w:bottom="1440" w:gutter="0" w:footer="0" w:header="0"/>
        </w:sectPr>
      </w:pPr>
    </w:p>
    <w:bookmarkStart w:id="84" w:name="page85"/>
    <w:bookmarkEnd w:id="84"/>
    <w:p>
      <w:pPr>
        <w:spacing w:after="0"/>
        <w:rPr>
          <w:sz w:val="20"/>
          <w:szCs w:val="20"/>
          <w:color w:val="auto"/>
        </w:rPr>
      </w:pPr>
      <w:r>
        <w:rPr>
          <w:rFonts w:ascii="Arial" w:cs="Arial" w:eastAsia="Arial" w:hAnsi="Arial"/>
          <w:sz w:val="14"/>
          <w:szCs w:val="14"/>
          <w:b w:val="1"/>
          <w:bCs w:val="1"/>
          <w:color w:val="455986"/>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27940</wp:posOffset>
            </wp:positionV>
            <wp:extent cx="7139940" cy="825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7139940" cy="8255"/>
                    </a:xfrm>
                    <a:prstGeom prst="rect">
                      <a:avLst/>
                    </a:prstGeom>
                    <a:noFill/>
                  </pic:spPr>
                </pic:pic>
              </a:graphicData>
            </a:graphic>
          </wp:anchor>
        </w:drawing>
      </w:r>
    </w:p>
    <w:p>
      <w:pPr>
        <w:spacing w:after="0" w:line="76" w:lineRule="exact"/>
        <w:rPr>
          <w:sz w:val="20"/>
          <w:szCs w:val="20"/>
          <w:color w:val="auto"/>
        </w:rPr>
      </w:pPr>
    </w:p>
    <w:p>
      <w:pPr>
        <w:spacing w:after="0"/>
        <w:rPr>
          <w:sz w:val="20"/>
          <w:szCs w:val="20"/>
          <w:color w:val="auto"/>
        </w:rPr>
      </w:pPr>
      <w:r>
        <w:rPr>
          <w:rFonts w:ascii="Arial" w:cs="Arial" w:eastAsia="Arial" w:hAnsi="Arial"/>
          <w:sz w:val="14"/>
          <w:szCs w:val="14"/>
          <w:color w:val="231F20"/>
        </w:rPr>
        <w:t>Potential Payments Upon Termination or Change-In-Control</w:t>
      </w:r>
    </w:p>
    <w:p>
      <w:pPr>
        <w:spacing w:after="0" w:line="177" w:lineRule="exact"/>
        <w:rPr>
          <w:sz w:val="20"/>
          <w:szCs w:val="20"/>
          <w:color w:val="auto"/>
        </w:rPr>
      </w:pPr>
    </w:p>
    <w:p>
      <w:pPr>
        <w:spacing w:after="0"/>
        <w:rPr>
          <w:sz w:val="20"/>
          <w:szCs w:val="20"/>
          <w:color w:val="auto"/>
        </w:rPr>
      </w:pPr>
      <w:r>
        <w:rPr>
          <w:rFonts w:ascii="Arial" w:cs="Arial" w:eastAsia="Arial" w:hAnsi="Arial"/>
          <w:sz w:val="15"/>
          <w:szCs w:val="15"/>
          <w:b w:val="1"/>
          <w:bCs w:val="1"/>
          <w:color w:val="231F20"/>
        </w:rPr>
        <w:t>Christopher H. Franklin</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540" w:type="dxa"/>
            <w:vAlign w:val="bottom"/>
          </w:tcPr>
          <w:p>
            <w:pPr>
              <w:spacing w:after="0"/>
              <w:rPr>
                <w:sz w:val="14"/>
                <w:szCs w:val="14"/>
                <w:color w:val="auto"/>
              </w:rPr>
            </w:pPr>
          </w:p>
        </w:tc>
        <w:tc>
          <w:tcPr>
            <w:tcW w:w="1640" w:type="dxa"/>
            <w:vAlign w:val="bottom"/>
          </w:tcPr>
          <w:p>
            <w:pPr>
              <w:jc w:val="right"/>
              <w:ind w:right="252"/>
              <w:spacing w:after="0"/>
              <w:rPr>
                <w:sz w:val="20"/>
                <w:szCs w:val="20"/>
                <w:color w:val="auto"/>
              </w:rPr>
            </w:pPr>
            <w:r>
              <w:rPr>
                <w:rFonts w:ascii="Arial" w:cs="Arial" w:eastAsia="Arial" w:hAnsi="Arial"/>
                <w:sz w:val="14"/>
                <w:szCs w:val="14"/>
                <w:color w:val="455986"/>
              </w:rPr>
              <w:t>Change-in-Control</w:t>
            </w:r>
          </w:p>
        </w:tc>
        <w:tc>
          <w:tcPr>
            <w:tcW w:w="1380" w:type="dxa"/>
            <w:vAlign w:val="bottom"/>
          </w:tcPr>
          <w:p>
            <w:pPr>
              <w:jc w:val="right"/>
              <w:ind w:right="272"/>
              <w:spacing w:after="0"/>
              <w:rPr>
                <w:sz w:val="20"/>
                <w:szCs w:val="20"/>
                <w:color w:val="auto"/>
              </w:rPr>
            </w:pPr>
            <w:r>
              <w:rPr>
                <w:rFonts w:ascii="Arial" w:cs="Arial" w:eastAsia="Arial" w:hAnsi="Arial"/>
                <w:sz w:val="14"/>
                <w:szCs w:val="14"/>
                <w:color w:val="455986"/>
              </w:rPr>
              <w:t>Termination</w:t>
            </w:r>
          </w:p>
        </w:tc>
        <w:tc>
          <w:tcPr>
            <w:tcW w:w="1380" w:type="dxa"/>
            <w:vAlign w:val="bottom"/>
          </w:tcPr>
          <w:p>
            <w:pPr>
              <w:jc w:val="right"/>
              <w:ind w:right="312"/>
              <w:spacing w:after="0"/>
              <w:rPr>
                <w:sz w:val="20"/>
                <w:szCs w:val="20"/>
                <w:color w:val="auto"/>
              </w:rPr>
            </w:pPr>
            <w:r>
              <w:rPr>
                <w:rFonts w:ascii="Arial" w:cs="Arial" w:eastAsia="Arial" w:hAnsi="Arial"/>
                <w:sz w:val="14"/>
                <w:szCs w:val="14"/>
                <w:color w:val="455986"/>
              </w:rPr>
              <w:t>Retirement</w:t>
            </w:r>
          </w:p>
        </w:tc>
        <w:tc>
          <w:tcPr>
            <w:tcW w:w="1300" w:type="dxa"/>
            <w:vAlign w:val="bottom"/>
          </w:tcPr>
          <w:p>
            <w:pPr>
              <w:jc w:val="right"/>
              <w:ind w:right="272"/>
              <w:spacing w:after="0"/>
              <w:rPr>
                <w:sz w:val="20"/>
                <w:szCs w:val="20"/>
                <w:color w:val="auto"/>
              </w:rPr>
            </w:pPr>
            <w:r>
              <w:rPr>
                <w:rFonts w:ascii="Arial" w:cs="Arial" w:eastAsia="Arial" w:hAnsi="Arial"/>
                <w:sz w:val="14"/>
                <w:szCs w:val="14"/>
                <w:color w:val="455986"/>
              </w:rPr>
              <w:t>Death</w:t>
            </w:r>
          </w:p>
        </w:tc>
        <w:tc>
          <w:tcPr>
            <w:tcW w:w="1000" w:type="dxa"/>
            <w:vAlign w:val="bottom"/>
          </w:tcPr>
          <w:p>
            <w:pPr>
              <w:jc w:val="right"/>
              <w:spacing w:after="0"/>
              <w:rPr>
                <w:sz w:val="20"/>
                <w:szCs w:val="20"/>
                <w:color w:val="auto"/>
              </w:rPr>
            </w:pPr>
            <w:r>
              <w:rPr>
                <w:rFonts w:ascii="Arial" w:cs="Arial" w:eastAsia="Arial" w:hAnsi="Arial"/>
                <w:sz w:val="14"/>
                <w:szCs w:val="14"/>
                <w:color w:val="455986"/>
              </w:rPr>
              <w:t>Disability</w:t>
            </w:r>
          </w:p>
        </w:tc>
      </w:tr>
      <w:tr>
        <w:trPr>
          <w:trHeight w:val="187"/>
        </w:trPr>
        <w:tc>
          <w:tcPr>
            <w:tcW w:w="4540" w:type="dxa"/>
            <w:vAlign w:val="bottom"/>
            <w:tcBorders>
              <w:bottom w:val="single" w:sz="8" w:color="4395D4"/>
            </w:tcBorders>
          </w:tcPr>
          <w:p>
            <w:pPr>
              <w:spacing w:after="0"/>
              <w:rPr>
                <w:sz w:val="20"/>
                <w:szCs w:val="20"/>
                <w:color w:val="auto"/>
              </w:rPr>
            </w:pPr>
            <w:r>
              <w:rPr>
                <w:rFonts w:ascii="Arial" w:cs="Arial" w:eastAsia="Arial" w:hAnsi="Arial"/>
                <w:sz w:val="14"/>
                <w:szCs w:val="14"/>
                <w:color w:val="455986"/>
              </w:rPr>
              <w:t>Payments and Benefits Upon Separation</w:t>
            </w:r>
          </w:p>
        </w:tc>
        <w:tc>
          <w:tcPr>
            <w:tcW w:w="1640" w:type="dxa"/>
            <w:vAlign w:val="bottom"/>
            <w:tcBorders>
              <w:bottom w:val="single" w:sz="8" w:color="4395D4"/>
            </w:tcBorders>
          </w:tcPr>
          <w:p>
            <w:pPr>
              <w:jc w:val="right"/>
              <w:ind w:right="252"/>
              <w:spacing w:after="0"/>
              <w:rPr>
                <w:sz w:val="20"/>
                <w:szCs w:val="20"/>
                <w:color w:val="auto"/>
              </w:rPr>
            </w:pPr>
            <w:r>
              <w:rPr>
                <w:rFonts w:ascii="Arial" w:cs="Arial" w:eastAsia="Arial" w:hAnsi="Arial"/>
                <w:sz w:val="14"/>
                <w:szCs w:val="14"/>
                <w:color w:val="455986"/>
              </w:rPr>
              <w:t>$</w:t>
            </w:r>
          </w:p>
        </w:tc>
        <w:tc>
          <w:tcPr>
            <w:tcW w:w="1380" w:type="dxa"/>
            <w:vAlign w:val="bottom"/>
            <w:tcBorders>
              <w:bottom w:val="single" w:sz="8" w:color="4395D4"/>
            </w:tcBorders>
          </w:tcPr>
          <w:p>
            <w:pPr>
              <w:jc w:val="right"/>
              <w:ind w:right="272"/>
              <w:spacing w:after="0"/>
              <w:rPr>
                <w:sz w:val="20"/>
                <w:szCs w:val="20"/>
                <w:color w:val="auto"/>
              </w:rPr>
            </w:pPr>
            <w:r>
              <w:rPr>
                <w:rFonts w:ascii="Arial" w:cs="Arial" w:eastAsia="Arial" w:hAnsi="Arial"/>
                <w:sz w:val="14"/>
                <w:szCs w:val="14"/>
                <w:color w:val="455986"/>
              </w:rPr>
              <w:t>$</w:t>
            </w:r>
          </w:p>
        </w:tc>
        <w:tc>
          <w:tcPr>
            <w:tcW w:w="1380" w:type="dxa"/>
            <w:vAlign w:val="bottom"/>
            <w:tcBorders>
              <w:bottom w:val="single" w:sz="8" w:color="4395D4"/>
            </w:tcBorders>
          </w:tcPr>
          <w:p>
            <w:pPr>
              <w:jc w:val="right"/>
              <w:ind w:right="312"/>
              <w:spacing w:after="0"/>
              <w:rPr>
                <w:sz w:val="20"/>
                <w:szCs w:val="20"/>
                <w:color w:val="auto"/>
              </w:rPr>
            </w:pPr>
            <w:r>
              <w:rPr>
                <w:rFonts w:ascii="Arial" w:cs="Arial" w:eastAsia="Arial" w:hAnsi="Arial"/>
                <w:sz w:val="14"/>
                <w:szCs w:val="14"/>
                <w:color w:val="455986"/>
              </w:rPr>
              <w:t>$</w:t>
            </w:r>
          </w:p>
        </w:tc>
        <w:tc>
          <w:tcPr>
            <w:tcW w:w="1300" w:type="dxa"/>
            <w:vAlign w:val="bottom"/>
            <w:tcBorders>
              <w:bottom w:val="single" w:sz="8" w:color="4395D4"/>
            </w:tcBorders>
          </w:tcPr>
          <w:p>
            <w:pPr>
              <w:jc w:val="right"/>
              <w:ind w:right="272"/>
              <w:spacing w:after="0"/>
              <w:rPr>
                <w:sz w:val="20"/>
                <w:szCs w:val="20"/>
                <w:color w:val="auto"/>
              </w:rPr>
            </w:pPr>
            <w:r>
              <w:rPr>
                <w:rFonts w:ascii="Arial" w:cs="Arial" w:eastAsia="Arial" w:hAnsi="Arial"/>
                <w:sz w:val="14"/>
                <w:szCs w:val="14"/>
                <w:color w:val="455986"/>
              </w:rPr>
              <w:t>$</w:t>
            </w:r>
          </w:p>
        </w:tc>
        <w:tc>
          <w:tcPr>
            <w:tcW w:w="1000" w:type="dxa"/>
            <w:vAlign w:val="bottom"/>
            <w:tcBorders>
              <w:bottom w:val="single" w:sz="8" w:color="4395D4"/>
            </w:tcBorders>
          </w:tcPr>
          <w:p>
            <w:pPr>
              <w:jc w:val="right"/>
              <w:spacing w:after="0"/>
              <w:rPr>
                <w:sz w:val="20"/>
                <w:szCs w:val="20"/>
                <w:color w:val="auto"/>
              </w:rPr>
            </w:pPr>
            <w:r>
              <w:rPr>
                <w:rFonts w:ascii="Arial" w:cs="Arial" w:eastAsia="Arial" w:hAnsi="Arial"/>
                <w:sz w:val="14"/>
                <w:szCs w:val="14"/>
                <w:color w:val="455986"/>
              </w:rPr>
              <w:t>$</w:t>
            </w:r>
          </w:p>
        </w:tc>
      </w:tr>
      <w:tr>
        <w:trPr>
          <w:trHeight w:val="200"/>
        </w:trPr>
        <w:tc>
          <w:tcPr>
            <w:tcW w:w="4540" w:type="dxa"/>
            <w:vAlign w:val="bottom"/>
            <w:tcBorders>
              <w:bottom w:val="single" w:sz="8" w:color="231F20"/>
            </w:tcBorders>
          </w:tcPr>
          <w:p>
            <w:pPr>
              <w:spacing w:after="0"/>
              <w:rPr>
                <w:sz w:val="20"/>
                <w:szCs w:val="20"/>
                <w:color w:val="auto"/>
              </w:rPr>
            </w:pPr>
            <w:r>
              <w:rPr>
                <w:rFonts w:ascii="Arial" w:cs="Arial" w:eastAsia="Arial" w:hAnsi="Arial"/>
                <w:sz w:val="14"/>
                <w:szCs w:val="14"/>
                <w:b w:val="1"/>
                <w:bCs w:val="1"/>
                <w:color w:val="455986"/>
              </w:rPr>
              <w:t>Triggered Payments and Benefits</w:t>
            </w:r>
          </w:p>
        </w:tc>
        <w:tc>
          <w:tcPr>
            <w:tcW w:w="1640" w:type="dxa"/>
            <w:vAlign w:val="bottom"/>
            <w:tcBorders>
              <w:bottom w:val="single" w:sz="8" w:color="231F20"/>
            </w:tcBorders>
          </w:tcPr>
          <w:p>
            <w:pPr>
              <w:spacing w:after="0"/>
              <w:rPr>
                <w:sz w:val="17"/>
                <w:szCs w:val="17"/>
                <w:color w:val="auto"/>
              </w:rPr>
            </w:pPr>
          </w:p>
        </w:tc>
        <w:tc>
          <w:tcPr>
            <w:tcW w:w="1380" w:type="dxa"/>
            <w:vAlign w:val="bottom"/>
            <w:tcBorders>
              <w:bottom w:val="single" w:sz="8" w:color="231F20"/>
            </w:tcBorders>
          </w:tcPr>
          <w:p>
            <w:pPr>
              <w:spacing w:after="0"/>
              <w:rPr>
                <w:sz w:val="17"/>
                <w:szCs w:val="17"/>
                <w:color w:val="auto"/>
              </w:rPr>
            </w:pPr>
          </w:p>
        </w:tc>
        <w:tc>
          <w:tcPr>
            <w:tcW w:w="1380" w:type="dxa"/>
            <w:vAlign w:val="bottom"/>
            <w:tcBorders>
              <w:bottom w:val="single" w:sz="8" w:color="231F20"/>
            </w:tcBorders>
          </w:tcPr>
          <w:p>
            <w:pPr>
              <w:spacing w:after="0"/>
              <w:rPr>
                <w:sz w:val="17"/>
                <w:szCs w:val="17"/>
                <w:color w:val="auto"/>
              </w:rPr>
            </w:pPr>
          </w:p>
        </w:tc>
        <w:tc>
          <w:tcPr>
            <w:tcW w:w="1300" w:type="dxa"/>
            <w:vAlign w:val="bottom"/>
            <w:tcBorders>
              <w:bottom w:val="single" w:sz="8" w:color="231F20"/>
            </w:tcBorders>
          </w:tcPr>
          <w:p>
            <w:pPr>
              <w:spacing w:after="0"/>
              <w:rPr>
                <w:sz w:val="17"/>
                <w:szCs w:val="17"/>
                <w:color w:val="auto"/>
              </w:rPr>
            </w:pPr>
          </w:p>
        </w:tc>
        <w:tc>
          <w:tcPr>
            <w:tcW w:w="1000" w:type="dxa"/>
            <w:vAlign w:val="bottom"/>
            <w:tcBorders>
              <w:bottom w:val="single" w:sz="8" w:color="231F20"/>
            </w:tcBorders>
          </w:tcPr>
          <w:p>
            <w:pPr>
              <w:spacing w:after="0"/>
              <w:rPr>
                <w:sz w:val="17"/>
                <w:szCs w:val="17"/>
                <w:color w:val="auto"/>
              </w:rPr>
            </w:pPr>
          </w:p>
        </w:tc>
      </w:tr>
      <w:tr>
        <w:trPr>
          <w:trHeight w:val="194"/>
        </w:trPr>
        <w:tc>
          <w:tcPr>
            <w:tcW w:w="4540" w:type="dxa"/>
            <w:vAlign w:val="bottom"/>
            <w:tcBorders>
              <w:bottom w:val="single" w:sz="8" w:color="231F20"/>
            </w:tcBorders>
          </w:tcPr>
          <w:p>
            <w:pPr>
              <w:ind w:left="100"/>
              <w:spacing w:after="0"/>
              <w:rPr>
                <w:sz w:val="20"/>
                <w:szCs w:val="20"/>
                <w:color w:val="auto"/>
              </w:rPr>
            </w:pPr>
            <w:r>
              <w:rPr>
                <w:rFonts w:ascii="Arial" w:cs="Arial" w:eastAsia="Arial" w:hAnsi="Arial"/>
                <w:sz w:val="14"/>
                <w:szCs w:val="14"/>
                <w:color w:val="231F20"/>
              </w:rPr>
              <w:t>Severance Payment</w:t>
            </w:r>
          </w:p>
        </w:tc>
        <w:tc>
          <w:tcPr>
            <w:tcW w:w="1640" w:type="dxa"/>
            <w:vAlign w:val="bottom"/>
            <w:tcBorders>
              <w:bottom w:val="single" w:sz="8" w:color="231F20"/>
            </w:tcBorders>
          </w:tcPr>
          <w:p>
            <w:pPr>
              <w:jc w:val="right"/>
              <w:ind w:right="252"/>
              <w:spacing w:after="0"/>
              <w:rPr>
                <w:sz w:val="20"/>
                <w:szCs w:val="20"/>
                <w:color w:val="auto"/>
              </w:rPr>
            </w:pPr>
            <w:r>
              <w:rPr>
                <w:rFonts w:ascii="Arial" w:cs="Arial" w:eastAsia="Arial" w:hAnsi="Arial"/>
                <w:sz w:val="14"/>
                <w:szCs w:val="14"/>
                <w:color w:val="231F20"/>
              </w:rPr>
              <w:t>6,328,875</w:t>
            </w:r>
          </w:p>
        </w:tc>
        <w:tc>
          <w:tcPr>
            <w:tcW w:w="1380" w:type="dxa"/>
            <w:vAlign w:val="bottom"/>
            <w:tcBorders>
              <w:bottom w:val="single" w:sz="8" w:color="231F20"/>
            </w:tcBorders>
          </w:tcPr>
          <w:p>
            <w:pPr>
              <w:jc w:val="right"/>
              <w:ind w:right="272"/>
              <w:spacing w:after="0"/>
              <w:rPr>
                <w:sz w:val="20"/>
                <w:szCs w:val="20"/>
                <w:color w:val="auto"/>
              </w:rPr>
            </w:pPr>
            <w:r>
              <w:rPr>
                <w:rFonts w:ascii="Arial" w:cs="Arial" w:eastAsia="Arial" w:hAnsi="Arial"/>
                <w:sz w:val="14"/>
                <w:szCs w:val="14"/>
                <w:color w:val="231F20"/>
              </w:rPr>
              <w:t>3,500,000</w:t>
            </w:r>
          </w:p>
        </w:tc>
        <w:tc>
          <w:tcPr>
            <w:tcW w:w="1380" w:type="dxa"/>
            <w:vAlign w:val="bottom"/>
            <w:tcBorders>
              <w:bottom w:val="single" w:sz="8" w:color="231F20"/>
            </w:tcBorders>
          </w:tcPr>
          <w:p>
            <w:pPr>
              <w:jc w:val="right"/>
              <w:ind w:right="312"/>
              <w:spacing w:after="0"/>
              <w:rPr>
                <w:sz w:val="20"/>
                <w:szCs w:val="20"/>
                <w:color w:val="auto"/>
              </w:rPr>
            </w:pPr>
            <w:r>
              <w:rPr>
                <w:rFonts w:ascii="Arial" w:cs="Arial" w:eastAsia="Arial" w:hAnsi="Arial"/>
                <w:sz w:val="14"/>
                <w:szCs w:val="14"/>
                <w:color w:val="231F20"/>
              </w:rPr>
              <w:t>—</w:t>
            </w:r>
          </w:p>
        </w:tc>
        <w:tc>
          <w:tcPr>
            <w:tcW w:w="1300" w:type="dxa"/>
            <w:vAlign w:val="bottom"/>
            <w:tcBorders>
              <w:bottom w:val="single" w:sz="8" w:color="231F20"/>
            </w:tcBorders>
          </w:tcPr>
          <w:p>
            <w:pPr>
              <w:jc w:val="right"/>
              <w:ind w:right="272"/>
              <w:spacing w:after="0"/>
              <w:rPr>
                <w:sz w:val="20"/>
                <w:szCs w:val="20"/>
                <w:color w:val="auto"/>
              </w:rPr>
            </w:pPr>
            <w:r>
              <w:rPr>
                <w:rFonts w:ascii="Arial" w:cs="Arial" w:eastAsia="Arial" w:hAnsi="Arial"/>
                <w:sz w:val="14"/>
                <w:szCs w:val="14"/>
                <w:color w:val="231F20"/>
              </w:rPr>
              <w:t>—</w:t>
            </w:r>
          </w:p>
        </w:tc>
        <w:tc>
          <w:tcPr>
            <w:tcW w:w="1000" w:type="dxa"/>
            <w:vAlign w:val="bottom"/>
            <w:tcBorders>
              <w:bottom w:val="single" w:sz="8" w:color="231F20"/>
            </w:tcBorders>
          </w:tcPr>
          <w:p>
            <w:pPr>
              <w:jc w:val="right"/>
              <w:spacing w:after="0"/>
              <w:rPr>
                <w:sz w:val="20"/>
                <w:szCs w:val="20"/>
                <w:color w:val="auto"/>
              </w:rPr>
            </w:pPr>
            <w:r>
              <w:rPr>
                <w:rFonts w:ascii="Arial" w:cs="Arial" w:eastAsia="Arial" w:hAnsi="Arial"/>
                <w:sz w:val="14"/>
                <w:szCs w:val="14"/>
                <w:color w:val="231F20"/>
              </w:rPr>
              <w:t>—</w:t>
            </w:r>
          </w:p>
        </w:tc>
      </w:tr>
      <w:tr>
        <w:trPr>
          <w:trHeight w:val="197"/>
        </w:trPr>
        <w:tc>
          <w:tcPr>
            <w:tcW w:w="4540" w:type="dxa"/>
            <w:vAlign w:val="bottom"/>
            <w:tcBorders>
              <w:bottom w:val="single" w:sz="8" w:color="231F20"/>
            </w:tcBorders>
          </w:tcPr>
          <w:p>
            <w:pPr>
              <w:ind w:left="100"/>
              <w:spacing w:after="0"/>
              <w:rPr>
                <w:sz w:val="20"/>
                <w:szCs w:val="20"/>
                <w:color w:val="auto"/>
              </w:rPr>
            </w:pPr>
            <w:r>
              <w:rPr>
                <w:rFonts w:ascii="Arial" w:cs="Arial" w:eastAsia="Arial" w:hAnsi="Arial"/>
                <w:sz w:val="14"/>
                <w:szCs w:val="14"/>
                <w:color w:val="231F20"/>
              </w:rPr>
              <w:t>Prorated current year bonus</w:t>
            </w:r>
          </w:p>
        </w:tc>
        <w:tc>
          <w:tcPr>
            <w:tcW w:w="1640" w:type="dxa"/>
            <w:vAlign w:val="bottom"/>
            <w:tcBorders>
              <w:bottom w:val="single" w:sz="8" w:color="231F20"/>
            </w:tcBorders>
          </w:tcPr>
          <w:p>
            <w:pPr>
              <w:jc w:val="right"/>
              <w:ind w:right="252"/>
              <w:spacing w:after="0"/>
              <w:rPr>
                <w:sz w:val="20"/>
                <w:szCs w:val="20"/>
                <w:color w:val="auto"/>
              </w:rPr>
            </w:pPr>
            <w:r>
              <w:rPr>
                <w:rFonts w:ascii="Arial" w:cs="Arial" w:eastAsia="Arial" w:hAnsi="Arial"/>
                <w:sz w:val="14"/>
                <w:szCs w:val="14"/>
                <w:color w:val="231F20"/>
              </w:rPr>
              <w:t>875,000</w:t>
            </w:r>
          </w:p>
        </w:tc>
        <w:tc>
          <w:tcPr>
            <w:tcW w:w="1380" w:type="dxa"/>
            <w:vAlign w:val="bottom"/>
            <w:tcBorders>
              <w:bottom w:val="single" w:sz="8" w:color="231F20"/>
            </w:tcBorders>
          </w:tcPr>
          <w:p>
            <w:pPr>
              <w:jc w:val="right"/>
              <w:ind w:right="272"/>
              <w:spacing w:after="0"/>
              <w:rPr>
                <w:sz w:val="20"/>
                <w:szCs w:val="20"/>
                <w:color w:val="auto"/>
              </w:rPr>
            </w:pPr>
            <w:r>
              <w:rPr>
                <w:rFonts w:ascii="Arial" w:cs="Arial" w:eastAsia="Arial" w:hAnsi="Arial"/>
                <w:sz w:val="14"/>
                <w:szCs w:val="14"/>
                <w:color w:val="231F20"/>
              </w:rPr>
              <w:t>875,000</w:t>
            </w:r>
          </w:p>
        </w:tc>
        <w:tc>
          <w:tcPr>
            <w:tcW w:w="1380" w:type="dxa"/>
            <w:vAlign w:val="bottom"/>
            <w:tcBorders>
              <w:bottom w:val="single" w:sz="8" w:color="231F20"/>
            </w:tcBorders>
          </w:tcPr>
          <w:p>
            <w:pPr>
              <w:jc w:val="right"/>
              <w:ind w:right="312"/>
              <w:spacing w:after="0"/>
              <w:rPr>
                <w:sz w:val="20"/>
                <w:szCs w:val="20"/>
                <w:color w:val="auto"/>
              </w:rPr>
            </w:pPr>
            <w:r>
              <w:rPr>
                <w:rFonts w:ascii="Arial" w:cs="Arial" w:eastAsia="Arial" w:hAnsi="Arial"/>
                <w:sz w:val="14"/>
                <w:szCs w:val="14"/>
                <w:color w:val="231F20"/>
              </w:rPr>
              <w:t>875,000</w:t>
            </w:r>
          </w:p>
        </w:tc>
        <w:tc>
          <w:tcPr>
            <w:tcW w:w="1300" w:type="dxa"/>
            <w:vAlign w:val="bottom"/>
            <w:tcBorders>
              <w:bottom w:val="single" w:sz="8" w:color="231F20"/>
            </w:tcBorders>
          </w:tcPr>
          <w:p>
            <w:pPr>
              <w:jc w:val="right"/>
              <w:ind w:right="272"/>
              <w:spacing w:after="0"/>
              <w:rPr>
                <w:sz w:val="20"/>
                <w:szCs w:val="20"/>
                <w:color w:val="auto"/>
              </w:rPr>
            </w:pPr>
            <w:r>
              <w:rPr>
                <w:rFonts w:ascii="Arial" w:cs="Arial" w:eastAsia="Arial" w:hAnsi="Arial"/>
                <w:sz w:val="14"/>
                <w:szCs w:val="14"/>
                <w:color w:val="231F20"/>
              </w:rPr>
              <w:t>875,000</w:t>
            </w:r>
          </w:p>
        </w:tc>
        <w:tc>
          <w:tcPr>
            <w:tcW w:w="1000" w:type="dxa"/>
            <w:vAlign w:val="bottom"/>
            <w:tcBorders>
              <w:bottom w:val="single" w:sz="8" w:color="231F20"/>
            </w:tcBorders>
          </w:tcPr>
          <w:p>
            <w:pPr>
              <w:jc w:val="right"/>
              <w:spacing w:after="0"/>
              <w:rPr>
                <w:sz w:val="20"/>
                <w:szCs w:val="20"/>
                <w:color w:val="auto"/>
              </w:rPr>
            </w:pPr>
            <w:r>
              <w:rPr>
                <w:rFonts w:ascii="Arial" w:cs="Arial" w:eastAsia="Arial" w:hAnsi="Arial"/>
                <w:sz w:val="14"/>
                <w:szCs w:val="14"/>
                <w:color w:val="231F20"/>
              </w:rPr>
              <w:t>875,000</w:t>
            </w:r>
          </w:p>
        </w:tc>
      </w:tr>
      <w:tr>
        <w:trPr>
          <w:trHeight w:val="197"/>
        </w:trPr>
        <w:tc>
          <w:tcPr>
            <w:tcW w:w="4540" w:type="dxa"/>
            <w:vAlign w:val="bottom"/>
            <w:tcBorders>
              <w:bottom w:val="single" w:sz="8" w:color="231F20"/>
            </w:tcBorders>
          </w:tcPr>
          <w:p>
            <w:pPr>
              <w:ind w:left="100"/>
              <w:spacing w:after="0"/>
              <w:rPr>
                <w:sz w:val="20"/>
                <w:szCs w:val="20"/>
                <w:color w:val="auto"/>
              </w:rPr>
            </w:pPr>
            <w:r>
              <w:rPr>
                <w:rFonts w:ascii="Arial" w:cs="Arial" w:eastAsia="Arial" w:hAnsi="Arial"/>
                <w:sz w:val="14"/>
                <w:szCs w:val="14"/>
                <w:color w:val="231F20"/>
              </w:rPr>
              <w:t>Payment of accrued dividend equivalents</w:t>
            </w:r>
          </w:p>
        </w:tc>
        <w:tc>
          <w:tcPr>
            <w:tcW w:w="1640" w:type="dxa"/>
            <w:vAlign w:val="bottom"/>
            <w:tcBorders>
              <w:bottom w:val="single" w:sz="8" w:color="231F20"/>
            </w:tcBorders>
          </w:tcPr>
          <w:p>
            <w:pPr>
              <w:jc w:val="right"/>
              <w:ind w:right="252"/>
              <w:spacing w:after="0"/>
              <w:rPr>
                <w:sz w:val="20"/>
                <w:szCs w:val="20"/>
                <w:color w:val="auto"/>
              </w:rPr>
            </w:pPr>
            <w:r>
              <w:rPr>
                <w:rFonts w:ascii="Arial" w:cs="Arial" w:eastAsia="Arial" w:hAnsi="Arial"/>
                <w:sz w:val="14"/>
                <w:szCs w:val="14"/>
                <w:color w:val="231F20"/>
              </w:rPr>
              <w:t>180,550</w:t>
            </w:r>
          </w:p>
        </w:tc>
        <w:tc>
          <w:tcPr>
            <w:tcW w:w="1380" w:type="dxa"/>
            <w:vAlign w:val="bottom"/>
            <w:tcBorders>
              <w:bottom w:val="single" w:sz="8" w:color="231F20"/>
            </w:tcBorders>
          </w:tcPr>
          <w:p>
            <w:pPr>
              <w:jc w:val="right"/>
              <w:ind w:right="272"/>
              <w:spacing w:after="0"/>
              <w:rPr>
                <w:sz w:val="20"/>
                <w:szCs w:val="20"/>
                <w:color w:val="auto"/>
              </w:rPr>
            </w:pPr>
            <w:r>
              <w:rPr>
                <w:rFonts w:ascii="Arial" w:cs="Arial" w:eastAsia="Arial" w:hAnsi="Arial"/>
                <w:sz w:val="14"/>
                <w:szCs w:val="14"/>
                <w:color w:val="231F20"/>
              </w:rPr>
              <w:t>—</w:t>
            </w:r>
          </w:p>
        </w:tc>
        <w:tc>
          <w:tcPr>
            <w:tcW w:w="1380" w:type="dxa"/>
            <w:vAlign w:val="bottom"/>
            <w:tcBorders>
              <w:bottom w:val="single" w:sz="8" w:color="231F20"/>
            </w:tcBorders>
          </w:tcPr>
          <w:p>
            <w:pPr>
              <w:jc w:val="right"/>
              <w:ind w:right="312"/>
              <w:spacing w:after="0"/>
              <w:rPr>
                <w:sz w:val="20"/>
                <w:szCs w:val="20"/>
                <w:color w:val="auto"/>
              </w:rPr>
            </w:pPr>
            <w:r>
              <w:rPr>
                <w:rFonts w:ascii="Arial" w:cs="Arial" w:eastAsia="Arial" w:hAnsi="Arial"/>
                <w:sz w:val="14"/>
                <w:szCs w:val="14"/>
                <w:color w:val="231F20"/>
              </w:rPr>
              <w:t>134,203</w:t>
            </w:r>
          </w:p>
        </w:tc>
        <w:tc>
          <w:tcPr>
            <w:tcW w:w="1300" w:type="dxa"/>
            <w:vAlign w:val="bottom"/>
            <w:tcBorders>
              <w:bottom w:val="single" w:sz="8" w:color="231F20"/>
            </w:tcBorders>
          </w:tcPr>
          <w:p>
            <w:pPr>
              <w:jc w:val="right"/>
              <w:ind w:right="272"/>
              <w:spacing w:after="0"/>
              <w:rPr>
                <w:sz w:val="20"/>
                <w:szCs w:val="20"/>
                <w:color w:val="auto"/>
              </w:rPr>
            </w:pPr>
            <w:r>
              <w:rPr>
                <w:rFonts w:ascii="Arial" w:cs="Arial" w:eastAsia="Arial" w:hAnsi="Arial"/>
                <w:sz w:val="14"/>
                <w:szCs w:val="14"/>
                <w:color w:val="231F20"/>
              </w:rPr>
              <w:t>180,550</w:t>
            </w:r>
          </w:p>
        </w:tc>
        <w:tc>
          <w:tcPr>
            <w:tcW w:w="1000" w:type="dxa"/>
            <w:vAlign w:val="bottom"/>
            <w:tcBorders>
              <w:bottom w:val="single" w:sz="8" w:color="231F20"/>
            </w:tcBorders>
          </w:tcPr>
          <w:p>
            <w:pPr>
              <w:jc w:val="right"/>
              <w:spacing w:after="0"/>
              <w:rPr>
                <w:sz w:val="20"/>
                <w:szCs w:val="20"/>
                <w:color w:val="auto"/>
              </w:rPr>
            </w:pPr>
            <w:r>
              <w:rPr>
                <w:rFonts w:ascii="Arial" w:cs="Arial" w:eastAsia="Arial" w:hAnsi="Arial"/>
                <w:sz w:val="14"/>
                <w:szCs w:val="14"/>
                <w:color w:val="231F20"/>
              </w:rPr>
              <w:t>180,550</w:t>
            </w:r>
          </w:p>
        </w:tc>
      </w:tr>
      <w:tr>
        <w:trPr>
          <w:trHeight w:val="197"/>
        </w:trPr>
        <w:tc>
          <w:tcPr>
            <w:tcW w:w="4540" w:type="dxa"/>
            <w:vAlign w:val="bottom"/>
            <w:tcBorders>
              <w:bottom w:val="single" w:sz="8" w:color="231F20"/>
            </w:tcBorders>
          </w:tcPr>
          <w:p>
            <w:pPr>
              <w:ind w:left="100"/>
              <w:spacing w:after="0"/>
              <w:rPr>
                <w:sz w:val="20"/>
                <w:szCs w:val="20"/>
                <w:color w:val="auto"/>
              </w:rPr>
            </w:pPr>
            <w:r>
              <w:rPr>
                <w:rFonts w:ascii="Arial" w:cs="Arial" w:eastAsia="Arial" w:hAnsi="Arial"/>
                <w:sz w:val="14"/>
                <w:szCs w:val="14"/>
                <w:color w:val="231F20"/>
              </w:rPr>
              <w:t>Vesting of restricted stock</w:t>
            </w:r>
          </w:p>
        </w:tc>
        <w:tc>
          <w:tcPr>
            <w:tcW w:w="1640" w:type="dxa"/>
            <w:vAlign w:val="bottom"/>
            <w:tcBorders>
              <w:bottom w:val="single" w:sz="8" w:color="231F20"/>
            </w:tcBorders>
          </w:tcPr>
          <w:p>
            <w:pPr>
              <w:jc w:val="right"/>
              <w:ind w:right="252"/>
              <w:spacing w:after="0"/>
              <w:rPr>
                <w:sz w:val="20"/>
                <w:szCs w:val="20"/>
                <w:color w:val="auto"/>
              </w:rPr>
            </w:pPr>
            <w:r>
              <w:rPr>
                <w:rFonts w:ascii="Arial" w:cs="Arial" w:eastAsia="Arial" w:hAnsi="Arial"/>
                <w:sz w:val="14"/>
                <w:szCs w:val="14"/>
                <w:color w:val="231F20"/>
              </w:rPr>
              <w:t>—</w:t>
            </w:r>
          </w:p>
        </w:tc>
        <w:tc>
          <w:tcPr>
            <w:tcW w:w="1380" w:type="dxa"/>
            <w:vAlign w:val="bottom"/>
            <w:tcBorders>
              <w:bottom w:val="single" w:sz="8" w:color="231F20"/>
            </w:tcBorders>
          </w:tcPr>
          <w:p>
            <w:pPr>
              <w:jc w:val="right"/>
              <w:ind w:right="272"/>
              <w:spacing w:after="0"/>
              <w:rPr>
                <w:sz w:val="20"/>
                <w:szCs w:val="20"/>
                <w:color w:val="auto"/>
              </w:rPr>
            </w:pPr>
            <w:r>
              <w:rPr>
                <w:rFonts w:ascii="Arial" w:cs="Arial" w:eastAsia="Arial" w:hAnsi="Arial"/>
                <w:sz w:val="14"/>
                <w:szCs w:val="14"/>
                <w:color w:val="231F20"/>
              </w:rPr>
              <w:t>—</w:t>
            </w:r>
          </w:p>
        </w:tc>
        <w:tc>
          <w:tcPr>
            <w:tcW w:w="1380" w:type="dxa"/>
            <w:vAlign w:val="bottom"/>
            <w:tcBorders>
              <w:bottom w:val="single" w:sz="8" w:color="231F20"/>
            </w:tcBorders>
          </w:tcPr>
          <w:p>
            <w:pPr>
              <w:jc w:val="right"/>
              <w:ind w:right="312"/>
              <w:spacing w:after="0"/>
              <w:rPr>
                <w:sz w:val="20"/>
                <w:szCs w:val="20"/>
                <w:color w:val="auto"/>
              </w:rPr>
            </w:pPr>
            <w:r>
              <w:rPr>
                <w:rFonts w:ascii="Arial" w:cs="Arial" w:eastAsia="Arial" w:hAnsi="Arial"/>
                <w:sz w:val="14"/>
                <w:szCs w:val="14"/>
                <w:color w:val="231F20"/>
              </w:rPr>
              <w:t>—</w:t>
            </w:r>
          </w:p>
        </w:tc>
        <w:tc>
          <w:tcPr>
            <w:tcW w:w="1300" w:type="dxa"/>
            <w:vAlign w:val="bottom"/>
            <w:tcBorders>
              <w:bottom w:val="single" w:sz="8" w:color="231F20"/>
            </w:tcBorders>
          </w:tcPr>
          <w:p>
            <w:pPr>
              <w:jc w:val="right"/>
              <w:ind w:right="272"/>
              <w:spacing w:after="0"/>
              <w:rPr>
                <w:sz w:val="20"/>
                <w:szCs w:val="20"/>
                <w:color w:val="auto"/>
              </w:rPr>
            </w:pPr>
            <w:r>
              <w:rPr>
                <w:rFonts w:ascii="Arial" w:cs="Arial" w:eastAsia="Arial" w:hAnsi="Arial"/>
                <w:sz w:val="14"/>
                <w:szCs w:val="14"/>
                <w:color w:val="231F20"/>
              </w:rPr>
              <w:t>—</w:t>
            </w:r>
          </w:p>
        </w:tc>
        <w:tc>
          <w:tcPr>
            <w:tcW w:w="1000" w:type="dxa"/>
            <w:vAlign w:val="bottom"/>
            <w:tcBorders>
              <w:bottom w:val="single" w:sz="8" w:color="231F20"/>
            </w:tcBorders>
          </w:tcPr>
          <w:p>
            <w:pPr>
              <w:jc w:val="right"/>
              <w:spacing w:after="0"/>
              <w:rPr>
                <w:sz w:val="20"/>
                <w:szCs w:val="20"/>
                <w:color w:val="auto"/>
              </w:rPr>
            </w:pPr>
            <w:r>
              <w:rPr>
                <w:rFonts w:ascii="Arial" w:cs="Arial" w:eastAsia="Arial" w:hAnsi="Arial"/>
                <w:sz w:val="14"/>
                <w:szCs w:val="14"/>
                <w:color w:val="231F20"/>
              </w:rPr>
              <w:t>—</w:t>
            </w:r>
          </w:p>
        </w:tc>
      </w:tr>
      <w:tr>
        <w:trPr>
          <w:trHeight w:val="197"/>
        </w:trPr>
        <w:tc>
          <w:tcPr>
            <w:tcW w:w="4540" w:type="dxa"/>
            <w:vAlign w:val="bottom"/>
            <w:tcBorders>
              <w:bottom w:val="single" w:sz="8" w:color="231F20"/>
            </w:tcBorders>
          </w:tcPr>
          <w:p>
            <w:pPr>
              <w:ind w:left="100"/>
              <w:spacing w:after="0"/>
              <w:rPr>
                <w:sz w:val="20"/>
                <w:szCs w:val="20"/>
                <w:color w:val="auto"/>
              </w:rPr>
            </w:pPr>
            <w:r>
              <w:rPr>
                <w:rFonts w:ascii="Arial" w:cs="Arial" w:eastAsia="Arial" w:hAnsi="Arial"/>
                <w:sz w:val="14"/>
                <w:szCs w:val="14"/>
                <w:color w:val="231F20"/>
              </w:rPr>
              <w:t>Vesting of restricted share units</w:t>
            </w:r>
          </w:p>
        </w:tc>
        <w:tc>
          <w:tcPr>
            <w:tcW w:w="1640" w:type="dxa"/>
            <w:vAlign w:val="bottom"/>
            <w:tcBorders>
              <w:bottom w:val="single" w:sz="8" w:color="231F20"/>
            </w:tcBorders>
          </w:tcPr>
          <w:p>
            <w:pPr>
              <w:jc w:val="right"/>
              <w:ind w:right="252"/>
              <w:spacing w:after="0"/>
              <w:rPr>
                <w:sz w:val="20"/>
                <w:szCs w:val="20"/>
                <w:color w:val="auto"/>
              </w:rPr>
            </w:pPr>
            <w:r>
              <w:rPr>
                <w:rFonts w:ascii="Arial" w:cs="Arial" w:eastAsia="Arial" w:hAnsi="Arial"/>
                <w:sz w:val="14"/>
                <w:szCs w:val="14"/>
                <w:color w:val="231F20"/>
              </w:rPr>
              <w:t>1,845,161</w:t>
            </w:r>
          </w:p>
        </w:tc>
        <w:tc>
          <w:tcPr>
            <w:tcW w:w="1380" w:type="dxa"/>
            <w:vAlign w:val="bottom"/>
            <w:tcBorders>
              <w:bottom w:val="single" w:sz="8" w:color="231F20"/>
            </w:tcBorders>
          </w:tcPr>
          <w:p>
            <w:pPr>
              <w:jc w:val="right"/>
              <w:ind w:right="272"/>
              <w:spacing w:after="0"/>
              <w:rPr>
                <w:sz w:val="20"/>
                <w:szCs w:val="20"/>
                <w:color w:val="auto"/>
              </w:rPr>
            </w:pPr>
            <w:r>
              <w:rPr>
                <w:rFonts w:ascii="Arial" w:cs="Arial" w:eastAsia="Arial" w:hAnsi="Arial"/>
                <w:sz w:val="14"/>
                <w:szCs w:val="14"/>
                <w:color w:val="231F20"/>
              </w:rPr>
              <w:t>—</w:t>
            </w:r>
          </w:p>
        </w:tc>
        <w:tc>
          <w:tcPr>
            <w:tcW w:w="1380" w:type="dxa"/>
            <w:vAlign w:val="bottom"/>
            <w:tcBorders>
              <w:bottom w:val="single" w:sz="8" w:color="231F20"/>
            </w:tcBorders>
          </w:tcPr>
          <w:p>
            <w:pPr>
              <w:jc w:val="right"/>
              <w:ind w:right="312"/>
              <w:spacing w:after="0"/>
              <w:rPr>
                <w:sz w:val="20"/>
                <w:szCs w:val="20"/>
                <w:color w:val="auto"/>
              </w:rPr>
            </w:pPr>
            <w:r>
              <w:rPr>
                <w:rFonts w:ascii="Arial" w:cs="Arial" w:eastAsia="Arial" w:hAnsi="Arial"/>
                <w:sz w:val="14"/>
                <w:szCs w:val="14"/>
                <w:color w:val="231F20"/>
              </w:rPr>
              <w:t>1,107,122</w:t>
            </w:r>
          </w:p>
        </w:tc>
        <w:tc>
          <w:tcPr>
            <w:tcW w:w="1300" w:type="dxa"/>
            <w:vAlign w:val="bottom"/>
            <w:tcBorders>
              <w:bottom w:val="single" w:sz="8" w:color="231F20"/>
            </w:tcBorders>
          </w:tcPr>
          <w:p>
            <w:pPr>
              <w:jc w:val="right"/>
              <w:ind w:right="272"/>
              <w:spacing w:after="0"/>
              <w:rPr>
                <w:sz w:val="20"/>
                <w:szCs w:val="20"/>
                <w:color w:val="auto"/>
              </w:rPr>
            </w:pPr>
            <w:r>
              <w:rPr>
                <w:rFonts w:ascii="Arial" w:cs="Arial" w:eastAsia="Arial" w:hAnsi="Arial"/>
                <w:sz w:val="14"/>
                <w:szCs w:val="14"/>
                <w:color w:val="231F20"/>
              </w:rPr>
              <w:t>1,845,161</w:t>
            </w:r>
          </w:p>
        </w:tc>
        <w:tc>
          <w:tcPr>
            <w:tcW w:w="1000" w:type="dxa"/>
            <w:vAlign w:val="bottom"/>
            <w:tcBorders>
              <w:bottom w:val="single" w:sz="8" w:color="231F20"/>
            </w:tcBorders>
          </w:tcPr>
          <w:p>
            <w:pPr>
              <w:jc w:val="right"/>
              <w:spacing w:after="0"/>
              <w:rPr>
                <w:sz w:val="20"/>
                <w:szCs w:val="20"/>
                <w:color w:val="auto"/>
              </w:rPr>
            </w:pPr>
            <w:r>
              <w:rPr>
                <w:rFonts w:ascii="Arial" w:cs="Arial" w:eastAsia="Arial" w:hAnsi="Arial"/>
                <w:sz w:val="14"/>
                <w:szCs w:val="14"/>
                <w:color w:val="231F20"/>
              </w:rPr>
              <w:t>1,845,161</w:t>
            </w:r>
          </w:p>
        </w:tc>
      </w:tr>
      <w:tr>
        <w:trPr>
          <w:trHeight w:val="197"/>
        </w:trPr>
        <w:tc>
          <w:tcPr>
            <w:tcW w:w="4540" w:type="dxa"/>
            <w:vAlign w:val="bottom"/>
            <w:tcBorders>
              <w:bottom w:val="single" w:sz="8" w:color="231F20"/>
            </w:tcBorders>
          </w:tcPr>
          <w:p>
            <w:pPr>
              <w:ind w:left="100"/>
              <w:spacing w:after="0"/>
              <w:rPr>
                <w:sz w:val="20"/>
                <w:szCs w:val="20"/>
                <w:color w:val="auto"/>
              </w:rPr>
            </w:pPr>
            <w:r>
              <w:rPr>
                <w:rFonts w:ascii="Arial" w:cs="Arial" w:eastAsia="Arial" w:hAnsi="Arial"/>
                <w:sz w:val="14"/>
                <w:szCs w:val="14"/>
                <w:color w:val="231F20"/>
              </w:rPr>
              <w:t>Vesting of performance share units</w:t>
            </w:r>
          </w:p>
        </w:tc>
        <w:tc>
          <w:tcPr>
            <w:tcW w:w="1640" w:type="dxa"/>
            <w:vAlign w:val="bottom"/>
            <w:tcBorders>
              <w:bottom w:val="single" w:sz="8" w:color="231F20"/>
            </w:tcBorders>
          </w:tcPr>
          <w:p>
            <w:pPr>
              <w:jc w:val="right"/>
              <w:ind w:right="252"/>
              <w:spacing w:after="0"/>
              <w:rPr>
                <w:sz w:val="20"/>
                <w:szCs w:val="20"/>
                <w:color w:val="auto"/>
              </w:rPr>
            </w:pPr>
            <w:r>
              <w:rPr>
                <w:rFonts w:ascii="Arial" w:cs="Arial" w:eastAsia="Arial" w:hAnsi="Arial"/>
                <w:sz w:val="14"/>
                <w:szCs w:val="14"/>
                <w:color w:val="231F20"/>
              </w:rPr>
              <w:t>3,756,188</w:t>
            </w:r>
          </w:p>
        </w:tc>
        <w:tc>
          <w:tcPr>
            <w:tcW w:w="1380" w:type="dxa"/>
            <w:vAlign w:val="bottom"/>
            <w:tcBorders>
              <w:bottom w:val="single" w:sz="8" w:color="231F20"/>
            </w:tcBorders>
          </w:tcPr>
          <w:p>
            <w:pPr>
              <w:jc w:val="right"/>
              <w:ind w:right="272"/>
              <w:spacing w:after="0"/>
              <w:rPr>
                <w:sz w:val="20"/>
                <w:szCs w:val="20"/>
                <w:color w:val="auto"/>
              </w:rPr>
            </w:pPr>
            <w:r>
              <w:rPr>
                <w:rFonts w:ascii="Arial" w:cs="Arial" w:eastAsia="Arial" w:hAnsi="Arial"/>
                <w:sz w:val="14"/>
                <w:szCs w:val="14"/>
                <w:color w:val="231F20"/>
              </w:rPr>
              <w:t>—</w:t>
            </w:r>
          </w:p>
        </w:tc>
        <w:tc>
          <w:tcPr>
            <w:tcW w:w="1380" w:type="dxa"/>
            <w:vAlign w:val="bottom"/>
            <w:tcBorders>
              <w:bottom w:val="single" w:sz="8" w:color="231F20"/>
            </w:tcBorders>
          </w:tcPr>
          <w:p>
            <w:pPr>
              <w:jc w:val="right"/>
              <w:ind w:right="312"/>
              <w:spacing w:after="0"/>
              <w:rPr>
                <w:sz w:val="20"/>
                <w:szCs w:val="20"/>
                <w:color w:val="auto"/>
              </w:rPr>
            </w:pPr>
            <w:r>
              <w:rPr>
                <w:rFonts w:ascii="Arial" w:cs="Arial" w:eastAsia="Arial" w:hAnsi="Arial"/>
                <w:sz w:val="14"/>
                <w:szCs w:val="14"/>
                <w:color w:val="231F20"/>
              </w:rPr>
              <w:t>2,093,302</w:t>
            </w:r>
          </w:p>
        </w:tc>
        <w:tc>
          <w:tcPr>
            <w:tcW w:w="1300" w:type="dxa"/>
            <w:vAlign w:val="bottom"/>
            <w:tcBorders>
              <w:bottom w:val="single" w:sz="8" w:color="231F20"/>
            </w:tcBorders>
          </w:tcPr>
          <w:p>
            <w:pPr>
              <w:jc w:val="right"/>
              <w:ind w:right="272"/>
              <w:spacing w:after="0"/>
              <w:rPr>
                <w:sz w:val="20"/>
                <w:szCs w:val="20"/>
                <w:color w:val="auto"/>
              </w:rPr>
            </w:pPr>
            <w:r>
              <w:rPr>
                <w:rFonts w:ascii="Arial" w:cs="Arial" w:eastAsia="Arial" w:hAnsi="Arial"/>
                <w:sz w:val="14"/>
                <w:szCs w:val="14"/>
                <w:color w:val="231F20"/>
              </w:rPr>
              <w:t>3,756,188</w:t>
            </w:r>
          </w:p>
        </w:tc>
        <w:tc>
          <w:tcPr>
            <w:tcW w:w="1000" w:type="dxa"/>
            <w:vAlign w:val="bottom"/>
            <w:tcBorders>
              <w:bottom w:val="single" w:sz="8" w:color="231F20"/>
            </w:tcBorders>
          </w:tcPr>
          <w:p>
            <w:pPr>
              <w:jc w:val="right"/>
              <w:spacing w:after="0"/>
              <w:rPr>
                <w:sz w:val="20"/>
                <w:szCs w:val="20"/>
                <w:color w:val="auto"/>
              </w:rPr>
            </w:pPr>
            <w:r>
              <w:rPr>
                <w:rFonts w:ascii="Arial" w:cs="Arial" w:eastAsia="Arial" w:hAnsi="Arial"/>
                <w:sz w:val="14"/>
                <w:szCs w:val="14"/>
                <w:color w:val="231F20"/>
              </w:rPr>
              <w:t>3,756,188</w:t>
            </w:r>
          </w:p>
        </w:tc>
      </w:tr>
      <w:tr>
        <w:trPr>
          <w:trHeight w:val="197"/>
        </w:trPr>
        <w:tc>
          <w:tcPr>
            <w:tcW w:w="4540" w:type="dxa"/>
            <w:vAlign w:val="bottom"/>
            <w:tcBorders>
              <w:bottom w:val="single" w:sz="8" w:color="231F20"/>
            </w:tcBorders>
          </w:tcPr>
          <w:p>
            <w:pPr>
              <w:ind w:left="100"/>
              <w:spacing w:after="0"/>
              <w:rPr>
                <w:sz w:val="20"/>
                <w:szCs w:val="20"/>
                <w:color w:val="auto"/>
              </w:rPr>
            </w:pPr>
            <w:r>
              <w:rPr>
                <w:rFonts w:ascii="Arial" w:cs="Arial" w:eastAsia="Arial" w:hAnsi="Arial"/>
                <w:sz w:val="14"/>
                <w:szCs w:val="14"/>
                <w:color w:val="231F20"/>
              </w:rPr>
              <w:t>Vesting of stock options</w:t>
            </w:r>
          </w:p>
        </w:tc>
        <w:tc>
          <w:tcPr>
            <w:tcW w:w="1640" w:type="dxa"/>
            <w:vAlign w:val="bottom"/>
            <w:tcBorders>
              <w:bottom w:val="single" w:sz="8" w:color="231F20"/>
            </w:tcBorders>
          </w:tcPr>
          <w:p>
            <w:pPr>
              <w:jc w:val="right"/>
              <w:ind w:right="252"/>
              <w:spacing w:after="0"/>
              <w:rPr>
                <w:sz w:val="20"/>
                <w:szCs w:val="20"/>
                <w:color w:val="auto"/>
              </w:rPr>
            </w:pPr>
            <w:r>
              <w:rPr>
                <w:rFonts w:ascii="Arial" w:cs="Arial" w:eastAsia="Arial" w:hAnsi="Arial"/>
                <w:sz w:val="14"/>
                <w:szCs w:val="14"/>
                <w:color w:val="231F20"/>
              </w:rPr>
              <w:t>2,604,096</w:t>
            </w:r>
          </w:p>
        </w:tc>
        <w:tc>
          <w:tcPr>
            <w:tcW w:w="1380" w:type="dxa"/>
            <w:vAlign w:val="bottom"/>
            <w:tcBorders>
              <w:bottom w:val="single" w:sz="8" w:color="231F20"/>
            </w:tcBorders>
          </w:tcPr>
          <w:p>
            <w:pPr>
              <w:jc w:val="right"/>
              <w:ind w:right="272"/>
              <w:spacing w:after="0"/>
              <w:rPr>
                <w:sz w:val="20"/>
                <w:szCs w:val="20"/>
                <w:color w:val="auto"/>
              </w:rPr>
            </w:pPr>
            <w:r>
              <w:rPr>
                <w:rFonts w:ascii="Arial" w:cs="Arial" w:eastAsia="Arial" w:hAnsi="Arial"/>
                <w:sz w:val="14"/>
                <w:szCs w:val="14"/>
                <w:color w:val="231F20"/>
              </w:rPr>
              <w:t>—</w:t>
            </w:r>
          </w:p>
        </w:tc>
        <w:tc>
          <w:tcPr>
            <w:tcW w:w="1380" w:type="dxa"/>
            <w:vAlign w:val="bottom"/>
            <w:tcBorders>
              <w:bottom w:val="single" w:sz="8" w:color="231F20"/>
            </w:tcBorders>
          </w:tcPr>
          <w:p>
            <w:pPr>
              <w:jc w:val="right"/>
              <w:ind w:right="312"/>
              <w:spacing w:after="0"/>
              <w:rPr>
                <w:sz w:val="20"/>
                <w:szCs w:val="20"/>
                <w:color w:val="auto"/>
              </w:rPr>
            </w:pPr>
            <w:r>
              <w:rPr>
                <w:rFonts w:ascii="Arial" w:cs="Arial" w:eastAsia="Arial" w:hAnsi="Arial"/>
                <w:sz w:val="14"/>
                <w:szCs w:val="14"/>
                <w:color w:val="231F20"/>
              </w:rPr>
              <w:t>1,740,258</w:t>
            </w:r>
          </w:p>
        </w:tc>
        <w:tc>
          <w:tcPr>
            <w:tcW w:w="1300" w:type="dxa"/>
            <w:vAlign w:val="bottom"/>
            <w:tcBorders>
              <w:bottom w:val="single" w:sz="8" w:color="231F20"/>
            </w:tcBorders>
          </w:tcPr>
          <w:p>
            <w:pPr>
              <w:jc w:val="right"/>
              <w:ind w:right="272"/>
              <w:spacing w:after="0"/>
              <w:rPr>
                <w:sz w:val="20"/>
                <w:szCs w:val="20"/>
                <w:color w:val="auto"/>
              </w:rPr>
            </w:pPr>
            <w:r>
              <w:rPr>
                <w:rFonts w:ascii="Arial" w:cs="Arial" w:eastAsia="Arial" w:hAnsi="Arial"/>
                <w:sz w:val="14"/>
                <w:szCs w:val="14"/>
                <w:color w:val="231F20"/>
              </w:rPr>
              <w:t>2,604,096</w:t>
            </w:r>
          </w:p>
        </w:tc>
        <w:tc>
          <w:tcPr>
            <w:tcW w:w="1000" w:type="dxa"/>
            <w:vAlign w:val="bottom"/>
            <w:tcBorders>
              <w:bottom w:val="single" w:sz="8" w:color="231F20"/>
            </w:tcBorders>
          </w:tcPr>
          <w:p>
            <w:pPr>
              <w:jc w:val="right"/>
              <w:spacing w:after="0"/>
              <w:rPr>
                <w:sz w:val="20"/>
                <w:szCs w:val="20"/>
                <w:color w:val="auto"/>
              </w:rPr>
            </w:pPr>
            <w:r>
              <w:rPr>
                <w:rFonts w:ascii="Arial" w:cs="Arial" w:eastAsia="Arial" w:hAnsi="Arial"/>
                <w:sz w:val="14"/>
                <w:szCs w:val="14"/>
                <w:color w:val="231F20"/>
              </w:rPr>
              <w:t>2,604,096</w:t>
            </w:r>
          </w:p>
        </w:tc>
      </w:tr>
      <w:tr>
        <w:trPr>
          <w:trHeight w:val="197"/>
        </w:trPr>
        <w:tc>
          <w:tcPr>
            <w:tcW w:w="4540" w:type="dxa"/>
            <w:vAlign w:val="bottom"/>
            <w:tcBorders>
              <w:bottom w:val="single" w:sz="8" w:color="231F20"/>
            </w:tcBorders>
          </w:tcPr>
          <w:p>
            <w:pPr>
              <w:ind w:left="100"/>
              <w:spacing w:after="0"/>
              <w:rPr>
                <w:sz w:val="20"/>
                <w:szCs w:val="20"/>
                <w:color w:val="auto"/>
              </w:rPr>
            </w:pPr>
            <w:r>
              <w:rPr>
                <w:rFonts w:ascii="Arial" w:cs="Arial" w:eastAsia="Arial" w:hAnsi="Arial"/>
                <w:sz w:val="14"/>
                <w:szCs w:val="14"/>
                <w:color w:val="231F20"/>
              </w:rPr>
              <w:t>Continuation of welfare benefits</w:t>
            </w:r>
          </w:p>
        </w:tc>
        <w:tc>
          <w:tcPr>
            <w:tcW w:w="1640" w:type="dxa"/>
            <w:vAlign w:val="bottom"/>
            <w:tcBorders>
              <w:bottom w:val="single" w:sz="8" w:color="231F20"/>
            </w:tcBorders>
          </w:tcPr>
          <w:p>
            <w:pPr>
              <w:jc w:val="right"/>
              <w:ind w:right="252"/>
              <w:spacing w:after="0"/>
              <w:rPr>
                <w:sz w:val="20"/>
                <w:szCs w:val="20"/>
                <w:color w:val="auto"/>
              </w:rPr>
            </w:pPr>
            <w:r>
              <w:rPr>
                <w:rFonts w:ascii="Arial" w:cs="Arial" w:eastAsia="Arial" w:hAnsi="Arial"/>
                <w:sz w:val="14"/>
                <w:szCs w:val="14"/>
                <w:color w:val="231F20"/>
              </w:rPr>
              <w:t>91,509</w:t>
            </w:r>
          </w:p>
        </w:tc>
        <w:tc>
          <w:tcPr>
            <w:tcW w:w="1380" w:type="dxa"/>
            <w:vAlign w:val="bottom"/>
            <w:tcBorders>
              <w:bottom w:val="single" w:sz="8" w:color="231F20"/>
            </w:tcBorders>
          </w:tcPr>
          <w:p>
            <w:pPr>
              <w:jc w:val="right"/>
              <w:ind w:right="272"/>
              <w:spacing w:after="0"/>
              <w:rPr>
                <w:sz w:val="20"/>
                <w:szCs w:val="20"/>
                <w:color w:val="auto"/>
              </w:rPr>
            </w:pPr>
            <w:r>
              <w:rPr>
                <w:rFonts w:ascii="Arial" w:cs="Arial" w:eastAsia="Arial" w:hAnsi="Arial"/>
                <w:sz w:val="14"/>
                <w:szCs w:val="14"/>
                <w:color w:val="231F20"/>
              </w:rPr>
              <w:t>14,514</w:t>
            </w:r>
          </w:p>
        </w:tc>
        <w:tc>
          <w:tcPr>
            <w:tcW w:w="1380" w:type="dxa"/>
            <w:vAlign w:val="bottom"/>
            <w:tcBorders>
              <w:bottom w:val="single" w:sz="8" w:color="231F20"/>
            </w:tcBorders>
          </w:tcPr>
          <w:p>
            <w:pPr>
              <w:jc w:val="right"/>
              <w:ind w:right="312"/>
              <w:spacing w:after="0"/>
              <w:rPr>
                <w:sz w:val="20"/>
                <w:szCs w:val="20"/>
                <w:color w:val="auto"/>
              </w:rPr>
            </w:pPr>
            <w:r>
              <w:rPr>
                <w:rFonts w:ascii="Arial" w:cs="Arial" w:eastAsia="Arial" w:hAnsi="Arial"/>
                <w:sz w:val="14"/>
                <w:szCs w:val="14"/>
                <w:color w:val="231F20"/>
              </w:rPr>
              <w:t>—</w:t>
            </w:r>
          </w:p>
        </w:tc>
        <w:tc>
          <w:tcPr>
            <w:tcW w:w="1300" w:type="dxa"/>
            <w:vAlign w:val="bottom"/>
            <w:tcBorders>
              <w:bottom w:val="single" w:sz="8" w:color="231F20"/>
            </w:tcBorders>
          </w:tcPr>
          <w:p>
            <w:pPr>
              <w:jc w:val="right"/>
              <w:ind w:right="272"/>
              <w:spacing w:after="0"/>
              <w:rPr>
                <w:sz w:val="20"/>
                <w:szCs w:val="20"/>
                <w:color w:val="auto"/>
              </w:rPr>
            </w:pPr>
            <w:r>
              <w:rPr>
                <w:rFonts w:ascii="Arial" w:cs="Arial" w:eastAsia="Arial" w:hAnsi="Arial"/>
                <w:sz w:val="14"/>
                <w:szCs w:val="14"/>
                <w:color w:val="231F20"/>
              </w:rPr>
              <w:t>—</w:t>
            </w:r>
          </w:p>
        </w:tc>
        <w:tc>
          <w:tcPr>
            <w:tcW w:w="1000" w:type="dxa"/>
            <w:vAlign w:val="bottom"/>
            <w:tcBorders>
              <w:bottom w:val="single" w:sz="8" w:color="231F20"/>
            </w:tcBorders>
          </w:tcPr>
          <w:p>
            <w:pPr>
              <w:jc w:val="right"/>
              <w:spacing w:after="0"/>
              <w:rPr>
                <w:sz w:val="20"/>
                <w:szCs w:val="20"/>
                <w:color w:val="auto"/>
              </w:rPr>
            </w:pPr>
            <w:r>
              <w:rPr>
                <w:rFonts w:ascii="Arial" w:cs="Arial" w:eastAsia="Arial" w:hAnsi="Arial"/>
                <w:sz w:val="14"/>
                <w:szCs w:val="14"/>
                <w:color w:val="231F20"/>
              </w:rPr>
              <w:t>—</w:t>
            </w:r>
          </w:p>
        </w:tc>
      </w:tr>
      <w:tr>
        <w:trPr>
          <w:trHeight w:val="200"/>
        </w:trPr>
        <w:tc>
          <w:tcPr>
            <w:tcW w:w="4540" w:type="dxa"/>
            <w:vAlign w:val="bottom"/>
            <w:tcBorders>
              <w:bottom w:val="single" w:sz="8" w:color="231F20"/>
            </w:tcBorders>
          </w:tcPr>
          <w:p>
            <w:pPr>
              <w:spacing w:after="0"/>
              <w:rPr>
                <w:sz w:val="20"/>
                <w:szCs w:val="20"/>
                <w:color w:val="auto"/>
              </w:rPr>
            </w:pPr>
            <w:r>
              <w:rPr>
                <w:rFonts w:ascii="Arial" w:cs="Arial" w:eastAsia="Arial" w:hAnsi="Arial"/>
                <w:sz w:val="14"/>
                <w:szCs w:val="14"/>
                <w:b w:val="1"/>
                <w:bCs w:val="1"/>
                <w:color w:val="455986"/>
              </w:rPr>
              <w:t>Outplacement services</w:t>
            </w:r>
          </w:p>
        </w:tc>
        <w:tc>
          <w:tcPr>
            <w:tcW w:w="1640" w:type="dxa"/>
            <w:vAlign w:val="bottom"/>
            <w:tcBorders>
              <w:bottom w:val="single" w:sz="8" w:color="231F20"/>
            </w:tcBorders>
          </w:tcPr>
          <w:p>
            <w:pPr>
              <w:jc w:val="right"/>
              <w:ind w:right="252"/>
              <w:spacing w:after="0"/>
              <w:rPr>
                <w:sz w:val="20"/>
                <w:szCs w:val="20"/>
                <w:color w:val="auto"/>
              </w:rPr>
            </w:pPr>
            <w:r>
              <w:rPr>
                <w:rFonts w:ascii="Arial" w:cs="Arial" w:eastAsia="Arial" w:hAnsi="Arial"/>
                <w:sz w:val="14"/>
                <w:szCs w:val="14"/>
                <w:color w:val="231F20"/>
              </w:rPr>
              <w:t>67,500</w:t>
            </w:r>
          </w:p>
        </w:tc>
        <w:tc>
          <w:tcPr>
            <w:tcW w:w="1380" w:type="dxa"/>
            <w:vAlign w:val="bottom"/>
            <w:tcBorders>
              <w:bottom w:val="single" w:sz="8" w:color="231F20"/>
            </w:tcBorders>
          </w:tcPr>
          <w:p>
            <w:pPr>
              <w:jc w:val="right"/>
              <w:ind w:right="272"/>
              <w:spacing w:after="0"/>
              <w:rPr>
                <w:sz w:val="20"/>
                <w:szCs w:val="20"/>
                <w:color w:val="auto"/>
              </w:rPr>
            </w:pPr>
            <w:r>
              <w:rPr>
                <w:rFonts w:ascii="Arial" w:cs="Arial" w:eastAsia="Arial" w:hAnsi="Arial"/>
                <w:sz w:val="14"/>
                <w:szCs w:val="14"/>
                <w:color w:val="231F20"/>
              </w:rPr>
              <w:t>—</w:t>
            </w:r>
          </w:p>
        </w:tc>
        <w:tc>
          <w:tcPr>
            <w:tcW w:w="1380" w:type="dxa"/>
            <w:vAlign w:val="bottom"/>
            <w:tcBorders>
              <w:bottom w:val="single" w:sz="8" w:color="231F20"/>
            </w:tcBorders>
          </w:tcPr>
          <w:p>
            <w:pPr>
              <w:jc w:val="right"/>
              <w:ind w:right="312"/>
              <w:spacing w:after="0"/>
              <w:rPr>
                <w:sz w:val="20"/>
                <w:szCs w:val="20"/>
                <w:color w:val="auto"/>
              </w:rPr>
            </w:pPr>
            <w:r>
              <w:rPr>
                <w:rFonts w:ascii="Arial" w:cs="Arial" w:eastAsia="Arial" w:hAnsi="Arial"/>
                <w:sz w:val="14"/>
                <w:szCs w:val="14"/>
                <w:color w:val="231F20"/>
              </w:rPr>
              <w:t>—</w:t>
            </w:r>
          </w:p>
        </w:tc>
        <w:tc>
          <w:tcPr>
            <w:tcW w:w="1300" w:type="dxa"/>
            <w:vAlign w:val="bottom"/>
            <w:tcBorders>
              <w:bottom w:val="single" w:sz="8" w:color="231F20"/>
            </w:tcBorders>
          </w:tcPr>
          <w:p>
            <w:pPr>
              <w:jc w:val="right"/>
              <w:ind w:right="272"/>
              <w:spacing w:after="0"/>
              <w:rPr>
                <w:sz w:val="20"/>
                <w:szCs w:val="20"/>
                <w:color w:val="auto"/>
              </w:rPr>
            </w:pPr>
            <w:r>
              <w:rPr>
                <w:rFonts w:ascii="Arial" w:cs="Arial" w:eastAsia="Arial" w:hAnsi="Arial"/>
                <w:sz w:val="14"/>
                <w:szCs w:val="14"/>
                <w:color w:val="231F20"/>
              </w:rPr>
              <w:t>—</w:t>
            </w:r>
          </w:p>
        </w:tc>
        <w:tc>
          <w:tcPr>
            <w:tcW w:w="1000" w:type="dxa"/>
            <w:vAlign w:val="bottom"/>
            <w:tcBorders>
              <w:bottom w:val="single" w:sz="8" w:color="231F20"/>
            </w:tcBorders>
          </w:tcPr>
          <w:p>
            <w:pPr>
              <w:jc w:val="right"/>
              <w:spacing w:after="0"/>
              <w:rPr>
                <w:sz w:val="20"/>
                <w:szCs w:val="20"/>
                <w:color w:val="auto"/>
              </w:rPr>
            </w:pPr>
            <w:r>
              <w:rPr>
                <w:rFonts w:ascii="Arial" w:cs="Arial" w:eastAsia="Arial" w:hAnsi="Arial"/>
                <w:sz w:val="14"/>
                <w:szCs w:val="14"/>
                <w:color w:val="231F20"/>
              </w:rPr>
              <w:t>—</w:t>
            </w:r>
          </w:p>
        </w:tc>
      </w:tr>
      <w:tr>
        <w:trPr>
          <w:trHeight w:val="197"/>
        </w:trPr>
        <w:tc>
          <w:tcPr>
            <w:tcW w:w="4540" w:type="dxa"/>
            <w:vAlign w:val="bottom"/>
            <w:tcBorders>
              <w:bottom w:val="single" w:sz="8" w:color="231F20"/>
            </w:tcBorders>
          </w:tcPr>
          <w:p>
            <w:pPr>
              <w:spacing w:after="0"/>
              <w:rPr>
                <w:sz w:val="20"/>
                <w:szCs w:val="20"/>
                <w:color w:val="auto"/>
              </w:rPr>
            </w:pPr>
            <w:r>
              <w:rPr>
                <w:rFonts w:ascii="Arial" w:cs="Arial" w:eastAsia="Arial" w:hAnsi="Arial"/>
                <w:sz w:val="14"/>
                <w:szCs w:val="14"/>
                <w:b w:val="1"/>
                <w:bCs w:val="1"/>
                <w:color w:val="455986"/>
              </w:rPr>
              <w:t>Vested Retirement Benefits</w:t>
            </w:r>
          </w:p>
        </w:tc>
        <w:tc>
          <w:tcPr>
            <w:tcW w:w="1640" w:type="dxa"/>
            <w:vAlign w:val="bottom"/>
            <w:tcBorders>
              <w:bottom w:val="single" w:sz="8" w:color="231F20"/>
            </w:tcBorders>
          </w:tcPr>
          <w:p>
            <w:pPr>
              <w:spacing w:after="0"/>
              <w:rPr>
                <w:sz w:val="17"/>
                <w:szCs w:val="17"/>
                <w:color w:val="auto"/>
              </w:rPr>
            </w:pPr>
          </w:p>
        </w:tc>
        <w:tc>
          <w:tcPr>
            <w:tcW w:w="1380" w:type="dxa"/>
            <w:vAlign w:val="bottom"/>
            <w:tcBorders>
              <w:bottom w:val="single" w:sz="8" w:color="231F20"/>
            </w:tcBorders>
          </w:tcPr>
          <w:p>
            <w:pPr>
              <w:spacing w:after="0"/>
              <w:rPr>
                <w:sz w:val="17"/>
                <w:szCs w:val="17"/>
                <w:color w:val="auto"/>
              </w:rPr>
            </w:pPr>
          </w:p>
        </w:tc>
        <w:tc>
          <w:tcPr>
            <w:tcW w:w="1380" w:type="dxa"/>
            <w:vAlign w:val="bottom"/>
            <w:tcBorders>
              <w:bottom w:val="single" w:sz="8" w:color="231F20"/>
            </w:tcBorders>
          </w:tcPr>
          <w:p>
            <w:pPr>
              <w:spacing w:after="0"/>
              <w:rPr>
                <w:sz w:val="17"/>
                <w:szCs w:val="17"/>
                <w:color w:val="auto"/>
              </w:rPr>
            </w:pPr>
          </w:p>
        </w:tc>
        <w:tc>
          <w:tcPr>
            <w:tcW w:w="1300" w:type="dxa"/>
            <w:vAlign w:val="bottom"/>
            <w:tcBorders>
              <w:bottom w:val="single" w:sz="8" w:color="231F20"/>
            </w:tcBorders>
          </w:tcPr>
          <w:p>
            <w:pPr>
              <w:spacing w:after="0"/>
              <w:rPr>
                <w:sz w:val="17"/>
                <w:szCs w:val="17"/>
                <w:color w:val="auto"/>
              </w:rPr>
            </w:pPr>
          </w:p>
        </w:tc>
        <w:tc>
          <w:tcPr>
            <w:tcW w:w="1000" w:type="dxa"/>
            <w:vAlign w:val="bottom"/>
            <w:tcBorders>
              <w:bottom w:val="single" w:sz="8" w:color="231F20"/>
            </w:tcBorders>
          </w:tcPr>
          <w:p>
            <w:pPr>
              <w:spacing w:after="0"/>
              <w:rPr>
                <w:sz w:val="17"/>
                <w:szCs w:val="17"/>
                <w:color w:val="auto"/>
              </w:rPr>
            </w:pPr>
          </w:p>
        </w:tc>
      </w:tr>
      <w:tr>
        <w:trPr>
          <w:trHeight w:val="160"/>
        </w:trPr>
        <w:tc>
          <w:tcPr>
            <w:tcW w:w="4540" w:type="dxa"/>
            <w:vAlign w:val="bottom"/>
          </w:tcPr>
          <w:p>
            <w:pPr>
              <w:ind w:left="100"/>
              <w:spacing w:after="0"/>
              <w:rPr>
                <w:sz w:val="20"/>
                <w:szCs w:val="20"/>
                <w:color w:val="auto"/>
              </w:rPr>
            </w:pPr>
            <w:r>
              <w:rPr>
                <w:rFonts w:ascii="Arial" w:cs="Arial" w:eastAsia="Arial" w:hAnsi="Arial"/>
                <w:sz w:val="14"/>
                <w:szCs w:val="14"/>
                <w:color w:val="231F20"/>
              </w:rPr>
              <w:t>Incremental pension value above that included in the Pension Benefits</w:t>
            </w:r>
          </w:p>
        </w:tc>
        <w:tc>
          <w:tcPr>
            <w:tcW w:w="1640" w:type="dxa"/>
            <w:vAlign w:val="bottom"/>
          </w:tcPr>
          <w:p>
            <w:pPr>
              <w:jc w:val="right"/>
              <w:ind w:right="252"/>
              <w:spacing w:after="0"/>
              <w:rPr>
                <w:sz w:val="20"/>
                <w:szCs w:val="20"/>
                <w:color w:val="auto"/>
              </w:rPr>
            </w:pPr>
            <w:r>
              <w:rPr>
                <w:rFonts w:ascii="Arial" w:cs="Arial" w:eastAsia="Arial" w:hAnsi="Arial"/>
                <w:sz w:val="14"/>
                <w:szCs w:val="14"/>
                <w:color w:val="231F20"/>
              </w:rPr>
              <w:t>—</w:t>
            </w:r>
          </w:p>
        </w:tc>
        <w:tc>
          <w:tcPr>
            <w:tcW w:w="1380" w:type="dxa"/>
            <w:vAlign w:val="bottom"/>
          </w:tcPr>
          <w:p>
            <w:pPr>
              <w:jc w:val="right"/>
              <w:ind w:right="272"/>
              <w:spacing w:after="0"/>
              <w:rPr>
                <w:sz w:val="20"/>
                <w:szCs w:val="20"/>
                <w:color w:val="auto"/>
              </w:rPr>
            </w:pPr>
            <w:r>
              <w:rPr>
                <w:rFonts w:ascii="Arial" w:cs="Arial" w:eastAsia="Arial" w:hAnsi="Arial"/>
                <w:sz w:val="14"/>
                <w:szCs w:val="14"/>
                <w:color w:val="231F20"/>
              </w:rPr>
              <w:t>—</w:t>
            </w:r>
          </w:p>
        </w:tc>
        <w:tc>
          <w:tcPr>
            <w:tcW w:w="1380" w:type="dxa"/>
            <w:vAlign w:val="bottom"/>
          </w:tcPr>
          <w:p>
            <w:pPr>
              <w:jc w:val="right"/>
              <w:ind w:right="312"/>
              <w:spacing w:after="0"/>
              <w:rPr>
                <w:sz w:val="20"/>
                <w:szCs w:val="20"/>
                <w:color w:val="auto"/>
              </w:rPr>
            </w:pPr>
            <w:r>
              <w:rPr>
                <w:rFonts w:ascii="Arial" w:cs="Arial" w:eastAsia="Arial" w:hAnsi="Arial"/>
                <w:sz w:val="14"/>
                <w:szCs w:val="14"/>
                <w:color w:val="231F20"/>
              </w:rPr>
              <w:t>—</w:t>
            </w:r>
          </w:p>
        </w:tc>
        <w:tc>
          <w:tcPr>
            <w:tcW w:w="1300" w:type="dxa"/>
            <w:vAlign w:val="bottom"/>
          </w:tcPr>
          <w:p>
            <w:pPr>
              <w:jc w:val="right"/>
              <w:ind w:right="272"/>
              <w:spacing w:after="0"/>
              <w:rPr>
                <w:sz w:val="20"/>
                <w:szCs w:val="20"/>
                <w:color w:val="auto"/>
              </w:rPr>
            </w:pPr>
            <w:r>
              <w:rPr>
                <w:rFonts w:ascii="Arial" w:cs="Arial" w:eastAsia="Arial" w:hAnsi="Arial"/>
                <w:sz w:val="14"/>
                <w:szCs w:val="14"/>
                <w:color w:val="231F20"/>
              </w:rPr>
              <w:t>—</w:t>
            </w:r>
          </w:p>
        </w:tc>
        <w:tc>
          <w:tcPr>
            <w:tcW w:w="1000" w:type="dxa"/>
            <w:vAlign w:val="bottom"/>
          </w:tcPr>
          <w:p>
            <w:pPr>
              <w:jc w:val="right"/>
              <w:spacing w:after="0"/>
              <w:rPr>
                <w:sz w:val="20"/>
                <w:szCs w:val="20"/>
                <w:color w:val="auto"/>
              </w:rPr>
            </w:pPr>
            <w:r>
              <w:rPr>
                <w:rFonts w:ascii="Arial" w:cs="Arial" w:eastAsia="Arial" w:hAnsi="Arial"/>
                <w:sz w:val="14"/>
                <w:szCs w:val="14"/>
                <w:color w:val="231F20"/>
              </w:rPr>
              <w:t>1,049,834</w:t>
            </w:r>
          </w:p>
        </w:tc>
      </w:tr>
      <w:tr>
        <w:trPr>
          <w:trHeight w:val="187"/>
        </w:trPr>
        <w:tc>
          <w:tcPr>
            <w:tcW w:w="4540" w:type="dxa"/>
            <w:vAlign w:val="bottom"/>
            <w:tcBorders>
              <w:bottom w:val="single" w:sz="8" w:color="231F20"/>
            </w:tcBorders>
          </w:tcPr>
          <w:p>
            <w:pPr>
              <w:ind w:left="300"/>
              <w:spacing w:after="0"/>
              <w:rPr>
                <w:sz w:val="20"/>
                <w:szCs w:val="20"/>
                <w:color w:val="auto"/>
              </w:rPr>
            </w:pPr>
            <w:r>
              <w:rPr>
                <w:rFonts w:ascii="Arial" w:cs="Arial" w:eastAsia="Arial" w:hAnsi="Arial"/>
                <w:sz w:val="14"/>
                <w:szCs w:val="14"/>
                <w:color w:val="231F20"/>
              </w:rPr>
              <w:t>Table</w:t>
            </w:r>
          </w:p>
        </w:tc>
        <w:tc>
          <w:tcPr>
            <w:tcW w:w="1640" w:type="dxa"/>
            <w:vAlign w:val="bottom"/>
            <w:tcBorders>
              <w:bottom w:val="single" w:sz="8" w:color="231F20"/>
            </w:tcBorders>
          </w:tcPr>
          <w:p>
            <w:pPr>
              <w:spacing w:after="0"/>
              <w:rPr>
                <w:sz w:val="16"/>
                <w:szCs w:val="16"/>
                <w:color w:val="auto"/>
              </w:rPr>
            </w:pPr>
          </w:p>
        </w:tc>
        <w:tc>
          <w:tcPr>
            <w:tcW w:w="1380" w:type="dxa"/>
            <w:vAlign w:val="bottom"/>
            <w:tcBorders>
              <w:bottom w:val="single" w:sz="8" w:color="231F20"/>
            </w:tcBorders>
          </w:tcPr>
          <w:p>
            <w:pPr>
              <w:spacing w:after="0"/>
              <w:rPr>
                <w:sz w:val="16"/>
                <w:szCs w:val="16"/>
                <w:color w:val="auto"/>
              </w:rPr>
            </w:pPr>
          </w:p>
        </w:tc>
        <w:tc>
          <w:tcPr>
            <w:tcW w:w="1380" w:type="dxa"/>
            <w:vAlign w:val="bottom"/>
            <w:tcBorders>
              <w:bottom w:val="single" w:sz="8" w:color="231F20"/>
            </w:tcBorders>
          </w:tcPr>
          <w:p>
            <w:pPr>
              <w:spacing w:after="0"/>
              <w:rPr>
                <w:sz w:val="16"/>
                <w:szCs w:val="16"/>
                <w:color w:val="auto"/>
              </w:rPr>
            </w:pPr>
          </w:p>
        </w:tc>
        <w:tc>
          <w:tcPr>
            <w:tcW w:w="1300" w:type="dxa"/>
            <w:vAlign w:val="bottom"/>
            <w:tcBorders>
              <w:bottom w:val="single" w:sz="8" w:color="231F20"/>
            </w:tcBorders>
          </w:tcPr>
          <w:p>
            <w:pPr>
              <w:spacing w:after="0"/>
              <w:rPr>
                <w:sz w:val="16"/>
                <w:szCs w:val="16"/>
                <w:color w:val="auto"/>
              </w:rPr>
            </w:pPr>
          </w:p>
        </w:tc>
        <w:tc>
          <w:tcPr>
            <w:tcW w:w="1000" w:type="dxa"/>
            <w:vAlign w:val="bottom"/>
            <w:tcBorders>
              <w:bottom w:val="single" w:sz="8" w:color="231F20"/>
            </w:tcBorders>
          </w:tcPr>
          <w:p>
            <w:pPr>
              <w:spacing w:after="0"/>
              <w:rPr>
                <w:sz w:val="16"/>
                <w:szCs w:val="16"/>
                <w:color w:val="auto"/>
              </w:rPr>
            </w:pPr>
          </w:p>
        </w:tc>
      </w:tr>
      <w:tr>
        <w:trPr>
          <w:trHeight w:val="197"/>
        </w:trPr>
        <w:tc>
          <w:tcPr>
            <w:tcW w:w="4540" w:type="dxa"/>
            <w:vAlign w:val="bottom"/>
            <w:tcBorders>
              <w:bottom w:val="single" w:sz="8" w:color="231F20"/>
            </w:tcBorders>
          </w:tcPr>
          <w:p>
            <w:pPr>
              <w:ind w:left="100"/>
              <w:spacing w:after="0"/>
              <w:rPr>
                <w:sz w:val="20"/>
                <w:szCs w:val="20"/>
                <w:color w:val="auto"/>
              </w:rPr>
            </w:pPr>
            <w:r>
              <w:rPr>
                <w:rFonts w:ascii="Arial" w:cs="Arial" w:eastAsia="Arial" w:hAnsi="Arial"/>
                <w:sz w:val="14"/>
                <w:szCs w:val="14"/>
                <w:color w:val="231F20"/>
              </w:rPr>
              <w:t>Present value of retiree medical benefits</w:t>
            </w:r>
          </w:p>
        </w:tc>
        <w:tc>
          <w:tcPr>
            <w:tcW w:w="1640" w:type="dxa"/>
            <w:vAlign w:val="bottom"/>
            <w:tcBorders>
              <w:bottom w:val="single" w:sz="8" w:color="231F20"/>
            </w:tcBorders>
          </w:tcPr>
          <w:p>
            <w:pPr>
              <w:jc w:val="right"/>
              <w:ind w:right="252"/>
              <w:spacing w:after="0"/>
              <w:rPr>
                <w:sz w:val="20"/>
                <w:szCs w:val="20"/>
                <w:color w:val="auto"/>
              </w:rPr>
            </w:pPr>
            <w:r>
              <w:rPr>
                <w:rFonts w:ascii="Arial" w:cs="Arial" w:eastAsia="Arial" w:hAnsi="Arial"/>
                <w:sz w:val="14"/>
                <w:szCs w:val="14"/>
                <w:color w:val="231F20"/>
              </w:rPr>
              <w:t>229,783</w:t>
            </w:r>
          </w:p>
        </w:tc>
        <w:tc>
          <w:tcPr>
            <w:tcW w:w="1380" w:type="dxa"/>
            <w:vAlign w:val="bottom"/>
            <w:tcBorders>
              <w:bottom w:val="single" w:sz="8" w:color="231F20"/>
            </w:tcBorders>
          </w:tcPr>
          <w:p>
            <w:pPr>
              <w:jc w:val="right"/>
              <w:ind w:right="272"/>
              <w:spacing w:after="0"/>
              <w:rPr>
                <w:sz w:val="20"/>
                <w:szCs w:val="20"/>
                <w:color w:val="auto"/>
              </w:rPr>
            </w:pPr>
            <w:r>
              <w:rPr>
                <w:rFonts w:ascii="Arial" w:cs="Arial" w:eastAsia="Arial" w:hAnsi="Arial"/>
                <w:sz w:val="14"/>
                <w:szCs w:val="14"/>
                <w:color w:val="231F20"/>
              </w:rPr>
              <w:t>229,783</w:t>
            </w:r>
          </w:p>
        </w:tc>
        <w:tc>
          <w:tcPr>
            <w:tcW w:w="1380" w:type="dxa"/>
            <w:vAlign w:val="bottom"/>
            <w:tcBorders>
              <w:bottom w:val="single" w:sz="8" w:color="231F20"/>
            </w:tcBorders>
          </w:tcPr>
          <w:p>
            <w:pPr>
              <w:jc w:val="right"/>
              <w:ind w:right="312"/>
              <w:spacing w:after="0"/>
              <w:rPr>
                <w:sz w:val="20"/>
                <w:szCs w:val="20"/>
                <w:color w:val="auto"/>
              </w:rPr>
            </w:pPr>
            <w:r>
              <w:rPr>
                <w:rFonts w:ascii="Arial" w:cs="Arial" w:eastAsia="Arial" w:hAnsi="Arial"/>
                <w:sz w:val="14"/>
                <w:szCs w:val="14"/>
                <w:color w:val="231F20"/>
              </w:rPr>
              <w:t>229,783</w:t>
            </w:r>
          </w:p>
        </w:tc>
        <w:tc>
          <w:tcPr>
            <w:tcW w:w="1300" w:type="dxa"/>
            <w:vAlign w:val="bottom"/>
            <w:tcBorders>
              <w:bottom w:val="single" w:sz="8" w:color="231F20"/>
            </w:tcBorders>
          </w:tcPr>
          <w:p>
            <w:pPr>
              <w:jc w:val="right"/>
              <w:ind w:right="272"/>
              <w:spacing w:after="0"/>
              <w:rPr>
                <w:sz w:val="20"/>
                <w:szCs w:val="20"/>
                <w:color w:val="auto"/>
              </w:rPr>
            </w:pPr>
            <w:r>
              <w:rPr>
                <w:rFonts w:ascii="Arial" w:cs="Arial" w:eastAsia="Arial" w:hAnsi="Arial"/>
                <w:sz w:val="14"/>
                <w:szCs w:val="14"/>
                <w:color w:val="231F20"/>
              </w:rPr>
              <w:t>—</w:t>
            </w:r>
          </w:p>
        </w:tc>
        <w:tc>
          <w:tcPr>
            <w:tcW w:w="1000" w:type="dxa"/>
            <w:vAlign w:val="bottom"/>
            <w:tcBorders>
              <w:bottom w:val="single" w:sz="8" w:color="231F20"/>
            </w:tcBorders>
          </w:tcPr>
          <w:p>
            <w:pPr>
              <w:jc w:val="right"/>
              <w:spacing w:after="0"/>
              <w:rPr>
                <w:sz w:val="20"/>
                <w:szCs w:val="20"/>
                <w:color w:val="auto"/>
              </w:rPr>
            </w:pPr>
            <w:r>
              <w:rPr>
                <w:rFonts w:ascii="Arial" w:cs="Arial" w:eastAsia="Arial" w:hAnsi="Arial"/>
                <w:sz w:val="14"/>
                <w:szCs w:val="14"/>
                <w:color w:val="231F20"/>
              </w:rPr>
              <w:t>229,783</w:t>
            </w:r>
          </w:p>
        </w:tc>
      </w:tr>
      <w:tr>
        <w:trPr>
          <w:trHeight w:val="200"/>
        </w:trPr>
        <w:tc>
          <w:tcPr>
            <w:tcW w:w="4540" w:type="dxa"/>
            <w:vAlign w:val="bottom"/>
            <w:tcBorders>
              <w:bottom w:val="single" w:sz="8" w:color="231F20"/>
            </w:tcBorders>
          </w:tcPr>
          <w:p>
            <w:pPr>
              <w:spacing w:after="0"/>
              <w:rPr>
                <w:sz w:val="20"/>
                <w:szCs w:val="20"/>
                <w:color w:val="auto"/>
              </w:rPr>
            </w:pPr>
            <w:r>
              <w:rPr>
                <w:rFonts w:ascii="Arial" w:cs="Arial" w:eastAsia="Arial" w:hAnsi="Arial"/>
                <w:sz w:val="14"/>
                <w:szCs w:val="14"/>
                <w:b w:val="1"/>
                <w:bCs w:val="1"/>
                <w:color w:val="455986"/>
              </w:rPr>
              <w:t>Total</w:t>
            </w:r>
          </w:p>
        </w:tc>
        <w:tc>
          <w:tcPr>
            <w:tcW w:w="1640" w:type="dxa"/>
            <w:vAlign w:val="bottom"/>
            <w:tcBorders>
              <w:bottom w:val="single" w:sz="8" w:color="231F20"/>
            </w:tcBorders>
          </w:tcPr>
          <w:p>
            <w:pPr>
              <w:jc w:val="right"/>
              <w:ind w:right="252"/>
              <w:spacing w:after="0"/>
              <w:rPr>
                <w:sz w:val="20"/>
                <w:szCs w:val="20"/>
                <w:color w:val="auto"/>
              </w:rPr>
            </w:pPr>
            <w:r>
              <w:rPr>
                <w:rFonts w:ascii="Arial" w:cs="Arial" w:eastAsia="Arial" w:hAnsi="Arial"/>
                <w:sz w:val="14"/>
                <w:szCs w:val="14"/>
                <w:color w:val="231F20"/>
              </w:rPr>
              <w:t>15,978,662</w:t>
            </w:r>
          </w:p>
        </w:tc>
        <w:tc>
          <w:tcPr>
            <w:tcW w:w="1380" w:type="dxa"/>
            <w:vAlign w:val="bottom"/>
            <w:tcBorders>
              <w:bottom w:val="single" w:sz="8" w:color="231F20"/>
            </w:tcBorders>
          </w:tcPr>
          <w:p>
            <w:pPr>
              <w:jc w:val="right"/>
              <w:ind w:right="272"/>
              <w:spacing w:after="0"/>
              <w:rPr>
                <w:sz w:val="20"/>
                <w:szCs w:val="20"/>
                <w:color w:val="auto"/>
              </w:rPr>
            </w:pPr>
            <w:r>
              <w:rPr>
                <w:rFonts w:ascii="Arial" w:cs="Arial" w:eastAsia="Arial" w:hAnsi="Arial"/>
                <w:sz w:val="14"/>
                <w:szCs w:val="14"/>
                <w:color w:val="231F20"/>
              </w:rPr>
              <w:t>4,619,297</w:t>
            </w:r>
          </w:p>
        </w:tc>
        <w:tc>
          <w:tcPr>
            <w:tcW w:w="1380" w:type="dxa"/>
            <w:vAlign w:val="bottom"/>
            <w:tcBorders>
              <w:bottom w:val="single" w:sz="8" w:color="231F20"/>
            </w:tcBorders>
          </w:tcPr>
          <w:p>
            <w:pPr>
              <w:jc w:val="right"/>
              <w:ind w:right="312"/>
              <w:spacing w:after="0"/>
              <w:rPr>
                <w:sz w:val="20"/>
                <w:szCs w:val="20"/>
                <w:color w:val="auto"/>
              </w:rPr>
            </w:pPr>
            <w:r>
              <w:rPr>
                <w:rFonts w:ascii="Arial" w:cs="Arial" w:eastAsia="Arial" w:hAnsi="Arial"/>
                <w:sz w:val="14"/>
                <w:szCs w:val="14"/>
                <w:color w:val="231F20"/>
              </w:rPr>
              <w:t>6,179,668</w:t>
            </w:r>
          </w:p>
        </w:tc>
        <w:tc>
          <w:tcPr>
            <w:tcW w:w="1300" w:type="dxa"/>
            <w:vAlign w:val="bottom"/>
            <w:tcBorders>
              <w:bottom w:val="single" w:sz="8" w:color="231F20"/>
            </w:tcBorders>
          </w:tcPr>
          <w:p>
            <w:pPr>
              <w:jc w:val="right"/>
              <w:ind w:right="272"/>
              <w:spacing w:after="0"/>
              <w:rPr>
                <w:sz w:val="20"/>
                <w:szCs w:val="20"/>
                <w:color w:val="auto"/>
              </w:rPr>
            </w:pPr>
            <w:r>
              <w:rPr>
                <w:rFonts w:ascii="Arial" w:cs="Arial" w:eastAsia="Arial" w:hAnsi="Arial"/>
                <w:sz w:val="14"/>
                <w:szCs w:val="14"/>
                <w:color w:val="231F20"/>
              </w:rPr>
              <w:t>9,260,995</w:t>
            </w:r>
          </w:p>
        </w:tc>
        <w:tc>
          <w:tcPr>
            <w:tcW w:w="1000" w:type="dxa"/>
            <w:vAlign w:val="bottom"/>
            <w:tcBorders>
              <w:bottom w:val="single" w:sz="8" w:color="231F20"/>
            </w:tcBorders>
          </w:tcPr>
          <w:p>
            <w:pPr>
              <w:jc w:val="right"/>
              <w:spacing w:after="0"/>
              <w:rPr>
                <w:sz w:val="20"/>
                <w:szCs w:val="20"/>
                <w:color w:val="auto"/>
              </w:rPr>
            </w:pPr>
            <w:r>
              <w:rPr>
                <w:rFonts w:ascii="Arial" w:cs="Arial" w:eastAsia="Arial" w:hAnsi="Arial"/>
                <w:sz w:val="14"/>
                <w:szCs w:val="14"/>
                <w:color w:val="231F20"/>
              </w:rPr>
              <w:t>10,540,612</w:t>
            </w:r>
          </w:p>
        </w:tc>
      </w:tr>
      <w:tr>
        <w:trPr>
          <w:trHeight w:val="343"/>
        </w:trPr>
        <w:tc>
          <w:tcPr>
            <w:tcW w:w="4540" w:type="dxa"/>
            <w:vAlign w:val="bottom"/>
          </w:tcPr>
          <w:p>
            <w:pPr>
              <w:spacing w:after="0"/>
              <w:rPr>
                <w:sz w:val="20"/>
                <w:szCs w:val="20"/>
                <w:color w:val="auto"/>
              </w:rPr>
            </w:pPr>
            <w:r>
              <w:rPr>
                <w:rFonts w:ascii="Arial" w:cs="Arial" w:eastAsia="Arial" w:hAnsi="Arial"/>
                <w:sz w:val="15"/>
                <w:szCs w:val="15"/>
                <w:b w:val="1"/>
                <w:bCs w:val="1"/>
                <w:color w:val="231F20"/>
              </w:rPr>
              <w:t>Daniel J. Schuller</w:t>
            </w:r>
          </w:p>
        </w:tc>
        <w:tc>
          <w:tcPr>
            <w:tcW w:w="16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303"/>
        </w:trPr>
        <w:tc>
          <w:tcPr>
            <w:tcW w:w="4540" w:type="dxa"/>
            <w:vAlign w:val="bottom"/>
          </w:tcPr>
          <w:p>
            <w:pPr>
              <w:spacing w:after="0"/>
              <w:rPr>
                <w:sz w:val="24"/>
                <w:szCs w:val="24"/>
                <w:color w:val="auto"/>
              </w:rPr>
            </w:pPr>
          </w:p>
        </w:tc>
        <w:tc>
          <w:tcPr>
            <w:tcW w:w="1640" w:type="dxa"/>
            <w:vAlign w:val="bottom"/>
          </w:tcPr>
          <w:p>
            <w:pPr>
              <w:jc w:val="right"/>
              <w:ind w:right="252"/>
              <w:spacing w:after="0"/>
              <w:rPr>
                <w:sz w:val="20"/>
                <w:szCs w:val="20"/>
                <w:color w:val="auto"/>
              </w:rPr>
            </w:pPr>
            <w:r>
              <w:rPr>
                <w:rFonts w:ascii="Arial" w:cs="Arial" w:eastAsia="Arial" w:hAnsi="Arial"/>
                <w:sz w:val="14"/>
                <w:szCs w:val="14"/>
                <w:color w:val="455986"/>
              </w:rPr>
              <w:t>Change-in-Control</w:t>
            </w:r>
          </w:p>
        </w:tc>
        <w:tc>
          <w:tcPr>
            <w:tcW w:w="1380" w:type="dxa"/>
            <w:vAlign w:val="bottom"/>
          </w:tcPr>
          <w:p>
            <w:pPr>
              <w:jc w:val="right"/>
              <w:ind w:right="272"/>
              <w:spacing w:after="0"/>
              <w:rPr>
                <w:sz w:val="20"/>
                <w:szCs w:val="20"/>
                <w:color w:val="auto"/>
              </w:rPr>
            </w:pPr>
            <w:r>
              <w:rPr>
                <w:rFonts w:ascii="Arial" w:cs="Arial" w:eastAsia="Arial" w:hAnsi="Arial"/>
                <w:sz w:val="14"/>
                <w:szCs w:val="14"/>
                <w:color w:val="455986"/>
              </w:rPr>
              <w:t>Termination</w:t>
            </w:r>
          </w:p>
        </w:tc>
        <w:tc>
          <w:tcPr>
            <w:tcW w:w="1380" w:type="dxa"/>
            <w:vAlign w:val="bottom"/>
          </w:tcPr>
          <w:p>
            <w:pPr>
              <w:jc w:val="right"/>
              <w:ind w:right="312"/>
              <w:spacing w:after="0"/>
              <w:rPr>
                <w:sz w:val="20"/>
                <w:szCs w:val="20"/>
                <w:color w:val="auto"/>
              </w:rPr>
            </w:pPr>
            <w:r>
              <w:rPr>
                <w:rFonts w:ascii="Arial" w:cs="Arial" w:eastAsia="Arial" w:hAnsi="Arial"/>
                <w:sz w:val="14"/>
                <w:szCs w:val="14"/>
                <w:color w:val="455986"/>
              </w:rPr>
              <w:t>Retirement</w:t>
            </w:r>
          </w:p>
        </w:tc>
        <w:tc>
          <w:tcPr>
            <w:tcW w:w="1300" w:type="dxa"/>
            <w:vAlign w:val="bottom"/>
          </w:tcPr>
          <w:p>
            <w:pPr>
              <w:jc w:val="right"/>
              <w:ind w:right="272"/>
              <w:spacing w:after="0"/>
              <w:rPr>
                <w:sz w:val="20"/>
                <w:szCs w:val="20"/>
                <w:color w:val="auto"/>
              </w:rPr>
            </w:pPr>
            <w:r>
              <w:rPr>
                <w:rFonts w:ascii="Arial" w:cs="Arial" w:eastAsia="Arial" w:hAnsi="Arial"/>
                <w:sz w:val="14"/>
                <w:szCs w:val="14"/>
                <w:color w:val="455986"/>
              </w:rPr>
              <w:t>Death</w:t>
            </w:r>
          </w:p>
        </w:tc>
        <w:tc>
          <w:tcPr>
            <w:tcW w:w="1000" w:type="dxa"/>
            <w:vAlign w:val="bottom"/>
          </w:tcPr>
          <w:p>
            <w:pPr>
              <w:jc w:val="right"/>
              <w:spacing w:after="0"/>
              <w:rPr>
                <w:sz w:val="20"/>
                <w:szCs w:val="20"/>
                <w:color w:val="auto"/>
              </w:rPr>
            </w:pPr>
            <w:r>
              <w:rPr>
                <w:rFonts w:ascii="Arial" w:cs="Arial" w:eastAsia="Arial" w:hAnsi="Arial"/>
                <w:sz w:val="14"/>
                <w:szCs w:val="14"/>
                <w:color w:val="455986"/>
              </w:rPr>
              <w:t>Disability</w:t>
            </w:r>
          </w:p>
        </w:tc>
      </w:tr>
      <w:tr>
        <w:trPr>
          <w:trHeight w:val="187"/>
        </w:trPr>
        <w:tc>
          <w:tcPr>
            <w:tcW w:w="4540" w:type="dxa"/>
            <w:vAlign w:val="bottom"/>
            <w:tcBorders>
              <w:bottom w:val="single" w:sz="8" w:color="4395D4"/>
            </w:tcBorders>
          </w:tcPr>
          <w:p>
            <w:pPr>
              <w:spacing w:after="0"/>
              <w:rPr>
                <w:sz w:val="20"/>
                <w:szCs w:val="20"/>
                <w:color w:val="auto"/>
              </w:rPr>
            </w:pPr>
            <w:r>
              <w:rPr>
                <w:rFonts w:ascii="Arial" w:cs="Arial" w:eastAsia="Arial" w:hAnsi="Arial"/>
                <w:sz w:val="14"/>
                <w:szCs w:val="14"/>
                <w:color w:val="455986"/>
              </w:rPr>
              <w:t>Payments and Benefits Upon Separation</w:t>
            </w:r>
          </w:p>
        </w:tc>
        <w:tc>
          <w:tcPr>
            <w:tcW w:w="1640" w:type="dxa"/>
            <w:vAlign w:val="bottom"/>
            <w:tcBorders>
              <w:bottom w:val="single" w:sz="8" w:color="4395D4"/>
            </w:tcBorders>
          </w:tcPr>
          <w:p>
            <w:pPr>
              <w:jc w:val="right"/>
              <w:ind w:right="252"/>
              <w:spacing w:after="0"/>
              <w:rPr>
                <w:sz w:val="20"/>
                <w:szCs w:val="20"/>
                <w:color w:val="auto"/>
              </w:rPr>
            </w:pPr>
            <w:r>
              <w:rPr>
                <w:rFonts w:ascii="Arial" w:cs="Arial" w:eastAsia="Arial" w:hAnsi="Arial"/>
                <w:sz w:val="14"/>
                <w:szCs w:val="14"/>
                <w:color w:val="455986"/>
              </w:rPr>
              <w:t>$</w:t>
            </w:r>
          </w:p>
        </w:tc>
        <w:tc>
          <w:tcPr>
            <w:tcW w:w="1380" w:type="dxa"/>
            <w:vAlign w:val="bottom"/>
            <w:tcBorders>
              <w:bottom w:val="single" w:sz="8" w:color="4395D4"/>
            </w:tcBorders>
          </w:tcPr>
          <w:p>
            <w:pPr>
              <w:jc w:val="right"/>
              <w:ind w:right="272"/>
              <w:spacing w:after="0"/>
              <w:rPr>
                <w:sz w:val="20"/>
                <w:szCs w:val="20"/>
                <w:color w:val="auto"/>
              </w:rPr>
            </w:pPr>
            <w:r>
              <w:rPr>
                <w:rFonts w:ascii="Arial" w:cs="Arial" w:eastAsia="Arial" w:hAnsi="Arial"/>
                <w:sz w:val="14"/>
                <w:szCs w:val="14"/>
                <w:color w:val="455986"/>
              </w:rPr>
              <w:t>$</w:t>
            </w:r>
          </w:p>
        </w:tc>
        <w:tc>
          <w:tcPr>
            <w:tcW w:w="1380" w:type="dxa"/>
            <w:vAlign w:val="bottom"/>
            <w:tcBorders>
              <w:bottom w:val="single" w:sz="8" w:color="4395D4"/>
            </w:tcBorders>
          </w:tcPr>
          <w:p>
            <w:pPr>
              <w:jc w:val="right"/>
              <w:ind w:right="312"/>
              <w:spacing w:after="0"/>
              <w:rPr>
                <w:sz w:val="20"/>
                <w:szCs w:val="20"/>
                <w:color w:val="auto"/>
              </w:rPr>
            </w:pPr>
            <w:r>
              <w:rPr>
                <w:rFonts w:ascii="Arial" w:cs="Arial" w:eastAsia="Arial" w:hAnsi="Arial"/>
                <w:sz w:val="14"/>
                <w:szCs w:val="14"/>
                <w:color w:val="455986"/>
              </w:rPr>
              <w:t>$</w:t>
            </w:r>
          </w:p>
        </w:tc>
        <w:tc>
          <w:tcPr>
            <w:tcW w:w="1300" w:type="dxa"/>
            <w:vAlign w:val="bottom"/>
            <w:tcBorders>
              <w:bottom w:val="single" w:sz="8" w:color="4395D4"/>
            </w:tcBorders>
          </w:tcPr>
          <w:p>
            <w:pPr>
              <w:jc w:val="right"/>
              <w:ind w:right="272"/>
              <w:spacing w:after="0"/>
              <w:rPr>
                <w:sz w:val="20"/>
                <w:szCs w:val="20"/>
                <w:color w:val="auto"/>
              </w:rPr>
            </w:pPr>
            <w:r>
              <w:rPr>
                <w:rFonts w:ascii="Arial" w:cs="Arial" w:eastAsia="Arial" w:hAnsi="Arial"/>
                <w:sz w:val="14"/>
                <w:szCs w:val="14"/>
                <w:color w:val="455986"/>
              </w:rPr>
              <w:t>$</w:t>
            </w:r>
          </w:p>
        </w:tc>
        <w:tc>
          <w:tcPr>
            <w:tcW w:w="1000" w:type="dxa"/>
            <w:vAlign w:val="bottom"/>
            <w:tcBorders>
              <w:bottom w:val="single" w:sz="8" w:color="4395D4"/>
            </w:tcBorders>
          </w:tcPr>
          <w:p>
            <w:pPr>
              <w:jc w:val="right"/>
              <w:spacing w:after="0"/>
              <w:rPr>
                <w:sz w:val="20"/>
                <w:szCs w:val="20"/>
                <w:color w:val="auto"/>
              </w:rPr>
            </w:pPr>
            <w:r>
              <w:rPr>
                <w:rFonts w:ascii="Arial" w:cs="Arial" w:eastAsia="Arial" w:hAnsi="Arial"/>
                <w:sz w:val="14"/>
                <w:szCs w:val="14"/>
                <w:color w:val="455986"/>
              </w:rPr>
              <w:t>$</w:t>
            </w:r>
          </w:p>
        </w:tc>
      </w:tr>
      <w:tr>
        <w:trPr>
          <w:trHeight w:val="200"/>
        </w:trPr>
        <w:tc>
          <w:tcPr>
            <w:tcW w:w="4540" w:type="dxa"/>
            <w:vAlign w:val="bottom"/>
            <w:tcBorders>
              <w:bottom w:val="single" w:sz="8" w:color="231F20"/>
            </w:tcBorders>
          </w:tcPr>
          <w:p>
            <w:pPr>
              <w:spacing w:after="0"/>
              <w:rPr>
                <w:sz w:val="20"/>
                <w:szCs w:val="20"/>
                <w:color w:val="auto"/>
              </w:rPr>
            </w:pPr>
            <w:r>
              <w:rPr>
                <w:rFonts w:ascii="Arial" w:cs="Arial" w:eastAsia="Arial" w:hAnsi="Arial"/>
                <w:sz w:val="14"/>
                <w:szCs w:val="14"/>
                <w:b w:val="1"/>
                <w:bCs w:val="1"/>
                <w:color w:val="455986"/>
              </w:rPr>
              <w:t>Triggered Payments and Benefits</w:t>
            </w:r>
          </w:p>
        </w:tc>
        <w:tc>
          <w:tcPr>
            <w:tcW w:w="1640" w:type="dxa"/>
            <w:vAlign w:val="bottom"/>
            <w:tcBorders>
              <w:bottom w:val="single" w:sz="8" w:color="231F20"/>
            </w:tcBorders>
          </w:tcPr>
          <w:p>
            <w:pPr>
              <w:spacing w:after="0"/>
              <w:rPr>
                <w:sz w:val="17"/>
                <w:szCs w:val="17"/>
                <w:color w:val="auto"/>
              </w:rPr>
            </w:pPr>
          </w:p>
        </w:tc>
        <w:tc>
          <w:tcPr>
            <w:tcW w:w="1380" w:type="dxa"/>
            <w:vAlign w:val="bottom"/>
            <w:tcBorders>
              <w:bottom w:val="single" w:sz="8" w:color="231F20"/>
            </w:tcBorders>
          </w:tcPr>
          <w:p>
            <w:pPr>
              <w:spacing w:after="0"/>
              <w:rPr>
                <w:sz w:val="17"/>
                <w:szCs w:val="17"/>
                <w:color w:val="auto"/>
              </w:rPr>
            </w:pPr>
          </w:p>
        </w:tc>
        <w:tc>
          <w:tcPr>
            <w:tcW w:w="1380" w:type="dxa"/>
            <w:vAlign w:val="bottom"/>
            <w:tcBorders>
              <w:bottom w:val="single" w:sz="8" w:color="231F20"/>
            </w:tcBorders>
          </w:tcPr>
          <w:p>
            <w:pPr>
              <w:spacing w:after="0"/>
              <w:rPr>
                <w:sz w:val="17"/>
                <w:szCs w:val="17"/>
                <w:color w:val="auto"/>
              </w:rPr>
            </w:pPr>
          </w:p>
        </w:tc>
        <w:tc>
          <w:tcPr>
            <w:tcW w:w="1300" w:type="dxa"/>
            <w:vAlign w:val="bottom"/>
            <w:tcBorders>
              <w:bottom w:val="single" w:sz="8" w:color="231F20"/>
            </w:tcBorders>
          </w:tcPr>
          <w:p>
            <w:pPr>
              <w:spacing w:after="0"/>
              <w:rPr>
                <w:sz w:val="17"/>
                <w:szCs w:val="17"/>
                <w:color w:val="auto"/>
              </w:rPr>
            </w:pPr>
          </w:p>
        </w:tc>
        <w:tc>
          <w:tcPr>
            <w:tcW w:w="1000" w:type="dxa"/>
            <w:vAlign w:val="bottom"/>
            <w:tcBorders>
              <w:bottom w:val="single" w:sz="8" w:color="231F20"/>
            </w:tcBorders>
          </w:tcPr>
          <w:p>
            <w:pPr>
              <w:spacing w:after="0"/>
              <w:rPr>
                <w:sz w:val="17"/>
                <w:szCs w:val="17"/>
                <w:color w:val="auto"/>
              </w:rPr>
            </w:pPr>
          </w:p>
        </w:tc>
      </w:tr>
      <w:tr>
        <w:trPr>
          <w:trHeight w:val="194"/>
        </w:trPr>
        <w:tc>
          <w:tcPr>
            <w:tcW w:w="4540" w:type="dxa"/>
            <w:vAlign w:val="bottom"/>
            <w:tcBorders>
              <w:bottom w:val="single" w:sz="8" w:color="231F20"/>
            </w:tcBorders>
          </w:tcPr>
          <w:p>
            <w:pPr>
              <w:ind w:left="100"/>
              <w:spacing w:after="0"/>
              <w:rPr>
                <w:sz w:val="20"/>
                <w:szCs w:val="20"/>
                <w:color w:val="auto"/>
              </w:rPr>
            </w:pPr>
            <w:r>
              <w:rPr>
                <w:rFonts w:ascii="Arial" w:cs="Arial" w:eastAsia="Arial" w:hAnsi="Arial"/>
                <w:sz w:val="14"/>
                <w:szCs w:val="14"/>
                <w:color w:val="231F20"/>
              </w:rPr>
              <w:t>Severance Payment</w:t>
            </w:r>
          </w:p>
        </w:tc>
        <w:tc>
          <w:tcPr>
            <w:tcW w:w="1640" w:type="dxa"/>
            <w:vAlign w:val="bottom"/>
            <w:tcBorders>
              <w:bottom w:val="single" w:sz="8" w:color="231F20"/>
            </w:tcBorders>
          </w:tcPr>
          <w:p>
            <w:pPr>
              <w:jc w:val="right"/>
              <w:ind w:right="252"/>
              <w:spacing w:after="0"/>
              <w:rPr>
                <w:sz w:val="20"/>
                <w:szCs w:val="20"/>
                <w:color w:val="auto"/>
              </w:rPr>
            </w:pPr>
            <w:r>
              <w:rPr>
                <w:rFonts w:ascii="Arial" w:cs="Arial" w:eastAsia="Arial" w:hAnsi="Arial"/>
                <w:sz w:val="14"/>
                <w:szCs w:val="14"/>
                <w:color w:val="231F20"/>
              </w:rPr>
              <w:t>1,708,226</w:t>
            </w:r>
          </w:p>
        </w:tc>
        <w:tc>
          <w:tcPr>
            <w:tcW w:w="1380" w:type="dxa"/>
            <w:vAlign w:val="bottom"/>
            <w:tcBorders>
              <w:bottom w:val="single" w:sz="8" w:color="231F20"/>
            </w:tcBorders>
          </w:tcPr>
          <w:p>
            <w:pPr>
              <w:jc w:val="right"/>
              <w:ind w:right="272"/>
              <w:spacing w:after="0"/>
              <w:rPr>
                <w:sz w:val="20"/>
                <w:szCs w:val="20"/>
                <w:color w:val="auto"/>
              </w:rPr>
            </w:pPr>
            <w:r>
              <w:rPr>
                <w:rFonts w:ascii="Arial" w:cs="Arial" w:eastAsia="Arial" w:hAnsi="Arial"/>
                <w:sz w:val="14"/>
                <w:szCs w:val="14"/>
                <w:color w:val="231F20"/>
              </w:rPr>
              <w:t>735,095</w:t>
            </w:r>
          </w:p>
        </w:tc>
        <w:tc>
          <w:tcPr>
            <w:tcW w:w="1380" w:type="dxa"/>
            <w:vAlign w:val="bottom"/>
            <w:tcBorders>
              <w:bottom w:val="single" w:sz="8" w:color="231F20"/>
            </w:tcBorders>
          </w:tcPr>
          <w:p>
            <w:pPr>
              <w:jc w:val="right"/>
              <w:ind w:right="312"/>
              <w:spacing w:after="0"/>
              <w:rPr>
                <w:sz w:val="20"/>
                <w:szCs w:val="20"/>
                <w:color w:val="auto"/>
              </w:rPr>
            </w:pPr>
            <w:r>
              <w:rPr>
                <w:rFonts w:ascii="Arial" w:cs="Arial" w:eastAsia="Arial" w:hAnsi="Arial"/>
                <w:sz w:val="14"/>
                <w:szCs w:val="14"/>
                <w:color w:val="231F20"/>
              </w:rPr>
              <w:t>—</w:t>
            </w:r>
          </w:p>
        </w:tc>
        <w:tc>
          <w:tcPr>
            <w:tcW w:w="1300" w:type="dxa"/>
            <w:vAlign w:val="bottom"/>
            <w:tcBorders>
              <w:bottom w:val="single" w:sz="8" w:color="231F20"/>
            </w:tcBorders>
          </w:tcPr>
          <w:p>
            <w:pPr>
              <w:jc w:val="right"/>
              <w:ind w:right="272"/>
              <w:spacing w:after="0"/>
              <w:rPr>
                <w:sz w:val="20"/>
                <w:szCs w:val="20"/>
                <w:color w:val="auto"/>
              </w:rPr>
            </w:pPr>
            <w:r>
              <w:rPr>
                <w:rFonts w:ascii="Arial" w:cs="Arial" w:eastAsia="Arial" w:hAnsi="Arial"/>
                <w:sz w:val="14"/>
                <w:szCs w:val="14"/>
                <w:color w:val="231F20"/>
              </w:rPr>
              <w:t>—</w:t>
            </w:r>
          </w:p>
        </w:tc>
        <w:tc>
          <w:tcPr>
            <w:tcW w:w="1000" w:type="dxa"/>
            <w:vAlign w:val="bottom"/>
            <w:tcBorders>
              <w:bottom w:val="single" w:sz="8" w:color="231F20"/>
            </w:tcBorders>
          </w:tcPr>
          <w:p>
            <w:pPr>
              <w:jc w:val="right"/>
              <w:spacing w:after="0"/>
              <w:rPr>
                <w:sz w:val="20"/>
                <w:szCs w:val="20"/>
                <w:color w:val="auto"/>
              </w:rPr>
            </w:pPr>
            <w:r>
              <w:rPr>
                <w:rFonts w:ascii="Arial" w:cs="Arial" w:eastAsia="Arial" w:hAnsi="Arial"/>
                <w:sz w:val="14"/>
                <w:szCs w:val="14"/>
                <w:color w:val="231F20"/>
              </w:rPr>
              <w:t>—</w:t>
            </w:r>
          </w:p>
        </w:tc>
      </w:tr>
      <w:tr>
        <w:trPr>
          <w:trHeight w:val="197"/>
        </w:trPr>
        <w:tc>
          <w:tcPr>
            <w:tcW w:w="4540" w:type="dxa"/>
            <w:vAlign w:val="bottom"/>
            <w:tcBorders>
              <w:bottom w:val="single" w:sz="8" w:color="231F20"/>
            </w:tcBorders>
          </w:tcPr>
          <w:p>
            <w:pPr>
              <w:ind w:left="100"/>
              <w:spacing w:after="0"/>
              <w:rPr>
                <w:sz w:val="20"/>
                <w:szCs w:val="20"/>
                <w:color w:val="auto"/>
              </w:rPr>
            </w:pPr>
            <w:r>
              <w:rPr>
                <w:rFonts w:ascii="Arial" w:cs="Arial" w:eastAsia="Arial" w:hAnsi="Arial"/>
                <w:sz w:val="14"/>
                <w:szCs w:val="14"/>
                <w:color w:val="231F20"/>
              </w:rPr>
              <w:t>Prorated current year bonus</w:t>
            </w:r>
          </w:p>
        </w:tc>
        <w:tc>
          <w:tcPr>
            <w:tcW w:w="1640" w:type="dxa"/>
            <w:vAlign w:val="bottom"/>
            <w:tcBorders>
              <w:bottom w:val="single" w:sz="8" w:color="231F20"/>
            </w:tcBorders>
          </w:tcPr>
          <w:p>
            <w:pPr>
              <w:jc w:val="right"/>
              <w:ind w:right="252"/>
              <w:spacing w:after="0"/>
              <w:rPr>
                <w:sz w:val="20"/>
                <w:szCs w:val="20"/>
                <w:color w:val="auto"/>
              </w:rPr>
            </w:pPr>
            <w:r>
              <w:rPr>
                <w:rFonts w:ascii="Arial" w:cs="Arial" w:eastAsia="Arial" w:hAnsi="Arial"/>
                <w:sz w:val="14"/>
                <w:szCs w:val="14"/>
                <w:color w:val="231F20"/>
              </w:rPr>
              <w:t>289,583</w:t>
            </w:r>
          </w:p>
        </w:tc>
        <w:tc>
          <w:tcPr>
            <w:tcW w:w="1380" w:type="dxa"/>
            <w:vAlign w:val="bottom"/>
            <w:tcBorders>
              <w:bottom w:val="single" w:sz="8" w:color="231F20"/>
            </w:tcBorders>
          </w:tcPr>
          <w:p>
            <w:pPr>
              <w:jc w:val="right"/>
              <w:ind w:right="272"/>
              <w:spacing w:after="0"/>
              <w:rPr>
                <w:sz w:val="20"/>
                <w:szCs w:val="20"/>
                <w:color w:val="auto"/>
              </w:rPr>
            </w:pPr>
            <w:r>
              <w:rPr>
                <w:rFonts w:ascii="Arial" w:cs="Arial" w:eastAsia="Arial" w:hAnsi="Arial"/>
                <w:sz w:val="14"/>
                <w:szCs w:val="14"/>
                <w:color w:val="231F20"/>
              </w:rPr>
              <w:t>289,583</w:t>
            </w:r>
          </w:p>
        </w:tc>
        <w:tc>
          <w:tcPr>
            <w:tcW w:w="1380" w:type="dxa"/>
            <w:vAlign w:val="bottom"/>
            <w:tcBorders>
              <w:bottom w:val="single" w:sz="8" w:color="231F20"/>
            </w:tcBorders>
          </w:tcPr>
          <w:p>
            <w:pPr>
              <w:jc w:val="right"/>
              <w:ind w:right="312"/>
              <w:spacing w:after="0"/>
              <w:rPr>
                <w:sz w:val="20"/>
                <w:szCs w:val="20"/>
                <w:color w:val="auto"/>
              </w:rPr>
            </w:pPr>
            <w:r>
              <w:rPr>
                <w:rFonts w:ascii="Arial" w:cs="Arial" w:eastAsia="Arial" w:hAnsi="Arial"/>
                <w:sz w:val="14"/>
                <w:szCs w:val="14"/>
                <w:color w:val="231F20"/>
              </w:rPr>
              <w:t>289,583</w:t>
            </w:r>
          </w:p>
        </w:tc>
        <w:tc>
          <w:tcPr>
            <w:tcW w:w="1300" w:type="dxa"/>
            <w:vAlign w:val="bottom"/>
            <w:tcBorders>
              <w:bottom w:val="single" w:sz="8" w:color="231F20"/>
            </w:tcBorders>
          </w:tcPr>
          <w:p>
            <w:pPr>
              <w:jc w:val="right"/>
              <w:ind w:right="272"/>
              <w:spacing w:after="0"/>
              <w:rPr>
                <w:sz w:val="20"/>
                <w:szCs w:val="20"/>
                <w:color w:val="auto"/>
              </w:rPr>
            </w:pPr>
            <w:r>
              <w:rPr>
                <w:rFonts w:ascii="Arial" w:cs="Arial" w:eastAsia="Arial" w:hAnsi="Arial"/>
                <w:sz w:val="14"/>
                <w:szCs w:val="14"/>
                <w:color w:val="231F20"/>
              </w:rPr>
              <w:t>289,593</w:t>
            </w:r>
          </w:p>
        </w:tc>
        <w:tc>
          <w:tcPr>
            <w:tcW w:w="1000" w:type="dxa"/>
            <w:vAlign w:val="bottom"/>
            <w:tcBorders>
              <w:bottom w:val="single" w:sz="8" w:color="231F20"/>
            </w:tcBorders>
          </w:tcPr>
          <w:p>
            <w:pPr>
              <w:jc w:val="right"/>
              <w:spacing w:after="0"/>
              <w:rPr>
                <w:sz w:val="20"/>
                <w:szCs w:val="20"/>
                <w:color w:val="auto"/>
              </w:rPr>
            </w:pPr>
            <w:r>
              <w:rPr>
                <w:rFonts w:ascii="Arial" w:cs="Arial" w:eastAsia="Arial" w:hAnsi="Arial"/>
                <w:sz w:val="14"/>
                <w:szCs w:val="14"/>
                <w:color w:val="231F20"/>
              </w:rPr>
              <w:t>289,583</w:t>
            </w:r>
          </w:p>
        </w:tc>
      </w:tr>
      <w:tr>
        <w:trPr>
          <w:trHeight w:val="197"/>
        </w:trPr>
        <w:tc>
          <w:tcPr>
            <w:tcW w:w="4540" w:type="dxa"/>
            <w:vAlign w:val="bottom"/>
            <w:tcBorders>
              <w:bottom w:val="single" w:sz="8" w:color="231F20"/>
            </w:tcBorders>
          </w:tcPr>
          <w:p>
            <w:pPr>
              <w:ind w:left="100"/>
              <w:spacing w:after="0"/>
              <w:rPr>
                <w:sz w:val="20"/>
                <w:szCs w:val="20"/>
                <w:color w:val="auto"/>
              </w:rPr>
            </w:pPr>
            <w:r>
              <w:rPr>
                <w:rFonts w:ascii="Arial" w:cs="Arial" w:eastAsia="Arial" w:hAnsi="Arial"/>
                <w:sz w:val="14"/>
                <w:szCs w:val="14"/>
                <w:color w:val="231F20"/>
              </w:rPr>
              <w:t>Payment of accrued dividend equivalents</w:t>
            </w:r>
          </w:p>
        </w:tc>
        <w:tc>
          <w:tcPr>
            <w:tcW w:w="1640" w:type="dxa"/>
            <w:vAlign w:val="bottom"/>
            <w:tcBorders>
              <w:bottom w:val="single" w:sz="8" w:color="231F20"/>
            </w:tcBorders>
          </w:tcPr>
          <w:p>
            <w:pPr>
              <w:jc w:val="right"/>
              <w:ind w:right="252"/>
              <w:spacing w:after="0"/>
              <w:rPr>
                <w:sz w:val="20"/>
                <w:szCs w:val="20"/>
                <w:color w:val="auto"/>
              </w:rPr>
            </w:pPr>
            <w:r>
              <w:rPr>
                <w:rFonts w:ascii="Arial" w:cs="Arial" w:eastAsia="Arial" w:hAnsi="Arial"/>
                <w:sz w:val="14"/>
                <w:szCs w:val="14"/>
                <w:color w:val="231F20"/>
              </w:rPr>
              <w:t>47,592</w:t>
            </w:r>
          </w:p>
        </w:tc>
        <w:tc>
          <w:tcPr>
            <w:tcW w:w="1380" w:type="dxa"/>
            <w:vAlign w:val="bottom"/>
            <w:tcBorders>
              <w:bottom w:val="single" w:sz="8" w:color="231F20"/>
            </w:tcBorders>
          </w:tcPr>
          <w:p>
            <w:pPr>
              <w:jc w:val="right"/>
              <w:ind w:right="272"/>
              <w:spacing w:after="0"/>
              <w:rPr>
                <w:sz w:val="20"/>
                <w:szCs w:val="20"/>
                <w:color w:val="auto"/>
              </w:rPr>
            </w:pPr>
            <w:r>
              <w:rPr>
                <w:rFonts w:ascii="Arial" w:cs="Arial" w:eastAsia="Arial" w:hAnsi="Arial"/>
                <w:sz w:val="14"/>
                <w:szCs w:val="14"/>
                <w:color w:val="231F20"/>
              </w:rPr>
              <w:t>—</w:t>
            </w:r>
          </w:p>
        </w:tc>
        <w:tc>
          <w:tcPr>
            <w:tcW w:w="1380" w:type="dxa"/>
            <w:vAlign w:val="bottom"/>
            <w:tcBorders>
              <w:bottom w:val="single" w:sz="8" w:color="231F20"/>
            </w:tcBorders>
          </w:tcPr>
          <w:p>
            <w:pPr>
              <w:jc w:val="right"/>
              <w:ind w:right="312"/>
              <w:spacing w:after="0"/>
              <w:rPr>
                <w:sz w:val="20"/>
                <w:szCs w:val="20"/>
                <w:color w:val="auto"/>
              </w:rPr>
            </w:pPr>
            <w:r>
              <w:rPr>
                <w:rFonts w:ascii="Arial" w:cs="Arial" w:eastAsia="Arial" w:hAnsi="Arial"/>
                <w:sz w:val="14"/>
                <w:szCs w:val="14"/>
                <w:color w:val="231F20"/>
              </w:rPr>
              <w:t>34,479</w:t>
            </w:r>
          </w:p>
        </w:tc>
        <w:tc>
          <w:tcPr>
            <w:tcW w:w="1300" w:type="dxa"/>
            <w:vAlign w:val="bottom"/>
            <w:tcBorders>
              <w:bottom w:val="single" w:sz="8" w:color="231F20"/>
            </w:tcBorders>
          </w:tcPr>
          <w:p>
            <w:pPr>
              <w:jc w:val="right"/>
              <w:ind w:right="272"/>
              <w:spacing w:after="0"/>
              <w:rPr>
                <w:sz w:val="20"/>
                <w:szCs w:val="20"/>
                <w:color w:val="auto"/>
              </w:rPr>
            </w:pPr>
            <w:r>
              <w:rPr>
                <w:rFonts w:ascii="Arial" w:cs="Arial" w:eastAsia="Arial" w:hAnsi="Arial"/>
                <w:sz w:val="14"/>
                <w:szCs w:val="14"/>
                <w:color w:val="231F20"/>
              </w:rPr>
              <w:t>47,592</w:t>
            </w:r>
          </w:p>
        </w:tc>
        <w:tc>
          <w:tcPr>
            <w:tcW w:w="1000" w:type="dxa"/>
            <w:vAlign w:val="bottom"/>
            <w:tcBorders>
              <w:bottom w:val="single" w:sz="8" w:color="231F20"/>
            </w:tcBorders>
          </w:tcPr>
          <w:p>
            <w:pPr>
              <w:jc w:val="right"/>
              <w:spacing w:after="0"/>
              <w:rPr>
                <w:sz w:val="20"/>
                <w:szCs w:val="20"/>
                <w:color w:val="auto"/>
              </w:rPr>
            </w:pPr>
            <w:r>
              <w:rPr>
                <w:rFonts w:ascii="Arial" w:cs="Arial" w:eastAsia="Arial" w:hAnsi="Arial"/>
                <w:sz w:val="14"/>
                <w:szCs w:val="14"/>
                <w:color w:val="231F20"/>
              </w:rPr>
              <w:t>47,592</w:t>
            </w:r>
          </w:p>
        </w:tc>
      </w:tr>
      <w:tr>
        <w:trPr>
          <w:trHeight w:val="197"/>
        </w:trPr>
        <w:tc>
          <w:tcPr>
            <w:tcW w:w="4540" w:type="dxa"/>
            <w:vAlign w:val="bottom"/>
            <w:tcBorders>
              <w:bottom w:val="single" w:sz="8" w:color="231F20"/>
            </w:tcBorders>
          </w:tcPr>
          <w:p>
            <w:pPr>
              <w:ind w:left="100"/>
              <w:spacing w:after="0"/>
              <w:rPr>
                <w:sz w:val="20"/>
                <w:szCs w:val="20"/>
                <w:color w:val="auto"/>
              </w:rPr>
            </w:pPr>
            <w:r>
              <w:rPr>
                <w:rFonts w:ascii="Arial" w:cs="Arial" w:eastAsia="Arial" w:hAnsi="Arial"/>
                <w:sz w:val="14"/>
                <w:szCs w:val="14"/>
                <w:color w:val="231F20"/>
              </w:rPr>
              <w:t>Vesting of restricted stock</w:t>
            </w:r>
          </w:p>
        </w:tc>
        <w:tc>
          <w:tcPr>
            <w:tcW w:w="1640" w:type="dxa"/>
            <w:vAlign w:val="bottom"/>
            <w:tcBorders>
              <w:bottom w:val="single" w:sz="8" w:color="231F20"/>
            </w:tcBorders>
          </w:tcPr>
          <w:p>
            <w:pPr>
              <w:jc w:val="right"/>
              <w:ind w:right="252"/>
              <w:spacing w:after="0"/>
              <w:rPr>
                <w:sz w:val="20"/>
                <w:szCs w:val="20"/>
                <w:color w:val="auto"/>
              </w:rPr>
            </w:pPr>
            <w:r>
              <w:rPr>
                <w:rFonts w:ascii="Arial" w:cs="Arial" w:eastAsia="Arial" w:hAnsi="Arial"/>
                <w:sz w:val="14"/>
                <w:szCs w:val="14"/>
                <w:color w:val="231F20"/>
              </w:rPr>
              <w:t>141,303</w:t>
            </w:r>
          </w:p>
        </w:tc>
        <w:tc>
          <w:tcPr>
            <w:tcW w:w="1380" w:type="dxa"/>
            <w:vAlign w:val="bottom"/>
            <w:tcBorders>
              <w:bottom w:val="single" w:sz="8" w:color="231F20"/>
            </w:tcBorders>
          </w:tcPr>
          <w:p>
            <w:pPr>
              <w:jc w:val="right"/>
              <w:ind w:right="272"/>
              <w:spacing w:after="0"/>
              <w:rPr>
                <w:sz w:val="20"/>
                <w:szCs w:val="20"/>
                <w:color w:val="auto"/>
              </w:rPr>
            </w:pPr>
            <w:r>
              <w:rPr>
                <w:rFonts w:ascii="Arial" w:cs="Arial" w:eastAsia="Arial" w:hAnsi="Arial"/>
                <w:sz w:val="14"/>
                <w:szCs w:val="14"/>
                <w:color w:val="231F20"/>
              </w:rPr>
              <w:t>—</w:t>
            </w:r>
          </w:p>
        </w:tc>
        <w:tc>
          <w:tcPr>
            <w:tcW w:w="1380" w:type="dxa"/>
            <w:vAlign w:val="bottom"/>
            <w:tcBorders>
              <w:bottom w:val="single" w:sz="8" w:color="231F20"/>
            </w:tcBorders>
          </w:tcPr>
          <w:p>
            <w:pPr>
              <w:jc w:val="right"/>
              <w:ind w:right="312"/>
              <w:spacing w:after="0"/>
              <w:rPr>
                <w:sz w:val="20"/>
                <w:szCs w:val="20"/>
                <w:color w:val="auto"/>
              </w:rPr>
            </w:pPr>
            <w:r>
              <w:rPr>
                <w:rFonts w:ascii="Arial" w:cs="Arial" w:eastAsia="Arial" w:hAnsi="Arial"/>
                <w:sz w:val="14"/>
                <w:szCs w:val="14"/>
                <w:color w:val="231F20"/>
              </w:rPr>
              <w:t>117,752</w:t>
            </w:r>
          </w:p>
        </w:tc>
        <w:tc>
          <w:tcPr>
            <w:tcW w:w="1300" w:type="dxa"/>
            <w:vAlign w:val="bottom"/>
            <w:tcBorders>
              <w:bottom w:val="single" w:sz="8" w:color="231F20"/>
            </w:tcBorders>
          </w:tcPr>
          <w:p>
            <w:pPr>
              <w:jc w:val="right"/>
              <w:ind w:right="272"/>
              <w:spacing w:after="0"/>
              <w:rPr>
                <w:sz w:val="20"/>
                <w:szCs w:val="20"/>
                <w:color w:val="auto"/>
              </w:rPr>
            </w:pPr>
            <w:r>
              <w:rPr>
                <w:rFonts w:ascii="Arial" w:cs="Arial" w:eastAsia="Arial" w:hAnsi="Arial"/>
                <w:sz w:val="14"/>
                <w:szCs w:val="14"/>
                <w:color w:val="231F20"/>
              </w:rPr>
              <w:t>141,303</w:t>
            </w:r>
          </w:p>
        </w:tc>
        <w:tc>
          <w:tcPr>
            <w:tcW w:w="1000" w:type="dxa"/>
            <w:vAlign w:val="bottom"/>
            <w:tcBorders>
              <w:bottom w:val="single" w:sz="8" w:color="231F20"/>
            </w:tcBorders>
          </w:tcPr>
          <w:p>
            <w:pPr>
              <w:jc w:val="right"/>
              <w:spacing w:after="0"/>
              <w:rPr>
                <w:sz w:val="20"/>
                <w:szCs w:val="20"/>
                <w:color w:val="auto"/>
              </w:rPr>
            </w:pPr>
            <w:r>
              <w:rPr>
                <w:rFonts w:ascii="Arial" w:cs="Arial" w:eastAsia="Arial" w:hAnsi="Arial"/>
                <w:sz w:val="14"/>
                <w:szCs w:val="14"/>
                <w:color w:val="231F20"/>
              </w:rPr>
              <w:t>141,303</w:t>
            </w:r>
          </w:p>
        </w:tc>
      </w:tr>
      <w:tr>
        <w:trPr>
          <w:trHeight w:val="197"/>
        </w:trPr>
        <w:tc>
          <w:tcPr>
            <w:tcW w:w="4540" w:type="dxa"/>
            <w:vAlign w:val="bottom"/>
            <w:tcBorders>
              <w:bottom w:val="single" w:sz="8" w:color="231F20"/>
            </w:tcBorders>
          </w:tcPr>
          <w:p>
            <w:pPr>
              <w:ind w:left="100"/>
              <w:spacing w:after="0"/>
              <w:rPr>
                <w:sz w:val="20"/>
                <w:szCs w:val="20"/>
                <w:color w:val="auto"/>
              </w:rPr>
            </w:pPr>
            <w:r>
              <w:rPr>
                <w:rFonts w:ascii="Arial" w:cs="Arial" w:eastAsia="Arial" w:hAnsi="Arial"/>
                <w:sz w:val="14"/>
                <w:szCs w:val="14"/>
                <w:color w:val="231F20"/>
              </w:rPr>
              <w:t>Vesting of restricted share units</w:t>
            </w:r>
          </w:p>
        </w:tc>
        <w:tc>
          <w:tcPr>
            <w:tcW w:w="1640" w:type="dxa"/>
            <w:vAlign w:val="bottom"/>
            <w:tcBorders>
              <w:bottom w:val="single" w:sz="8" w:color="231F20"/>
            </w:tcBorders>
          </w:tcPr>
          <w:p>
            <w:pPr>
              <w:jc w:val="right"/>
              <w:ind w:right="252"/>
              <w:spacing w:after="0"/>
              <w:rPr>
                <w:sz w:val="20"/>
                <w:szCs w:val="20"/>
                <w:color w:val="auto"/>
              </w:rPr>
            </w:pPr>
            <w:r>
              <w:rPr>
                <w:rFonts w:ascii="Arial" w:cs="Arial" w:eastAsia="Arial" w:hAnsi="Arial"/>
                <w:sz w:val="14"/>
                <w:szCs w:val="14"/>
                <w:color w:val="231F20"/>
              </w:rPr>
              <w:t>509,692</w:t>
            </w:r>
          </w:p>
        </w:tc>
        <w:tc>
          <w:tcPr>
            <w:tcW w:w="1380" w:type="dxa"/>
            <w:vAlign w:val="bottom"/>
            <w:tcBorders>
              <w:bottom w:val="single" w:sz="8" w:color="231F20"/>
            </w:tcBorders>
          </w:tcPr>
          <w:p>
            <w:pPr>
              <w:jc w:val="right"/>
              <w:ind w:right="272"/>
              <w:spacing w:after="0"/>
              <w:rPr>
                <w:sz w:val="20"/>
                <w:szCs w:val="20"/>
                <w:color w:val="auto"/>
              </w:rPr>
            </w:pPr>
            <w:r>
              <w:rPr>
                <w:rFonts w:ascii="Arial" w:cs="Arial" w:eastAsia="Arial" w:hAnsi="Arial"/>
                <w:sz w:val="14"/>
                <w:szCs w:val="14"/>
                <w:color w:val="231F20"/>
              </w:rPr>
              <w:t>—</w:t>
            </w:r>
          </w:p>
        </w:tc>
        <w:tc>
          <w:tcPr>
            <w:tcW w:w="1380" w:type="dxa"/>
            <w:vAlign w:val="bottom"/>
            <w:tcBorders>
              <w:bottom w:val="single" w:sz="8" w:color="231F20"/>
            </w:tcBorders>
          </w:tcPr>
          <w:p>
            <w:pPr>
              <w:jc w:val="right"/>
              <w:ind w:right="312"/>
              <w:spacing w:after="0"/>
              <w:rPr>
                <w:sz w:val="20"/>
                <w:szCs w:val="20"/>
                <w:color w:val="auto"/>
              </w:rPr>
            </w:pPr>
            <w:r>
              <w:rPr>
                <w:rFonts w:ascii="Arial" w:cs="Arial" w:eastAsia="Arial" w:hAnsi="Arial"/>
                <w:sz w:val="14"/>
                <w:szCs w:val="14"/>
                <w:color w:val="231F20"/>
              </w:rPr>
              <w:t>297,953</w:t>
            </w:r>
          </w:p>
        </w:tc>
        <w:tc>
          <w:tcPr>
            <w:tcW w:w="1300" w:type="dxa"/>
            <w:vAlign w:val="bottom"/>
            <w:tcBorders>
              <w:bottom w:val="single" w:sz="8" w:color="231F20"/>
            </w:tcBorders>
          </w:tcPr>
          <w:p>
            <w:pPr>
              <w:jc w:val="right"/>
              <w:ind w:right="272"/>
              <w:spacing w:after="0"/>
              <w:rPr>
                <w:sz w:val="20"/>
                <w:szCs w:val="20"/>
                <w:color w:val="auto"/>
              </w:rPr>
            </w:pPr>
            <w:r>
              <w:rPr>
                <w:rFonts w:ascii="Arial" w:cs="Arial" w:eastAsia="Arial" w:hAnsi="Arial"/>
                <w:sz w:val="14"/>
                <w:szCs w:val="14"/>
                <w:color w:val="231F20"/>
              </w:rPr>
              <w:t>509,692</w:t>
            </w:r>
          </w:p>
        </w:tc>
        <w:tc>
          <w:tcPr>
            <w:tcW w:w="1000" w:type="dxa"/>
            <w:vAlign w:val="bottom"/>
            <w:tcBorders>
              <w:bottom w:val="single" w:sz="8" w:color="231F20"/>
            </w:tcBorders>
          </w:tcPr>
          <w:p>
            <w:pPr>
              <w:jc w:val="right"/>
              <w:spacing w:after="0"/>
              <w:rPr>
                <w:sz w:val="20"/>
                <w:szCs w:val="20"/>
                <w:color w:val="auto"/>
              </w:rPr>
            </w:pPr>
            <w:r>
              <w:rPr>
                <w:rFonts w:ascii="Arial" w:cs="Arial" w:eastAsia="Arial" w:hAnsi="Arial"/>
                <w:sz w:val="14"/>
                <w:szCs w:val="14"/>
                <w:color w:val="231F20"/>
              </w:rPr>
              <w:t>509,692</w:t>
            </w:r>
          </w:p>
        </w:tc>
      </w:tr>
      <w:tr>
        <w:trPr>
          <w:trHeight w:val="197"/>
        </w:trPr>
        <w:tc>
          <w:tcPr>
            <w:tcW w:w="4540" w:type="dxa"/>
            <w:vAlign w:val="bottom"/>
            <w:tcBorders>
              <w:bottom w:val="single" w:sz="8" w:color="231F20"/>
            </w:tcBorders>
          </w:tcPr>
          <w:p>
            <w:pPr>
              <w:ind w:left="100"/>
              <w:spacing w:after="0"/>
              <w:rPr>
                <w:sz w:val="20"/>
                <w:szCs w:val="20"/>
                <w:color w:val="auto"/>
              </w:rPr>
            </w:pPr>
            <w:r>
              <w:rPr>
                <w:rFonts w:ascii="Arial" w:cs="Arial" w:eastAsia="Arial" w:hAnsi="Arial"/>
                <w:sz w:val="14"/>
                <w:szCs w:val="14"/>
                <w:color w:val="231F20"/>
              </w:rPr>
              <w:t>Vesting of performance share units</w:t>
            </w:r>
          </w:p>
        </w:tc>
        <w:tc>
          <w:tcPr>
            <w:tcW w:w="1640" w:type="dxa"/>
            <w:vAlign w:val="bottom"/>
            <w:tcBorders>
              <w:bottom w:val="single" w:sz="8" w:color="231F20"/>
            </w:tcBorders>
          </w:tcPr>
          <w:p>
            <w:pPr>
              <w:jc w:val="right"/>
              <w:ind w:right="252"/>
              <w:spacing w:after="0"/>
              <w:rPr>
                <w:sz w:val="20"/>
                <w:szCs w:val="20"/>
                <w:color w:val="auto"/>
              </w:rPr>
            </w:pPr>
            <w:r>
              <w:rPr>
                <w:rFonts w:ascii="Arial" w:cs="Arial" w:eastAsia="Arial" w:hAnsi="Arial"/>
                <w:sz w:val="14"/>
                <w:szCs w:val="14"/>
                <w:color w:val="231F20"/>
              </w:rPr>
              <w:t>1,020,797</w:t>
            </w:r>
          </w:p>
        </w:tc>
        <w:tc>
          <w:tcPr>
            <w:tcW w:w="1380" w:type="dxa"/>
            <w:vAlign w:val="bottom"/>
            <w:tcBorders>
              <w:bottom w:val="single" w:sz="8" w:color="231F20"/>
            </w:tcBorders>
          </w:tcPr>
          <w:p>
            <w:pPr>
              <w:jc w:val="right"/>
              <w:ind w:right="272"/>
              <w:spacing w:after="0"/>
              <w:rPr>
                <w:sz w:val="20"/>
                <w:szCs w:val="20"/>
                <w:color w:val="auto"/>
              </w:rPr>
            </w:pPr>
            <w:r>
              <w:rPr>
                <w:rFonts w:ascii="Arial" w:cs="Arial" w:eastAsia="Arial" w:hAnsi="Arial"/>
                <w:sz w:val="14"/>
                <w:szCs w:val="14"/>
                <w:color w:val="231F20"/>
              </w:rPr>
              <w:t>—</w:t>
            </w:r>
          </w:p>
        </w:tc>
        <w:tc>
          <w:tcPr>
            <w:tcW w:w="1380" w:type="dxa"/>
            <w:vAlign w:val="bottom"/>
            <w:tcBorders>
              <w:bottom w:val="single" w:sz="8" w:color="231F20"/>
            </w:tcBorders>
          </w:tcPr>
          <w:p>
            <w:pPr>
              <w:jc w:val="right"/>
              <w:ind w:right="312"/>
              <w:spacing w:after="0"/>
              <w:rPr>
                <w:sz w:val="20"/>
                <w:szCs w:val="20"/>
                <w:color w:val="auto"/>
              </w:rPr>
            </w:pPr>
            <w:r>
              <w:rPr>
                <w:rFonts w:ascii="Arial" w:cs="Arial" w:eastAsia="Arial" w:hAnsi="Arial"/>
                <w:sz w:val="14"/>
                <w:szCs w:val="14"/>
                <w:color w:val="231F20"/>
              </w:rPr>
              <w:t>545,620</w:t>
            </w:r>
          </w:p>
        </w:tc>
        <w:tc>
          <w:tcPr>
            <w:tcW w:w="1300" w:type="dxa"/>
            <w:vAlign w:val="bottom"/>
            <w:tcBorders>
              <w:bottom w:val="single" w:sz="8" w:color="231F20"/>
            </w:tcBorders>
          </w:tcPr>
          <w:p>
            <w:pPr>
              <w:jc w:val="right"/>
              <w:ind w:right="272"/>
              <w:spacing w:after="0"/>
              <w:rPr>
                <w:sz w:val="20"/>
                <w:szCs w:val="20"/>
                <w:color w:val="auto"/>
              </w:rPr>
            </w:pPr>
            <w:r>
              <w:rPr>
                <w:rFonts w:ascii="Arial" w:cs="Arial" w:eastAsia="Arial" w:hAnsi="Arial"/>
                <w:sz w:val="14"/>
                <w:szCs w:val="14"/>
                <w:color w:val="231F20"/>
              </w:rPr>
              <w:t>1,020,797</w:t>
            </w:r>
          </w:p>
        </w:tc>
        <w:tc>
          <w:tcPr>
            <w:tcW w:w="1000" w:type="dxa"/>
            <w:vAlign w:val="bottom"/>
            <w:tcBorders>
              <w:bottom w:val="single" w:sz="8" w:color="231F20"/>
            </w:tcBorders>
          </w:tcPr>
          <w:p>
            <w:pPr>
              <w:jc w:val="right"/>
              <w:spacing w:after="0"/>
              <w:rPr>
                <w:sz w:val="20"/>
                <w:szCs w:val="20"/>
                <w:color w:val="auto"/>
              </w:rPr>
            </w:pPr>
            <w:r>
              <w:rPr>
                <w:rFonts w:ascii="Arial" w:cs="Arial" w:eastAsia="Arial" w:hAnsi="Arial"/>
                <w:sz w:val="14"/>
                <w:szCs w:val="14"/>
                <w:color w:val="231F20"/>
              </w:rPr>
              <w:t>1,020,797</w:t>
            </w:r>
          </w:p>
        </w:tc>
      </w:tr>
      <w:tr>
        <w:trPr>
          <w:trHeight w:val="197"/>
        </w:trPr>
        <w:tc>
          <w:tcPr>
            <w:tcW w:w="4540" w:type="dxa"/>
            <w:vAlign w:val="bottom"/>
            <w:tcBorders>
              <w:bottom w:val="single" w:sz="8" w:color="231F20"/>
            </w:tcBorders>
          </w:tcPr>
          <w:p>
            <w:pPr>
              <w:ind w:left="100"/>
              <w:spacing w:after="0"/>
              <w:rPr>
                <w:sz w:val="20"/>
                <w:szCs w:val="20"/>
                <w:color w:val="auto"/>
              </w:rPr>
            </w:pPr>
            <w:r>
              <w:rPr>
                <w:rFonts w:ascii="Arial" w:cs="Arial" w:eastAsia="Arial" w:hAnsi="Arial"/>
                <w:sz w:val="14"/>
                <w:szCs w:val="14"/>
                <w:color w:val="231F20"/>
              </w:rPr>
              <w:t>Vesting of stock options</w:t>
            </w:r>
          </w:p>
        </w:tc>
        <w:tc>
          <w:tcPr>
            <w:tcW w:w="1640" w:type="dxa"/>
            <w:vAlign w:val="bottom"/>
            <w:tcBorders>
              <w:bottom w:val="single" w:sz="8" w:color="231F20"/>
            </w:tcBorders>
          </w:tcPr>
          <w:p>
            <w:pPr>
              <w:jc w:val="right"/>
              <w:ind w:right="252"/>
              <w:spacing w:after="0"/>
              <w:rPr>
                <w:sz w:val="20"/>
                <w:szCs w:val="20"/>
                <w:color w:val="auto"/>
              </w:rPr>
            </w:pPr>
            <w:r>
              <w:rPr>
                <w:rFonts w:ascii="Arial" w:cs="Arial" w:eastAsia="Arial" w:hAnsi="Arial"/>
                <w:sz w:val="14"/>
                <w:szCs w:val="14"/>
                <w:color w:val="231F20"/>
              </w:rPr>
              <w:t>738,091</w:t>
            </w:r>
          </w:p>
        </w:tc>
        <w:tc>
          <w:tcPr>
            <w:tcW w:w="1380" w:type="dxa"/>
            <w:vAlign w:val="bottom"/>
            <w:tcBorders>
              <w:bottom w:val="single" w:sz="8" w:color="231F20"/>
            </w:tcBorders>
          </w:tcPr>
          <w:p>
            <w:pPr>
              <w:jc w:val="right"/>
              <w:ind w:right="272"/>
              <w:spacing w:after="0"/>
              <w:rPr>
                <w:sz w:val="20"/>
                <w:szCs w:val="20"/>
                <w:color w:val="auto"/>
              </w:rPr>
            </w:pPr>
            <w:r>
              <w:rPr>
                <w:rFonts w:ascii="Arial" w:cs="Arial" w:eastAsia="Arial" w:hAnsi="Arial"/>
                <w:sz w:val="14"/>
                <w:szCs w:val="14"/>
                <w:color w:val="231F20"/>
              </w:rPr>
              <w:t>—</w:t>
            </w:r>
          </w:p>
        </w:tc>
        <w:tc>
          <w:tcPr>
            <w:tcW w:w="1380" w:type="dxa"/>
            <w:vAlign w:val="bottom"/>
            <w:tcBorders>
              <w:bottom w:val="single" w:sz="8" w:color="231F20"/>
            </w:tcBorders>
          </w:tcPr>
          <w:p>
            <w:pPr>
              <w:jc w:val="right"/>
              <w:ind w:right="312"/>
              <w:spacing w:after="0"/>
              <w:rPr>
                <w:sz w:val="20"/>
                <w:szCs w:val="20"/>
                <w:color w:val="auto"/>
              </w:rPr>
            </w:pPr>
            <w:r>
              <w:rPr>
                <w:rFonts w:ascii="Arial" w:cs="Arial" w:eastAsia="Arial" w:hAnsi="Arial"/>
                <w:sz w:val="14"/>
                <w:szCs w:val="14"/>
                <w:color w:val="231F20"/>
              </w:rPr>
              <w:t>488,215</w:t>
            </w:r>
          </w:p>
        </w:tc>
        <w:tc>
          <w:tcPr>
            <w:tcW w:w="1300" w:type="dxa"/>
            <w:vAlign w:val="bottom"/>
            <w:tcBorders>
              <w:bottom w:val="single" w:sz="8" w:color="231F20"/>
            </w:tcBorders>
          </w:tcPr>
          <w:p>
            <w:pPr>
              <w:jc w:val="right"/>
              <w:ind w:right="272"/>
              <w:spacing w:after="0"/>
              <w:rPr>
                <w:sz w:val="20"/>
                <w:szCs w:val="20"/>
                <w:color w:val="auto"/>
              </w:rPr>
            </w:pPr>
            <w:r>
              <w:rPr>
                <w:rFonts w:ascii="Arial" w:cs="Arial" w:eastAsia="Arial" w:hAnsi="Arial"/>
                <w:sz w:val="14"/>
                <w:szCs w:val="14"/>
                <w:color w:val="231F20"/>
              </w:rPr>
              <w:t>738,091</w:t>
            </w:r>
          </w:p>
        </w:tc>
        <w:tc>
          <w:tcPr>
            <w:tcW w:w="1000" w:type="dxa"/>
            <w:vAlign w:val="bottom"/>
            <w:tcBorders>
              <w:bottom w:val="single" w:sz="8" w:color="231F20"/>
            </w:tcBorders>
          </w:tcPr>
          <w:p>
            <w:pPr>
              <w:jc w:val="right"/>
              <w:spacing w:after="0"/>
              <w:rPr>
                <w:sz w:val="20"/>
                <w:szCs w:val="20"/>
                <w:color w:val="auto"/>
              </w:rPr>
            </w:pPr>
            <w:r>
              <w:rPr>
                <w:rFonts w:ascii="Arial" w:cs="Arial" w:eastAsia="Arial" w:hAnsi="Arial"/>
                <w:sz w:val="14"/>
                <w:szCs w:val="14"/>
                <w:color w:val="231F20"/>
              </w:rPr>
              <w:t>738,091</w:t>
            </w:r>
          </w:p>
        </w:tc>
      </w:tr>
      <w:tr>
        <w:trPr>
          <w:trHeight w:val="197"/>
        </w:trPr>
        <w:tc>
          <w:tcPr>
            <w:tcW w:w="4540" w:type="dxa"/>
            <w:vAlign w:val="bottom"/>
            <w:tcBorders>
              <w:bottom w:val="single" w:sz="8" w:color="231F20"/>
            </w:tcBorders>
          </w:tcPr>
          <w:p>
            <w:pPr>
              <w:ind w:left="100"/>
              <w:spacing w:after="0"/>
              <w:rPr>
                <w:sz w:val="20"/>
                <w:szCs w:val="20"/>
                <w:color w:val="auto"/>
              </w:rPr>
            </w:pPr>
            <w:r>
              <w:rPr>
                <w:rFonts w:ascii="Arial" w:cs="Arial" w:eastAsia="Arial" w:hAnsi="Arial"/>
                <w:sz w:val="14"/>
                <w:szCs w:val="14"/>
                <w:color w:val="231F20"/>
              </w:rPr>
              <w:t>Continuation of welfare benefits</w:t>
            </w:r>
          </w:p>
        </w:tc>
        <w:tc>
          <w:tcPr>
            <w:tcW w:w="1640" w:type="dxa"/>
            <w:vAlign w:val="bottom"/>
            <w:tcBorders>
              <w:bottom w:val="single" w:sz="8" w:color="231F20"/>
            </w:tcBorders>
          </w:tcPr>
          <w:p>
            <w:pPr>
              <w:jc w:val="right"/>
              <w:ind w:right="252"/>
              <w:spacing w:after="0"/>
              <w:rPr>
                <w:sz w:val="20"/>
                <w:szCs w:val="20"/>
                <w:color w:val="auto"/>
              </w:rPr>
            </w:pPr>
            <w:r>
              <w:rPr>
                <w:rFonts w:ascii="Arial" w:cs="Arial" w:eastAsia="Arial" w:hAnsi="Arial"/>
                <w:sz w:val="14"/>
                <w:szCs w:val="14"/>
                <w:color w:val="231F20"/>
              </w:rPr>
              <w:t>59,506</w:t>
            </w:r>
          </w:p>
        </w:tc>
        <w:tc>
          <w:tcPr>
            <w:tcW w:w="1380" w:type="dxa"/>
            <w:vAlign w:val="bottom"/>
            <w:tcBorders>
              <w:bottom w:val="single" w:sz="8" w:color="231F20"/>
            </w:tcBorders>
          </w:tcPr>
          <w:p>
            <w:pPr>
              <w:jc w:val="right"/>
              <w:ind w:right="272"/>
              <w:spacing w:after="0"/>
              <w:rPr>
                <w:sz w:val="20"/>
                <w:szCs w:val="20"/>
                <w:color w:val="auto"/>
              </w:rPr>
            </w:pPr>
            <w:r>
              <w:rPr>
                <w:rFonts w:ascii="Arial" w:cs="Arial" w:eastAsia="Arial" w:hAnsi="Arial"/>
                <w:sz w:val="14"/>
                <w:szCs w:val="14"/>
                <w:color w:val="231F20"/>
              </w:rPr>
              <w:t>14,514</w:t>
            </w:r>
          </w:p>
        </w:tc>
        <w:tc>
          <w:tcPr>
            <w:tcW w:w="1380" w:type="dxa"/>
            <w:vAlign w:val="bottom"/>
            <w:tcBorders>
              <w:bottom w:val="single" w:sz="8" w:color="231F20"/>
            </w:tcBorders>
          </w:tcPr>
          <w:p>
            <w:pPr>
              <w:jc w:val="right"/>
              <w:ind w:right="312"/>
              <w:spacing w:after="0"/>
              <w:rPr>
                <w:sz w:val="20"/>
                <w:szCs w:val="20"/>
                <w:color w:val="auto"/>
              </w:rPr>
            </w:pPr>
            <w:r>
              <w:rPr>
                <w:rFonts w:ascii="Arial" w:cs="Arial" w:eastAsia="Arial" w:hAnsi="Arial"/>
                <w:sz w:val="14"/>
                <w:szCs w:val="14"/>
                <w:color w:val="231F20"/>
              </w:rPr>
              <w:t>—</w:t>
            </w:r>
          </w:p>
        </w:tc>
        <w:tc>
          <w:tcPr>
            <w:tcW w:w="1300" w:type="dxa"/>
            <w:vAlign w:val="bottom"/>
            <w:tcBorders>
              <w:bottom w:val="single" w:sz="8" w:color="231F20"/>
            </w:tcBorders>
          </w:tcPr>
          <w:p>
            <w:pPr>
              <w:jc w:val="right"/>
              <w:ind w:right="272"/>
              <w:spacing w:after="0"/>
              <w:rPr>
                <w:sz w:val="20"/>
                <w:szCs w:val="20"/>
                <w:color w:val="auto"/>
              </w:rPr>
            </w:pPr>
            <w:r>
              <w:rPr>
                <w:rFonts w:ascii="Arial" w:cs="Arial" w:eastAsia="Arial" w:hAnsi="Arial"/>
                <w:sz w:val="14"/>
                <w:szCs w:val="14"/>
                <w:color w:val="231F20"/>
              </w:rPr>
              <w:t>—</w:t>
            </w:r>
          </w:p>
        </w:tc>
        <w:tc>
          <w:tcPr>
            <w:tcW w:w="1000" w:type="dxa"/>
            <w:vAlign w:val="bottom"/>
            <w:tcBorders>
              <w:bottom w:val="single" w:sz="8" w:color="231F20"/>
            </w:tcBorders>
          </w:tcPr>
          <w:p>
            <w:pPr>
              <w:jc w:val="right"/>
              <w:spacing w:after="0"/>
              <w:rPr>
                <w:sz w:val="20"/>
                <w:szCs w:val="20"/>
                <w:color w:val="auto"/>
              </w:rPr>
            </w:pPr>
            <w:r>
              <w:rPr>
                <w:rFonts w:ascii="Arial" w:cs="Arial" w:eastAsia="Arial" w:hAnsi="Arial"/>
                <w:sz w:val="14"/>
                <w:szCs w:val="14"/>
                <w:color w:val="231F20"/>
              </w:rPr>
              <w:t>—</w:t>
            </w:r>
          </w:p>
        </w:tc>
      </w:tr>
      <w:tr>
        <w:trPr>
          <w:trHeight w:val="200"/>
        </w:trPr>
        <w:tc>
          <w:tcPr>
            <w:tcW w:w="4540" w:type="dxa"/>
            <w:vAlign w:val="bottom"/>
            <w:tcBorders>
              <w:bottom w:val="single" w:sz="8" w:color="231F20"/>
            </w:tcBorders>
          </w:tcPr>
          <w:p>
            <w:pPr>
              <w:spacing w:after="0"/>
              <w:rPr>
                <w:sz w:val="20"/>
                <w:szCs w:val="20"/>
                <w:color w:val="auto"/>
              </w:rPr>
            </w:pPr>
            <w:r>
              <w:rPr>
                <w:rFonts w:ascii="Arial" w:cs="Arial" w:eastAsia="Arial" w:hAnsi="Arial"/>
                <w:sz w:val="14"/>
                <w:szCs w:val="14"/>
                <w:b w:val="1"/>
                <w:bCs w:val="1"/>
                <w:color w:val="455986"/>
              </w:rPr>
              <w:t>Outplacement services</w:t>
            </w:r>
          </w:p>
        </w:tc>
        <w:tc>
          <w:tcPr>
            <w:tcW w:w="1640" w:type="dxa"/>
            <w:vAlign w:val="bottom"/>
            <w:tcBorders>
              <w:bottom w:val="single" w:sz="8" w:color="231F20"/>
            </w:tcBorders>
          </w:tcPr>
          <w:p>
            <w:pPr>
              <w:jc w:val="right"/>
              <w:ind w:right="252"/>
              <w:spacing w:after="0"/>
              <w:rPr>
                <w:sz w:val="20"/>
                <w:szCs w:val="20"/>
                <w:color w:val="auto"/>
              </w:rPr>
            </w:pPr>
            <w:r>
              <w:rPr>
                <w:rFonts w:ascii="Arial" w:cs="Arial" w:eastAsia="Arial" w:hAnsi="Arial"/>
                <w:sz w:val="14"/>
                <w:szCs w:val="14"/>
                <w:color w:val="231F20"/>
              </w:rPr>
              <w:t>20,000</w:t>
            </w:r>
          </w:p>
        </w:tc>
        <w:tc>
          <w:tcPr>
            <w:tcW w:w="1380" w:type="dxa"/>
            <w:vAlign w:val="bottom"/>
            <w:tcBorders>
              <w:bottom w:val="single" w:sz="8" w:color="231F20"/>
            </w:tcBorders>
          </w:tcPr>
          <w:p>
            <w:pPr>
              <w:jc w:val="right"/>
              <w:ind w:right="272"/>
              <w:spacing w:after="0"/>
              <w:rPr>
                <w:sz w:val="20"/>
                <w:szCs w:val="20"/>
                <w:color w:val="auto"/>
              </w:rPr>
            </w:pPr>
            <w:r>
              <w:rPr>
                <w:rFonts w:ascii="Arial" w:cs="Arial" w:eastAsia="Arial" w:hAnsi="Arial"/>
                <w:sz w:val="14"/>
                <w:szCs w:val="14"/>
                <w:color w:val="231F20"/>
              </w:rPr>
              <w:t>—</w:t>
            </w:r>
          </w:p>
        </w:tc>
        <w:tc>
          <w:tcPr>
            <w:tcW w:w="1380" w:type="dxa"/>
            <w:vAlign w:val="bottom"/>
            <w:tcBorders>
              <w:bottom w:val="single" w:sz="8" w:color="231F20"/>
            </w:tcBorders>
          </w:tcPr>
          <w:p>
            <w:pPr>
              <w:jc w:val="right"/>
              <w:ind w:right="312"/>
              <w:spacing w:after="0"/>
              <w:rPr>
                <w:sz w:val="20"/>
                <w:szCs w:val="20"/>
                <w:color w:val="auto"/>
              </w:rPr>
            </w:pPr>
            <w:r>
              <w:rPr>
                <w:rFonts w:ascii="Arial" w:cs="Arial" w:eastAsia="Arial" w:hAnsi="Arial"/>
                <w:sz w:val="14"/>
                <w:szCs w:val="14"/>
                <w:color w:val="231F20"/>
              </w:rPr>
              <w:t>—</w:t>
            </w:r>
          </w:p>
        </w:tc>
        <w:tc>
          <w:tcPr>
            <w:tcW w:w="1300" w:type="dxa"/>
            <w:vAlign w:val="bottom"/>
            <w:tcBorders>
              <w:bottom w:val="single" w:sz="8" w:color="231F20"/>
            </w:tcBorders>
          </w:tcPr>
          <w:p>
            <w:pPr>
              <w:jc w:val="right"/>
              <w:ind w:right="272"/>
              <w:spacing w:after="0"/>
              <w:rPr>
                <w:sz w:val="20"/>
                <w:szCs w:val="20"/>
                <w:color w:val="auto"/>
              </w:rPr>
            </w:pPr>
            <w:r>
              <w:rPr>
                <w:rFonts w:ascii="Arial" w:cs="Arial" w:eastAsia="Arial" w:hAnsi="Arial"/>
                <w:sz w:val="14"/>
                <w:szCs w:val="14"/>
                <w:color w:val="231F20"/>
              </w:rPr>
              <w:t>—</w:t>
            </w:r>
          </w:p>
        </w:tc>
        <w:tc>
          <w:tcPr>
            <w:tcW w:w="1000" w:type="dxa"/>
            <w:vAlign w:val="bottom"/>
            <w:tcBorders>
              <w:bottom w:val="single" w:sz="8" w:color="231F20"/>
            </w:tcBorders>
          </w:tcPr>
          <w:p>
            <w:pPr>
              <w:jc w:val="right"/>
              <w:spacing w:after="0"/>
              <w:rPr>
                <w:sz w:val="20"/>
                <w:szCs w:val="20"/>
                <w:color w:val="auto"/>
              </w:rPr>
            </w:pPr>
            <w:r>
              <w:rPr>
                <w:rFonts w:ascii="Arial" w:cs="Arial" w:eastAsia="Arial" w:hAnsi="Arial"/>
                <w:sz w:val="14"/>
                <w:szCs w:val="14"/>
                <w:color w:val="231F20"/>
              </w:rPr>
              <w:t>—</w:t>
            </w:r>
          </w:p>
        </w:tc>
      </w:tr>
      <w:tr>
        <w:trPr>
          <w:trHeight w:val="197"/>
        </w:trPr>
        <w:tc>
          <w:tcPr>
            <w:tcW w:w="4540" w:type="dxa"/>
            <w:vAlign w:val="bottom"/>
            <w:tcBorders>
              <w:bottom w:val="single" w:sz="8" w:color="231F20"/>
            </w:tcBorders>
          </w:tcPr>
          <w:p>
            <w:pPr>
              <w:spacing w:after="0"/>
              <w:rPr>
                <w:sz w:val="20"/>
                <w:szCs w:val="20"/>
                <w:color w:val="auto"/>
              </w:rPr>
            </w:pPr>
            <w:r>
              <w:rPr>
                <w:rFonts w:ascii="Arial" w:cs="Arial" w:eastAsia="Arial" w:hAnsi="Arial"/>
                <w:sz w:val="14"/>
                <w:szCs w:val="14"/>
                <w:b w:val="1"/>
                <w:bCs w:val="1"/>
                <w:color w:val="455986"/>
              </w:rPr>
              <w:t>Vested Retirement Benefits</w:t>
            </w:r>
          </w:p>
        </w:tc>
        <w:tc>
          <w:tcPr>
            <w:tcW w:w="1640" w:type="dxa"/>
            <w:vAlign w:val="bottom"/>
            <w:tcBorders>
              <w:bottom w:val="single" w:sz="8" w:color="231F20"/>
            </w:tcBorders>
          </w:tcPr>
          <w:p>
            <w:pPr>
              <w:spacing w:after="0"/>
              <w:rPr>
                <w:sz w:val="17"/>
                <w:szCs w:val="17"/>
                <w:color w:val="auto"/>
              </w:rPr>
            </w:pPr>
          </w:p>
        </w:tc>
        <w:tc>
          <w:tcPr>
            <w:tcW w:w="1380" w:type="dxa"/>
            <w:vAlign w:val="bottom"/>
            <w:tcBorders>
              <w:bottom w:val="single" w:sz="8" w:color="231F20"/>
            </w:tcBorders>
          </w:tcPr>
          <w:p>
            <w:pPr>
              <w:spacing w:after="0"/>
              <w:rPr>
                <w:sz w:val="17"/>
                <w:szCs w:val="17"/>
                <w:color w:val="auto"/>
              </w:rPr>
            </w:pPr>
          </w:p>
        </w:tc>
        <w:tc>
          <w:tcPr>
            <w:tcW w:w="1380" w:type="dxa"/>
            <w:vAlign w:val="bottom"/>
            <w:tcBorders>
              <w:bottom w:val="single" w:sz="8" w:color="231F20"/>
            </w:tcBorders>
          </w:tcPr>
          <w:p>
            <w:pPr>
              <w:spacing w:after="0"/>
              <w:rPr>
                <w:sz w:val="17"/>
                <w:szCs w:val="17"/>
                <w:color w:val="auto"/>
              </w:rPr>
            </w:pPr>
          </w:p>
        </w:tc>
        <w:tc>
          <w:tcPr>
            <w:tcW w:w="1300" w:type="dxa"/>
            <w:vAlign w:val="bottom"/>
            <w:tcBorders>
              <w:bottom w:val="single" w:sz="8" w:color="231F20"/>
            </w:tcBorders>
          </w:tcPr>
          <w:p>
            <w:pPr>
              <w:spacing w:after="0"/>
              <w:rPr>
                <w:sz w:val="17"/>
                <w:szCs w:val="17"/>
                <w:color w:val="auto"/>
              </w:rPr>
            </w:pPr>
          </w:p>
        </w:tc>
        <w:tc>
          <w:tcPr>
            <w:tcW w:w="1000" w:type="dxa"/>
            <w:vAlign w:val="bottom"/>
            <w:tcBorders>
              <w:bottom w:val="single" w:sz="8" w:color="231F20"/>
            </w:tcBorders>
          </w:tcPr>
          <w:p>
            <w:pPr>
              <w:spacing w:after="0"/>
              <w:rPr>
                <w:sz w:val="17"/>
                <w:szCs w:val="17"/>
                <w:color w:val="auto"/>
              </w:rPr>
            </w:pPr>
          </w:p>
        </w:tc>
      </w:tr>
      <w:tr>
        <w:trPr>
          <w:trHeight w:val="160"/>
        </w:trPr>
        <w:tc>
          <w:tcPr>
            <w:tcW w:w="4540" w:type="dxa"/>
            <w:vAlign w:val="bottom"/>
          </w:tcPr>
          <w:p>
            <w:pPr>
              <w:ind w:left="100"/>
              <w:spacing w:after="0"/>
              <w:rPr>
                <w:sz w:val="20"/>
                <w:szCs w:val="20"/>
                <w:color w:val="auto"/>
              </w:rPr>
            </w:pPr>
            <w:r>
              <w:rPr>
                <w:rFonts w:ascii="Arial" w:cs="Arial" w:eastAsia="Arial" w:hAnsi="Arial"/>
                <w:sz w:val="14"/>
                <w:szCs w:val="14"/>
                <w:color w:val="231F20"/>
              </w:rPr>
              <w:t>Incremental pension value above that included in the Pension Benefits</w:t>
            </w:r>
          </w:p>
        </w:tc>
        <w:tc>
          <w:tcPr>
            <w:tcW w:w="1640" w:type="dxa"/>
            <w:vAlign w:val="bottom"/>
          </w:tcPr>
          <w:p>
            <w:pPr>
              <w:jc w:val="right"/>
              <w:ind w:right="252"/>
              <w:spacing w:after="0"/>
              <w:rPr>
                <w:sz w:val="20"/>
                <w:szCs w:val="20"/>
                <w:color w:val="auto"/>
              </w:rPr>
            </w:pPr>
            <w:r>
              <w:rPr>
                <w:rFonts w:ascii="Arial" w:cs="Arial" w:eastAsia="Arial" w:hAnsi="Arial"/>
                <w:sz w:val="14"/>
                <w:szCs w:val="14"/>
                <w:color w:val="231F20"/>
              </w:rPr>
              <w:t>—</w:t>
            </w:r>
          </w:p>
        </w:tc>
        <w:tc>
          <w:tcPr>
            <w:tcW w:w="1380" w:type="dxa"/>
            <w:vAlign w:val="bottom"/>
          </w:tcPr>
          <w:p>
            <w:pPr>
              <w:jc w:val="right"/>
              <w:ind w:right="272"/>
              <w:spacing w:after="0"/>
              <w:rPr>
                <w:sz w:val="20"/>
                <w:szCs w:val="20"/>
                <w:color w:val="auto"/>
              </w:rPr>
            </w:pPr>
            <w:r>
              <w:rPr>
                <w:rFonts w:ascii="Arial" w:cs="Arial" w:eastAsia="Arial" w:hAnsi="Arial"/>
                <w:sz w:val="14"/>
                <w:szCs w:val="14"/>
                <w:color w:val="231F20"/>
              </w:rPr>
              <w:t>—</w:t>
            </w:r>
          </w:p>
        </w:tc>
        <w:tc>
          <w:tcPr>
            <w:tcW w:w="1380" w:type="dxa"/>
            <w:vAlign w:val="bottom"/>
          </w:tcPr>
          <w:p>
            <w:pPr>
              <w:jc w:val="right"/>
              <w:ind w:right="312"/>
              <w:spacing w:after="0"/>
              <w:rPr>
                <w:sz w:val="20"/>
                <w:szCs w:val="20"/>
                <w:color w:val="auto"/>
              </w:rPr>
            </w:pPr>
            <w:r>
              <w:rPr>
                <w:rFonts w:ascii="Arial" w:cs="Arial" w:eastAsia="Arial" w:hAnsi="Arial"/>
                <w:sz w:val="14"/>
                <w:szCs w:val="14"/>
                <w:color w:val="231F20"/>
              </w:rPr>
              <w:t>—</w:t>
            </w:r>
          </w:p>
        </w:tc>
        <w:tc>
          <w:tcPr>
            <w:tcW w:w="1300" w:type="dxa"/>
            <w:vAlign w:val="bottom"/>
          </w:tcPr>
          <w:p>
            <w:pPr>
              <w:jc w:val="right"/>
              <w:ind w:right="272"/>
              <w:spacing w:after="0"/>
              <w:rPr>
                <w:sz w:val="20"/>
                <w:szCs w:val="20"/>
                <w:color w:val="auto"/>
              </w:rPr>
            </w:pPr>
            <w:r>
              <w:rPr>
                <w:rFonts w:ascii="Arial" w:cs="Arial" w:eastAsia="Arial" w:hAnsi="Arial"/>
                <w:sz w:val="14"/>
                <w:szCs w:val="14"/>
                <w:color w:val="231F20"/>
              </w:rPr>
              <w:t>—</w:t>
            </w:r>
          </w:p>
        </w:tc>
        <w:tc>
          <w:tcPr>
            <w:tcW w:w="1000" w:type="dxa"/>
            <w:vAlign w:val="bottom"/>
          </w:tcPr>
          <w:p>
            <w:pPr>
              <w:jc w:val="right"/>
              <w:spacing w:after="0"/>
              <w:rPr>
                <w:sz w:val="20"/>
                <w:szCs w:val="20"/>
                <w:color w:val="auto"/>
              </w:rPr>
            </w:pPr>
            <w:r>
              <w:rPr>
                <w:rFonts w:ascii="Arial" w:cs="Arial" w:eastAsia="Arial" w:hAnsi="Arial"/>
                <w:sz w:val="14"/>
                <w:szCs w:val="14"/>
                <w:color w:val="231F20"/>
              </w:rPr>
              <w:t>—</w:t>
            </w:r>
          </w:p>
        </w:tc>
      </w:tr>
      <w:tr>
        <w:trPr>
          <w:trHeight w:val="187"/>
        </w:trPr>
        <w:tc>
          <w:tcPr>
            <w:tcW w:w="4540" w:type="dxa"/>
            <w:vAlign w:val="bottom"/>
            <w:tcBorders>
              <w:bottom w:val="single" w:sz="8" w:color="231F20"/>
            </w:tcBorders>
          </w:tcPr>
          <w:p>
            <w:pPr>
              <w:ind w:left="300"/>
              <w:spacing w:after="0"/>
              <w:rPr>
                <w:sz w:val="20"/>
                <w:szCs w:val="20"/>
                <w:color w:val="auto"/>
              </w:rPr>
            </w:pPr>
            <w:r>
              <w:rPr>
                <w:rFonts w:ascii="Arial" w:cs="Arial" w:eastAsia="Arial" w:hAnsi="Arial"/>
                <w:sz w:val="14"/>
                <w:szCs w:val="14"/>
                <w:color w:val="231F20"/>
              </w:rPr>
              <w:t>Table</w:t>
            </w:r>
          </w:p>
        </w:tc>
        <w:tc>
          <w:tcPr>
            <w:tcW w:w="1640" w:type="dxa"/>
            <w:vAlign w:val="bottom"/>
            <w:tcBorders>
              <w:bottom w:val="single" w:sz="8" w:color="231F20"/>
            </w:tcBorders>
          </w:tcPr>
          <w:p>
            <w:pPr>
              <w:spacing w:after="0"/>
              <w:rPr>
                <w:sz w:val="16"/>
                <w:szCs w:val="16"/>
                <w:color w:val="auto"/>
              </w:rPr>
            </w:pPr>
          </w:p>
        </w:tc>
        <w:tc>
          <w:tcPr>
            <w:tcW w:w="1380" w:type="dxa"/>
            <w:vAlign w:val="bottom"/>
            <w:tcBorders>
              <w:bottom w:val="single" w:sz="8" w:color="231F20"/>
            </w:tcBorders>
          </w:tcPr>
          <w:p>
            <w:pPr>
              <w:spacing w:after="0"/>
              <w:rPr>
                <w:sz w:val="16"/>
                <w:szCs w:val="16"/>
                <w:color w:val="auto"/>
              </w:rPr>
            </w:pPr>
          </w:p>
        </w:tc>
        <w:tc>
          <w:tcPr>
            <w:tcW w:w="1380" w:type="dxa"/>
            <w:vAlign w:val="bottom"/>
            <w:tcBorders>
              <w:bottom w:val="single" w:sz="8" w:color="231F20"/>
            </w:tcBorders>
          </w:tcPr>
          <w:p>
            <w:pPr>
              <w:spacing w:after="0"/>
              <w:rPr>
                <w:sz w:val="16"/>
                <w:szCs w:val="16"/>
                <w:color w:val="auto"/>
              </w:rPr>
            </w:pPr>
          </w:p>
        </w:tc>
        <w:tc>
          <w:tcPr>
            <w:tcW w:w="1300" w:type="dxa"/>
            <w:vAlign w:val="bottom"/>
            <w:tcBorders>
              <w:bottom w:val="single" w:sz="8" w:color="231F20"/>
            </w:tcBorders>
          </w:tcPr>
          <w:p>
            <w:pPr>
              <w:spacing w:after="0"/>
              <w:rPr>
                <w:sz w:val="16"/>
                <w:szCs w:val="16"/>
                <w:color w:val="auto"/>
              </w:rPr>
            </w:pPr>
          </w:p>
        </w:tc>
        <w:tc>
          <w:tcPr>
            <w:tcW w:w="1000" w:type="dxa"/>
            <w:vAlign w:val="bottom"/>
            <w:tcBorders>
              <w:bottom w:val="single" w:sz="8" w:color="231F20"/>
            </w:tcBorders>
          </w:tcPr>
          <w:p>
            <w:pPr>
              <w:spacing w:after="0"/>
              <w:rPr>
                <w:sz w:val="16"/>
                <w:szCs w:val="16"/>
                <w:color w:val="auto"/>
              </w:rPr>
            </w:pPr>
          </w:p>
        </w:tc>
      </w:tr>
      <w:tr>
        <w:trPr>
          <w:trHeight w:val="197"/>
        </w:trPr>
        <w:tc>
          <w:tcPr>
            <w:tcW w:w="4540" w:type="dxa"/>
            <w:vAlign w:val="bottom"/>
            <w:tcBorders>
              <w:bottom w:val="single" w:sz="8" w:color="231F20"/>
            </w:tcBorders>
          </w:tcPr>
          <w:p>
            <w:pPr>
              <w:ind w:left="100"/>
              <w:spacing w:after="0"/>
              <w:rPr>
                <w:sz w:val="20"/>
                <w:szCs w:val="20"/>
                <w:color w:val="auto"/>
              </w:rPr>
            </w:pPr>
            <w:r>
              <w:rPr>
                <w:rFonts w:ascii="Arial" w:cs="Arial" w:eastAsia="Arial" w:hAnsi="Arial"/>
                <w:sz w:val="14"/>
                <w:szCs w:val="14"/>
                <w:color w:val="231F20"/>
              </w:rPr>
              <w:t>Present value of retiree medical benefits</w:t>
            </w:r>
          </w:p>
        </w:tc>
        <w:tc>
          <w:tcPr>
            <w:tcW w:w="1640" w:type="dxa"/>
            <w:vAlign w:val="bottom"/>
            <w:tcBorders>
              <w:bottom w:val="single" w:sz="8" w:color="231F20"/>
            </w:tcBorders>
          </w:tcPr>
          <w:p>
            <w:pPr>
              <w:jc w:val="right"/>
              <w:ind w:right="252"/>
              <w:spacing w:after="0"/>
              <w:rPr>
                <w:sz w:val="20"/>
                <w:szCs w:val="20"/>
                <w:color w:val="auto"/>
              </w:rPr>
            </w:pPr>
            <w:r>
              <w:rPr>
                <w:rFonts w:ascii="Arial" w:cs="Arial" w:eastAsia="Arial" w:hAnsi="Arial"/>
                <w:sz w:val="14"/>
                <w:szCs w:val="14"/>
                <w:color w:val="231F20"/>
              </w:rPr>
              <w:t>—</w:t>
            </w:r>
          </w:p>
        </w:tc>
        <w:tc>
          <w:tcPr>
            <w:tcW w:w="1380" w:type="dxa"/>
            <w:vAlign w:val="bottom"/>
            <w:tcBorders>
              <w:bottom w:val="single" w:sz="8" w:color="231F20"/>
            </w:tcBorders>
          </w:tcPr>
          <w:p>
            <w:pPr>
              <w:jc w:val="right"/>
              <w:ind w:right="272"/>
              <w:spacing w:after="0"/>
              <w:rPr>
                <w:sz w:val="20"/>
                <w:szCs w:val="20"/>
                <w:color w:val="auto"/>
              </w:rPr>
            </w:pPr>
            <w:r>
              <w:rPr>
                <w:rFonts w:ascii="Arial" w:cs="Arial" w:eastAsia="Arial" w:hAnsi="Arial"/>
                <w:sz w:val="14"/>
                <w:szCs w:val="14"/>
                <w:color w:val="231F20"/>
              </w:rPr>
              <w:t>—</w:t>
            </w:r>
          </w:p>
        </w:tc>
        <w:tc>
          <w:tcPr>
            <w:tcW w:w="1380" w:type="dxa"/>
            <w:vAlign w:val="bottom"/>
            <w:tcBorders>
              <w:bottom w:val="single" w:sz="8" w:color="231F20"/>
            </w:tcBorders>
          </w:tcPr>
          <w:p>
            <w:pPr>
              <w:jc w:val="right"/>
              <w:ind w:right="312"/>
              <w:spacing w:after="0"/>
              <w:rPr>
                <w:sz w:val="20"/>
                <w:szCs w:val="20"/>
                <w:color w:val="auto"/>
              </w:rPr>
            </w:pPr>
            <w:r>
              <w:rPr>
                <w:rFonts w:ascii="Arial" w:cs="Arial" w:eastAsia="Arial" w:hAnsi="Arial"/>
                <w:sz w:val="14"/>
                <w:szCs w:val="14"/>
                <w:color w:val="231F20"/>
              </w:rPr>
              <w:t>—</w:t>
            </w:r>
          </w:p>
        </w:tc>
        <w:tc>
          <w:tcPr>
            <w:tcW w:w="1300" w:type="dxa"/>
            <w:vAlign w:val="bottom"/>
            <w:tcBorders>
              <w:bottom w:val="single" w:sz="8" w:color="231F20"/>
            </w:tcBorders>
          </w:tcPr>
          <w:p>
            <w:pPr>
              <w:jc w:val="right"/>
              <w:ind w:right="272"/>
              <w:spacing w:after="0"/>
              <w:rPr>
                <w:sz w:val="20"/>
                <w:szCs w:val="20"/>
                <w:color w:val="auto"/>
              </w:rPr>
            </w:pPr>
            <w:r>
              <w:rPr>
                <w:rFonts w:ascii="Arial" w:cs="Arial" w:eastAsia="Arial" w:hAnsi="Arial"/>
                <w:sz w:val="14"/>
                <w:szCs w:val="14"/>
                <w:color w:val="231F20"/>
              </w:rPr>
              <w:t>—</w:t>
            </w:r>
          </w:p>
        </w:tc>
        <w:tc>
          <w:tcPr>
            <w:tcW w:w="1000" w:type="dxa"/>
            <w:vAlign w:val="bottom"/>
            <w:tcBorders>
              <w:bottom w:val="single" w:sz="8" w:color="231F20"/>
            </w:tcBorders>
          </w:tcPr>
          <w:p>
            <w:pPr>
              <w:jc w:val="right"/>
              <w:spacing w:after="0"/>
              <w:rPr>
                <w:sz w:val="20"/>
                <w:szCs w:val="20"/>
                <w:color w:val="auto"/>
              </w:rPr>
            </w:pPr>
            <w:r>
              <w:rPr>
                <w:rFonts w:ascii="Arial" w:cs="Arial" w:eastAsia="Arial" w:hAnsi="Arial"/>
                <w:sz w:val="14"/>
                <w:szCs w:val="14"/>
                <w:color w:val="231F20"/>
              </w:rPr>
              <w:t>—</w:t>
            </w:r>
          </w:p>
        </w:tc>
      </w:tr>
      <w:tr>
        <w:trPr>
          <w:trHeight w:val="200"/>
        </w:trPr>
        <w:tc>
          <w:tcPr>
            <w:tcW w:w="4540" w:type="dxa"/>
            <w:vAlign w:val="bottom"/>
            <w:tcBorders>
              <w:bottom w:val="single" w:sz="8" w:color="231F20"/>
            </w:tcBorders>
          </w:tcPr>
          <w:p>
            <w:pPr>
              <w:spacing w:after="0"/>
              <w:rPr>
                <w:sz w:val="20"/>
                <w:szCs w:val="20"/>
                <w:color w:val="auto"/>
              </w:rPr>
            </w:pPr>
            <w:r>
              <w:rPr>
                <w:rFonts w:ascii="Arial" w:cs="Arial" w:eastAsia="Arial" w:hAnsi="Arial"/>
                <w:sz w:val="14"/>
                <w:szCs w:val="14"/>
                <w:b w:val="1"/>
                <w:bCs w:val="1"/>
                <w:color w:val="455986"/>
              </w:rPr>
              <w:t>Total</w:t>
            </w:r>
          </w:p>
        </w:tc>
        <w:tc>
          <w:tcPr>
            <w:tcW w:w="1640" w:type="dxa"/>
            <w:vAlign w:val="bottom"/>
            <w:tcBorders>
              <w:bottom w:val="single" w:sz="8" w:color="231F20"/>
            </w:tcBorders>
          </w:tcPr>
          <w:p>
            <w:pPr>
              <w:jc w:val="right"/>
              <w:ind w:right="252"/>
              <w:spacing w:after="0"/>
              <w:rPr>
                <w:sz w:val="20"/>
                <w:szCs w:val="20"/>
                <w:color w:val="auto"/>
              </w:rPr>
            </w:pPr>
            <w:r>
              <w:rPr>
                <w:rFonts w:ascii="Arial" w:cs="Arial" w:eastAsia="Arial" w:hAnsi="Arial"/>
                <w:sz w:val="14"/>
                <w:szCs w:val="14"/>
                <w:color w:val="231F20"/>
              </w:rPr>
              <w:t>4,534,790</w:t>
            </w:r>
          </w:p>
        </w:tc>
        <w:tc>
          <w:tcPr>
            <w:tcW w:w="1380" w:type="dxa"/>
            <w:vAlign w:val="bottom"/>
            <w:tcBorders>
              <w:bottom w:val="single" w:sz="8" w:color="231F20"/>
            </w:tcBorders>
          </w:tcPr>
          <w:p>
            <w:pPr>
              <w:jc w:val="right"/>
              <w:ind w:right="272"/>
              <w:spacing w:after="0"/>
              <w:rPr>
                <w:sz w:val="20"/>
                <w:szCs w:val="20"/>
                <w:color w:val="auto"/>
              </w:rPr>
            </w:pPr>
            <w:r>
              <w:rPr>
                <w:rFonts w:ascii="Arial" w:cs="Arial" w:eastAsia="Arial" w:hAnsi="Arial"/>
                <w:sz w:val="14"/>
                <w:szCs w:val="14"/>
                <w:color w:val="231F20"/>
              </w:rPr>
              <w:t>1,039,192</w:t>
            </w:r>
          </w:p>
        </w:tc>
        <w:tc>
          <w:tcPr>
            <w:tcW w:w="1380" w:type="dxa"/>
            <w:vAlign w:val="bottom"/>
            <w:tcBorders>
              <w:bottom w:val="single" w:sz="8" w:color="231F20"/>
            </w:tcBorders>
          </w:tcPr>
          <w:p>
            <w:pPr>
              <w:jc w:val="right"/>
              <w:ind w:right="312"/>
              <w:spacing w:after="0"/>
              <w:rPr>
                <w:sz w:val="20"/>
                <w:szCs w:val="20"/>
                <w:color w:val="auto"/>
              </w:rPr>
            </w:pPr>
            <w:r>
              <w:rPr>
                <w:rFonts w:ascii="Arial" w:cs="Arial" w:eastAsia="Arial" w:hAnsi="Arial"/>
                <w:sz w:val="14"/>
                <w:szCs w:val="14"/>
                <w:color w:val="231F20"/>
              </w:rPr>
              <w:t>1,773,602</w:t>
            </w:r>
          </w:p>
        </w:tc>
        <w:tc>
          <w:tcPr>
            <w:tcW w:w="1300" w:type="dxa"/>
            <w:vAlign w:val="bottom"/>
            <w:tcBorders>
              <w:bottom w:val="single" w:sz="8" w:color="231F20"/>
            </w:tcBorders>
          </w:tcPr>
          <w:p>
            <w:pPr>
              <w:jc w:val="right"/>
              <w:ind w:right="272"/>
              <w:spacing w:after="0"/>
              <w:rPr>
                <w:sz w:val="20"/>
                <w:szCs w:val="20"/>
                <w:color w:val="auto"/>
              </w:rPr>
            </w:pPr>
            <w:r>
              <w:rPr>
                <w:rFonts w:ascii="Arial" w:cs="Arial" w:eastAsia="Arial" w:hAnsi="Arial"/>
                <w:sz w:val="14"/>
                <w:szCs w:val="14"/>
                <w:color w:val="231F20"/>
              </w:rPr>
              <w:t>2,747,058</w:t>
            </w:r>
          </w:p>
        </w:tc>
        <w:tc>
          <w:tcPr>
            <w:tcW w:w="1000" w:type="dxa"/>
            <w:vAlign w:val="bottom"/>
            <w:tcBorders>
              <w:bottom w:val="single" w:sz="8" w:color="231F20"/>
            </w:tcBorders>
          </w:tcPr>
          <w:p>
            <w:pPr>
              <w:jc w:val="right"/>
              <w:spacing w:after="0"/>
              <w:rPr>
                <w:sz w:val="20"/>
                <w:szCs w:val="20"/>
                <w:color w:val="auto"/>
              </w:rPr>
            </w:pPr>
            <w:r>
              <w:rPr>
                <w:rFonts w:ascii="Arial" w:cs="Arial" w:eastAsia="Arial" w:hAnsi="Arial"/>
                <w:sz w:val="14"/>
                <w:szCs w:val="14"/>
                <w:color w:val="231F20"/>
              </w:rPr>
              <w:t>2,747,058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113665</wp:posOffset>
            </wp:positionV>
            <wp:extent cx="7139940" cy="825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7139940" cy="8255"/>
                    </a:xfrm>
                    <a:prstGeom prst="rect">
                      <a:avLst/>
                    </a:prstGeom>
                    <a:noFill/>
                  </pic:spPr>
                </pic:pic>
              </a:graphicData>
            </a:graphic>
          </wp:anchor>
        </w:drawing>
      </w:r>
    </w:p>
    <w:p>
      <w:pPr>
        <w:spacing w:after="0" w:line="228" w:lineRule="exact"/>
        <w:rPr>
          <w:sz w:val="20"/>
          <w:szCs w:val="20"/>
          <w:color w:val="auto"/>
        </w:rPr>
      </w:pPr>
    </w:p>
    <w:p>
      <w:pPr>
        <w:ind w:left="300" w:hanging="298"/>
        <w:spacing w:after="0"/>
        <w:tabs>
          <w:tab w:leader="none" w:pos="300" w:val="left"/>
        </w:tabs>
        <w:numPr>
          <w:ilvl w:val="0"/>
          <w:numId w:val="148"/>
        </w:numPr>
        <w:rPr>
          <w:rFonts w:ascii="Arial" w:cs="Arial" w:eastAsia="Arial" w:hAnsi="Arial"/>
          <w:sz w:val="15"/>
          <w:szCs w:val="15"/>
          <w:color w:val="455986"/>
        </w:rPr>
      </w:pPr>
      <w:r>
        <w:rPr>
          <w:rFonts w:ascii="Arial" w:cs="Arial" w:eastAsia="Arial" w:hAnsi="Arial"/>
          <w:sz w:val="12"/>
          <w:szCs w:val="12"/>
          <w:color w:val="4395D4"/>
        </w:rPr>
        <w:t xml:space="preserve">ESSENTIAL UTILITIES, INC. </w:t>
      </w:r>
      <w:r>
        <w:rPr>
          <w:rFonts w:ascii="Arial" w:cs="Arial" w:eastAsia="Arial" w:hAnsi="Arial"/>
          <w:sz w:val="12"/>
          <w:szCs w:val="12"/>
          <w:color w:val="455986"/>
        </w:rPr>
        <w:t>2021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316230</wp:posOffset>
            </wp:positionV>
            <wp:extent cx="7139940" cy="24130"/>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7139940" cy="24130"/>
                    </a:xfrm>
                    <a:prstGeom prst="rect">
                      <a:avLst/>
                    </a:prstGeom>
                    <a:noFill/>
                  </pic:spPr>
                </pic:pic>
              </a:graphicData>
            </a:graphic>
          </wp:anchor>
        </w:drawing>
      </w:r>
    </w:p>
    <w:p>
      <w:pPr>
        <w:sectPr>
          <w:pgSz w:w="11900" w:h="16838" w:orient="portrait"/>
          <w:cols w:equalWidth="0" w:num="1">
            <w:col w:w="11240"/>
          </w:cols>
          <w:pgMar w:left="320" w:top="636" w:right="339" w:bottom="1440" w:gutter="0" w:footer="0" w:header="0"/>
        </w:sectPr>
      </w:pPr>
    </w:p>
    <w:bookmarkStart w:id="85" w:name="page86"/>
    <w:bookmarkEnd w:id="85"/>
    <w:p>
      <w:pPr>
        <w:spacing w:after="0"/>
        <w:rPr>
          <w:sz w:val="20"/>
          <w:szCs w:val="20"/>
          <w:color w:val="auto"/>
        </w:rPr>
      </w:pPr>
      <w:r>
        <w:rPr>
          <w:rFonts w:ascii="Arial" w:cs="Arial" w:eastAsia="Arial" w:hAnsi="Arial"/>
          <w:sz w:val="14"/>
          <w:szCs w:val="14"/>
          <w:b w:val="1"/>
          <w:bCs w:val="1"/>
          <w:color w:val="455986"/>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27940</wp:posOffset>
            </wp:positionV>
            <wp:extent cx="7139940" cy="825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7139940" cy="8255"/>
                    </a:xfrm>
                    <a:prstGeom prst="rect">
                      <a:avLst/>
                    </a:prstGeom>
                    <a:noFill/>
                  </pic:spPr>
                </pic:pic>
              </a:graphicData>
            </a:graphic>
          </wp:anchor>
        </w:drawing>
      </w:r>
    </w:p>
    <w:p>
      <w:pPr>
        <w:spacing w:after="0" w:line="76" w:lineRule="exact"/>
        <w:rPr>
          <w:sz w:val="20"/>
          <w:szCs w:val="20"/>
          <w:color w:val="auto"/>
        </w:rPr>
      </w:pPr>
    </w:p>
    <w:p>
      <w:pPr>
        <w:spacing w:after="0"/>
        <w:rPr>
          <w:sz w:val="20"/>
          <w:szCs w:val="20"/>
          <w:color w:val="auto"/>
        </w:rPr>
      </w:pPr>
      <w:r>
        <w:rPr>
          <w:rFonts w:ascii="Arial" w:cs="Arial" w:eastAsia="Arial" w:hAnsi="Arial"/>
          <w:sz w:val="14"/>
          <w:szCs w:val="14"/>
          <w:color w:val="231F20"/>
        </w:rPr>
        <w:t>Potential Payments Upon Termination or Change-In-Control</w:t>
      </w:r>
    </w:p>
    <w:p>
      <w:pPr>
        <w:spacing w:after="0" w:line="177" w:lineRule="exact"/>
        <w:rPr>
          <w:sz w:val="20"/>
          <w:szCs w:val="20"/>
          <w:color w:val="auto"/>
        </w:rPr>
      </w:pPr>
    </w:p>
    <w:p>
      <w:pPr>
        <w:spacing w:after="0"/>
        <w:rPr>
          <w:sz w:val="20"/>
          <w:szCs w:val="20"/>
          <w:color w:val="auto"/>
        </w:rPr>
      </w:pPr>
      <w:r>
        <w:rPr>
          <w:rFonts w:ascii="Arial" w:cs="Arial" w:eastAsia="Arial" w:hAnsi="Arial"/>
          <w:sz w:val="15"/>
          <w:szCs w:val="15"/>
          <w:b w:val="1"/>
          <w:bCs w:val="1"/>
          <w:color w:val="231F20"/>
        </w:rPr>
        <w:t>Richard S. Fox</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540" w:type="dxa"/>
            <w:vAlign w:val="bottom"/>
          </w:tcPr>
          <w:p>
            <w:pPr>
              <w:spacing w:after="0"/>
              <w:rPr>
                <w:sz w:val="14"/>
                <w:szCs w:val="14"/>
                <w:color w:val="auto"/>
              </w:rPr>
            </w:pPr>
          </w:p>
        </w:tc>
        <w:tc>
          <w:tcPr>
            <w:tcW w:w="1640" w:type="dxa"/>
            <w:vAlign w:val="bottom"/>
          </w:tcPr>
          <w:p>
            <w:pPr>
              <w:jc w:val="right"/>
              <w:ind w:right="252"/>
              <w:spacing w:after="0"/>
              <w:rPr>
                <w:sz w:val="20"/>
                <w:szCs w:val="20"/>
                <w:color w:val="auto"/>
              </w:rPr>
            </w:pPr>
            <w:r>
              <w:rPr>
                <w:rFonts w:ascii="Arial" w:cs="Arial" w:eastAsia="Arial" w:hAnsi="Arial"/>
                <w:sz w:val="14"/>
                <w:szCs w:val="14"/>
                <w:color w:val="455986"/>
              </w:rPr>
              <w:t>Change-in-Control</w:t>
            </w:r>
          </w:p>
        </w:tc>
        <w:tc>
          <w:tcPr>
            <w:tcW w:w="1380" w:type="dxa"/>
            <w:vAlign w:val="bottom"/>
          </w:tcPr>
          <w:p>
            <w:pPr>
              <w:jc w:val="right"/>
              <w:ind w:right="272"/>
              <w:spacing w:after="0"/>
              <w:rPr>
                <w:sz w:val="20"/>
                <w:szCs w:val="20"/>
                <w:color w:val="auto"/>
              </w:rPr>
            </w:pPr>
            <w:r>
              <w:rPr>
                <w:rFonts w:ascii="Arial" w:cs="Arial" w:eastAsia="Arial" w:hAnsi="Arial"/>
                <w:sz w:val="14"/>
                <w:szCs w:val="14"/>
                <w:color w:val="455986"/>
              </w:rPr>
              <w:t>Termination</w:t>
            </w:r>
          </w:p>
        </w:tc>
        <w:tc>
          <w:tcPr>
            <w:tcW w:w="1380" w:type="dxa"/>
            <w:vAlign w:val="bottom"/>
          </w:tcPr>
          <w:p>
            <w:pPr>
              <w:jc w:val="right"/>
              <w:ind w:right="312"/>
              <w:spacing w:after="0"/>
              <w:rPr>
                <w:sz w:val="20"/>
                <w:szCs w:val="20"/>
                <w:color w:val="auto"/>
              </w:rPr>
            </w:pPr>
            <w:r>
              <w:rPr>
                <w:rFonts w:ascii="Arial" w:cs="Arial" w:eastAsia="Arial" w:hAnsi="Arial"/>
                <w:sz w:val="14"/>
                <w:szCs w:val="14"/>
                <w:color w:val="455986"/>
              </w:rPr>
              <w:t>Retirement</w:t>
            </w:r>
          </w:p>
        </w:tc>
        <w:tc>
          <w:tcPr>
            <w:tcW w:w="1340" w:type="dxa"/>
            <w:vAlign w:val="bottom"/>
          </w:tcPr>
          <w:p>
            <w:pPr>
              <w:jc w:val="right"/>
              <w:ind w:right="312"/>
              <w:spacing w:after="0"/>
              <w:rPr>
                <w:sz w:val="20"/>
                <w:szCs w:val="20"/>
                <w:color w:val="auto"/>
              </w:rPr>
            </w:pPr>
            <w:r>
              <w:rPr>
                <w:rFonts w:ascii="Arial" w:cs="Arial" w:eastAsia="Arial" w:hAnsi="Arial"/>
                <w:sz w:val="14"/>
                <w:szCs w:val="14"/>
                <w:color w:val="455986"/>
              </w:rPr>
              <w:t>Death</w:t>
            </w:r>
          </w:p>
        </w:tc>
        <w:tc>
          <w:tcPr>
            <w:tcW w:w="960" w:type="dxa"/>
            <w:vAlign w:val="bottom"/>
          </w:tcPr>
          <w:p>
            <w:pPr>
              <w:jc w:val="right"/>
              <w:spacing w:after="0"/>
              <w:rPr>
                <w:sz w:val="20"/>
                <w:szCs w:val="20"/>
                <w:color w:val="auto"/>
              </w:rPr>
            </w:pPr>
            <w:r>
              <w:rPr>
                <w:rFonts w:ascii="Arial" w:cs="Arial" w:eastAsia="Arial" w:hAnsi="Arial"/>
                <w:sz w:val="14"/>
                <w:szCs w:val="14"/>
                <w:color w:val="455986"/>
              </w:rPr>
              <w:t>Disability</w:t>
            </w:r>
          </w:p>
        </w:tc>
      </w:tr>
      <w:tr>
        <w:trPr>
          <w:trHeight w:val="187"/>
        </w:trPr>
        <w:tc>
          <w:tcPr>
            <w:tcW w:w="4540" w:type="dxa"/>
            <w:vAlign w:val="bottom"/>
            <w:tcBorders>
              <w:bottom w:val="single" w:sz="8" w:color="4395D4"/>
            </w:tcBorders>
          </w:tcPr>
          <w:p>
            <w:pPr>
              <w:spacing w:after="0"/>
              <w:rPr>
                <w:sz w:val="20"/>
                <w:szCs w:val="20"/>
                <w:color w:val="auto"/>
              </w:rPr>
            </w:pPr>
            <w:r>
              <w:rPr>
                <w:rFonts w:ascii="Arial" w:cs="Arial" w:eastAsia="Arial" w:hAnsi="Arial"/>
                <w:sz w:val="14"/>
                <w:szCs w:val="14"/>
                <w:color w:val="455986"/>
              </w:rPr>
              <w:t>Payments and Benefits Upon Separation</w:t>
            </w:r>
          </w:p>
        </w:tc>
        <w:tc>
          <w:tcPr>
            <w:tcW w:w="1640" w:type="dxa"/>
            <w:vAlign w:val="bottom"/>
            <w:tcBorders>
              <w:bottom w:val="single" w:sz="8" w:color="4395D4"/>
            </w:tcBorders>
          </w:tcPr>
          <w:p>
            <w:pPr>
              <w:jc w:val="right"/>
              <w:ind w:right="252"/>
              <w:spacing w:after="0"/>
              <w:rPr>
                <w:sz w:val="20"/>
                <w:szCs w:val="20"/>
                <w:color w:val="auto"/>
              </w:rPr>
            </w:pPr>
            <w:r>
              <w:rPr>
                <w:rFonts w:ascii="Arial" w:cs="Arial" w:eastAsia="Arial" w:hAnsi="Arial"/>
                <w:sz w:val="14"/>
                <w:szCs w:val="14"/>
                <w:color w:val="455986"/>
              </w:rPr>
              <w:t>$</w:t>
            </w:r>
          </w:p>
        </w:tc>
        <w:tc>
          <w:tcPr>
            <w:tcW w:w="1380" w:type="dxa"/>
            <w:vAlign w:val="bottom"/>
            <w:tcBorders>
              <w:bottom w:val="single" w:sz="8" w:color="4395D4"/>
            </w:tcBorders>
          </w:tcPr>
          <w:p>
            <w:pPr>
              <w:jc w:val="right"/>
              <w:ind w:right="272"/>
              <w:spacing w:after="0"/>
              <w:rPr>
                <w:sz w:val="20"/>
                <w:szCs w:val="20"/>
                <w:color w:val="auto"/>
              </w:rPr>
            </w:pPr>
            <w:r>
              <w:rPr>
                <w:rFonts w:ascii="Arial" w:cs="Arial" w:eastAsia="Arial" w:hAnsi="Arial"/>
                <w:sz w:val="14"/>
                <w:szCs w:val="14"/>
                <w:color w:val="455986"/>
              </w:rPr>
              <w:t>$</w:t>
            </w:r>
          </w:p>
        </w:tc>
        <w:tc>
          <w:tcPr>
            <w:tcW w:w="1380" w:type="dxa"/>
            <w:vAlign w:val="bottom"/>
            <w:tcBorders>
              <w:bottom w:val="single" w:sz="8" w:color="4395D4"/>
            </w:tcBorders>
          </w:tcPr>
          <w:p>
            <w:pPr>
              <w:jc w:val="right"/>
              <w:ind w:right="312"/>
              <w:spacing w:after="0"/>
              <w:rPr>
                <w:sz w:val="20"/>
                <w:szCs w:val="20"/>
                <w:color w:val="auto"/>
              </w:rPr>
            </w:pPr>
            <w:r>
              <w:rPr>
                <w:rFonts w:ascii="Arial" w:cs="Arial" w:eastAsia="Arial" w:hAnsi="Arial"/>
                <w:sz w:val="14"/>
                <w:szCs w:val="14"/>
                <w:color w:val="455986"/>
              </w:rPr>
              <w:t>$</w:t>
            </w:r>
          </w:p>
        </w:tc>
        <w:tc>
          <w:tcPr>
            <w:tcW w:w="1340" w:type="dxa"/>
            <w:vAlign w:val="bottom"/>
            <w:tcBorders>
              <w:bottom w:val="single" w:sz="8" w:color="4395D4"/>
            </w:tcBorders>
          </w:tcPr>
          <w:p>
            <w:pPr>
              <w:jc w:val="right"/>
              <w:ind w:right="312"/>
              <w:spacing w:after="0"/>
              <w:rPr>
                <w:sz w:val="20"/>
                <w:szCs w:val="20"/>
                <w:color w:val="auto"/>
              </w:rPr>
            </w:pPr>
            <w:r>
              <w:rPr>
                <w:rFonts w:ascii="Arial" w:cs="Arial" w:eastAsia="Arial" w:hAnsi="Arial"/>
                <w:sz w:val="14"/>
                <w:szCs w:val="14"/>
                <w:color w:val="455986"/>
              </w:rPr>
              <w:t>$</w:t>
            </w:r>
          </w:p>
        </w:tc>
        <w:tc>
          <w:tcPr>
            <w:tcW w:w="960" w:type="dxa"/>
            <w:vAlign w:val="bottom"/>
            <w:tcBorders>
              <w:bottom w:val="single" w:sz="8" w:color="4395D4"/>
            </w:tcBorders>
          </w:tcPr>
          <w:p>
            <w:pPr>
              <w:jc w:val="right"/>
              <w:spacing w:after="0"/>
              <w:rPr>
                <w:sz w:val="20"/>
                <w:szCs w:val="20"/>
                <w:color w:val="auto"/>
              </w:rPr>
            </w:pPr>
            <w:r>
              <w:rPr>
                <w:rFonts w:ascii="Arial" w:cs="Arial" w:eastAsia="Arial" w:hAnsi="Arial"/>
                <w:sz w:val="14"/>
                <w:szCs w:val="14"/>
                <w:color w:val="455986"/>
              </w:rPr>
              <w:t>$</w:t>
            </w:r>
          </w:p>
        </w:tc>
      </w:tr>
      <w:tr>
        <w:trPr>
          <w:trHeight w:val="200"/>
        </w:trPr>
        <w:tc>
          <w:tcPr>
            <w:tcW w:w="4540" w:type="dxa"/>
            <w:vAlign w:val="bottom"/>
            <w:tcBorders>
              <w:bottom w:val="single" w:sz="8" w:color="231F20"/>
            </w:tcBorders>
          </w:tcPr>
          <w:p>
            <w:pPr>
              <w:spacing w:after="0"/>
              <w:rPr>
                <w:sz w:val="20"/>
                <w:szCs w:val="20"/>
                <w:color w:val="auto"/>
              </w:rPr>
            </w:pPr>
            <w:r>
              <w:rPr>
                <w:rFonts w:ascii="Arial" w:cs="Arial" w:eastAsia="Arial" w:hAnsi="Arial"/>
                <w:sz w:val="14"/>
                <w:szCs w:val="14"/>
                <w:b w:val="1"/>
                <w:bCs w:val="1"/>
                <w:color w:val="455986"/>
              </w:rPr>
              <w:t>Triggered Payments and Benefits</w:t>
            </w:r>
          </w:p>
        </w:tc>
        <w:tc>
          <w:tcPr>
            <w:tcW w:w="1640" w:type="dxa"/>
            <w:vAlign w:val="bottom"/>
            <w:tcBorders>
              <w:bottom w:val="single" w:sz="8" w:color="231F20"/>
            </w:tcBorders>
          </w:tcPr>
          <w:p>
            <w:pPr>
              <w:spacing w:after="0"/>
              <w:rPr>
                <w:sz w:val="17"/>
                <w:szCs w:val="17"/>
                <w:color w:val="auto"/>
              </w:rPr>
            </w:pPr>
          </w:p>
        </w:tc>
        <w:tc>
          <w:tcPr>
            <w:tcW w:w="1380" w:type="dxa"/>
            <w:vAlign w:val="bottom"/>
            <w:tcBorders>
              <w:bottom w:val="single" w:sz="8" w:color="231F20"/>
            </w:tcBorders>
          </w:tcPr>
          <w:p>
            <w:pPr>
              <w:spacing w:after="0"/>
              <w:rPr>
                <w:sz w:val="17"/>
                <w:szCs w:val="17"/>
                <w:color w:val="auto"/>
              </w:rPr>
            </w:pPr>
          </w:p>
        </w:tc>
        <w:tc>
          <w:tcPr>
            <w:tcW w:w="1380" w:type="dxa"/>
            <w:vAlign w:val="bottom"/>
            <w:tcBorders>
              <w:bottom w:val="single" w:sz="8" w:color="231F20"/>
            </w:tcBorders>
          </w:tcPr>
          <w:p>
            <w:pPr>
              <w:spacing w:after="0"/>
              <w:rPr>
                <w:sz w:val="17"/>
                <w:szCs w:val="17"/>
                <w:color w:val="auto"/>
              </w:rPr>
            </w:pPr>
          </w:p>
        </w:tc>
        <w:tc>
          <w:tcPr>
            <w:tcW w:w="1340" w:type="dxa"/>
            <w:vAlign w:val="bottom"/>
            <w:tcBorders>
              <w:bottom w:val="single" w:sz="8" w:color="231F20"/>
            </w:tcBorders>
          </w:tcPr>
          <w:p>
            <w:pPr>
              <w:spacing w:after="0"/>
              <w:rPr>
                <w:sz w:val="17"/>
                <w:szCs w:val="17"/>
                <w:color w:val="auto"/>
              </w:rPr>
            </w:pPr>
          </w:p>
        </w:tc>
        <w:tc>
          <w:tcPr>
            <w:tcW w:w="960" w:type="dxa"/>
            <w:vAlign w:val="bottom"/>
            <w:tcBorders>
              <w:bottom w:val="single" w:sz="8" w:color="231F20"/>
            </w:tcBorders>
          </w:tcPr>
          <w:p>
            <w:pPr>
              <w:spacing w:after="0"/>
              <w:rPr>
                <w:sz w:val="17"/>
                <w:szCs w:val="17"/>
                <w:color w:val="auto"/>
              </w:rPr>
            </w:pPr>
          </w:p>
        </w:tc>
      </w:tr>
      <w:tr>
        <w:trPr>
          <w:trHeight w:val="194"/>
        </w:trPr>
        <w:tc>
          <w:tcPr>
            <w:tcW w:w="4540" w:type="dxa"/>
            <w:vAlign w:val="bottom"/>
            <w:tcBorders>
              <w:bottom w:val="single" w:sz="8" w:color="231F20"/>
            </w:tcBorders>
          </w:tcPr>
          <w:p>
            <w:pPr>
              <w:ind w:left="100"/>
              <w:spacing w:after="0"/>
              <w:rPr>
                <w:sz w:val="20"/>
                <w:szCs w:val="20"/>
                <w:color w:val="auto"/>
              </w:rPr>
            </w:pPr>
            <w:r>
              <w:rPr>
                <w:rFonts w:ascii="Arial" w:cs="Arial" w:eastAsia="Arial" w:hAnsi="Arial"/>
                <w:sz w:val="14"/>
                <w:szCs w:val="14"/>
                <w:color w:val="231F20"/>
              </w:rPr>
              <w:t>Severance Payment</w:t>
            </w:r>
          </w:p>
        </w:tc>
        <w:tc>
          <w:tcPr>
            <w:tcW w:w="1640" w:type="dxa"/>
            <w:vAlign w:val="bottom"/>
            <w:tcBorders>
              <w:bottom w:val="single" w:sz="8" w:color="231F20"/>
            </w:tcBorders>
          </w:tcPr>
          <w:p>
            <w:pPr>
              <w:jc w:val="right"/>
              <w:ind w:right="252"/>
              <w:spacing w:after="0"/>
              <w:rPr>
                <w:sz w:val="20"/>
                <w:szCs w:val="20"/>
                <w:color w:val="auto"/>
              </w:rPr>
            </w:pPr>
            <w:r>
              <w:rPr>
                <w:rFonts w:ascii="Arial" w:cs="Arial" w:eastAsia="Arial" w:hAnsi="Arial"/>
                <w:sz w:val="14"/>
                <w:szCs w:val="14"/>
                <w:color w:val="231F20"/>
              </w:rPr>
              <w:t>1,659,688</w:t>
            </w:r>
          </w:p>
        </w:tc>
        <w:tc>
          <w:tcPr>
            <w:tcW w:w="1380" w:type="dxa"/>
            <w:vAlign w:val="bottom"/>
            <w:tcBorders>
              <w:bottom w:val="single" w:sz="8" w:color="231F20"/>
            </w:tcBorders>
          </w:tcPr>
          <w:p>
            <w:pPr>
              <w:jc w:val="right"/>
              <w:ind w:right="272"/>
              <w:spacing w:after="0"/>
              <w:rPr>
                <w:sz w:val="20"/>
                <w:szCs w:val="20"/>
                <w:color w:val="auto"/>
              </w:rPr>
            </w:pPr>
            <w:r>
              <w:rPr>
                <w:rFonts w:ascii="Arial" w:cs="Arial" w:eastAsia="Arial" w:hAnsi="Arial"/>
                <w:sz w:val="14"/>
                <w:szCs w:val="14"/>
                <w:color w:val="231F20"/>
              </w:rPr>
              <w:t>714,207</w:t>
            </w:r>
          </w:p>
        </w:tc>
        <w:tc>
          <w:tcPr>
            <w:tcW w:w="1380" w:type="dxa"/>
            <w:vAlign w:val="bottom"/>
            <w:tcBorders>
              <w:bottom w:val="single" w:sz="8" w:color="231F20"/>
            </w:tcBorders>
          </w:tcPr>
          <w:p>
            <w:pPr>
              <w:jc w:val="right"/>
              <w:ind w:right="312"/>
              <w:spacing w:after="0"/>
              <w:rPr>
                <w:sz w:val="20"/>
                <w:szCs w:val="20"/>
                <w:color w:val="auto"/>
              </w:rPr>
            </w:pPr>
            <w:r>
              <w:rPr>
                <w:rFonts w:ascii="Arial" w:cs="Arial" w:eastAsia="Arial" w:hAnsi="Arial"/>
                <w:sz w:val="14"/>
                <w:szCs w:val="14"/>
                <w:color w:val="231F20"/>
              </w:rPr>
              <w:t>—</w:t>
            </w:r>
          </w:p>
        </w:tc>
        <w:tc>
          <w:tcPr>
            <w:tcW w:w="1340" w:type="dxa"/>
            <w:vAlign w:val="bottom"/>
            <w:tcBorders>
              <w:bottom w:val="single" w:sz="8" w:color="231F20"/>
            </w:tcBorders>
          </w:tcPr>
          <w:p>
            <w:pPr>
              <w:jc w:val="right"/>
              <w:ind w:right="312"/>
              <w:spacing w:after="0"/>
              <w:rPr>
                <w:sz w:val="20"/>
                <w:szCs w:val="20"/>
                <w:color w:val="auto"/>
              </w:rPr>
            </w:pPr>
            <w:r>
              <w:rPr>
                <w:rFonts w:ascii="Arial" w:cs="Arial" w:eastAsia="Arial" w:hAnsi="Arial"/>
                <w:sz w:val="14"/>
                <w:szCs w:val="14"/>
                <w:color w:val="231F20"/>
              </w:rPr>
              <w:t>—</w:t>
            </w:r>
          </w:p>
        </w:tc>
        <w:tc>
          <w:tcPr>
            <w:tcW w:w="960" w:type="dxa"/>
            <w:vAlign w:val="bottom"/>
            <w:tcBorders>
              <w:bottom w:val="single" w:sz="8" w:color="231F20"/>
            </w:tcBorders>
          </w:tcPr>
          <w:p>
            <w:pPr>
              <w:jc w:val="right"/>
              <w:spacing w:after="0"/>
              <w:rPr>
                <w:sz w:val="20"/>
                <w:szCs w:val="20"/>
                <w:color w:val="auto"/>
              </w:rPr>
            </w:pPr>
            <w:r>
              <w:rPr>
                <w:rFonts w:ascii="Arial" w:cs="Arial" w:eastAsia="Arial" w:hAnsi="Arial"/>
                <w:sz w:val="14"/>
                <w:szCs w:val="14"/>
                <w:color w:val="231F20"/>
              </w:rPr>
              <w:t>—</w:t>
            </w:r>
          </w:p>
        </w:tc>
      </w:tr>
      <w:tr>
        <w:trPr>
          <w:trHeight w:val="197"/>
        </w:trPr>
        <w:tc>
          <w:tcPr>
            <w:tcW w:w="4540" w:type="dxa"/>
            <w:vAlign w:val="bottom"/>
            <w:tcBorders>
              <w:bottom w:val="single" w:sz="8" w:color="231F20"/>
            </w:tcBorders>
          </w:tcPr>
          <w:p>
            <w:pPr>
              <w:ind w:left="100"/>
              <w:spacing w:after="0"/>
              <w:rPr>
                <w:sz w:val="20"/>
                <w:szCs w:val="20"/>
                <w:color w:val="auto"/>
              </w:rPr>
            </w:pPr>
            <w:r>
              <w:rPr>
                <w:rFonts w:ascii="Arial" w:cs="Arial" w:eastAsia="Arial" w:hAnsi="Arial"/>
                <w:sz w:val="14"/>
                <w:szCs w:val="14"/>
                <w:color w:val="231F20"/>
              </w:rPr>
              <w:t>Prorated current year bonus</w:t>
            </w:r>
          </w:p>
        </w:tc>
        <w:tc>
          <w:tcPr>
            <w:tcW w:w="1640" w:type="dxa"/>
            <w:vAlign w:val="bottom"/>
            <w:tcBorders>
              <w:bottom w:val="single" w:sz="8" w:color="231F20"/>
            </w:tcBorders>
          </w:tcPr>
          <w:p>
            <w:pPr>
              <w:jc w:val="right"/>
              <w:ind w:right="252"/>
              <w:spacing w:after="0"/>
              <w:rPr>
                <w:sz w:val="20"/>
                <w:szCs w:val="20"/>
                <w:color w:val="auto"/>
              </w:rPr>
            </w:pPr>
            <w:r>
              <w:rPr>
                <w:rFonts w:ascii="Arial" w:cs="Arial" w:eastAsia="Arial" w:hAnsi="Arial"/>
                <w:sz w:val="14"/>
                <w:szCs w:val="14"/>
                <w:color w:val="231F20"/>
              </w:rPr>
              <w:t>281,354</w:t>
            </w:r>
          </w:p>
        </w:tc>
        <w:tc>
          <w:tcPr>
            <w:tcW w:w="1380" w:type="dxa"/>
            <w:vAlign w:val="bottom"/>
            <w:tcBorders>
              <w:bottom w:val="single" w:sz="8" w:color="231F20"/>
            </w:tcBorders>
          </w:tcPr>
          <w:p>
            <w:pPr>
              <w:jc w:val="right"/>
              <w:ind w:right="272"/>
              <w:spacing w:after="0"/>
              <w:rPr>
                <w:sz w:val="20"/>
                <w:szCs w:val="20"/>
                <w:color w:val="auto"/>
              </w:rPr>
            </w:pPr>
            <w:r>
              <w:rPr>
                <w:rFonts w:ascii="Arial" w:cs="Arial" w:eastAsia="Arial" w:hAnsi="Arial"/>
                <w:sz w:val="14"/>
                <w:szCs w:val="14"/>
                <w:color w:val="231F20"/>
              </w:rPr>
              <w:t>281,354</w:t>
            </w:r>
          </w:p>
        </w:tc>
        <w:tc>
          <w:tcPr>
            <w:tcW w:w="1380" w:type="dxa"/>
            <w:vAlign w:val="bottom"/>
            <w:tcBorders>
              <w:bottom w:val="single" w:sz="8" w:color="231F20"/>
            </w:tcBorders>
          </w:tcPr>
          <w:p>
            <w:pPr>
              <w:jc w:val="right"/>
              <w:ind w:right="312"/>
              <w:spacing w:after="0"/>
              <w:rPr>
                <w:sz w:val="20"/>
                <w:szCs w:val="20"/>
                <w:color w:val="auto"/>
              </w:rPr>
            </w:pPr>
            <w:r>
              <w:rPr>
                <w:rFonts w:ascii="Arial" w:cs="Arial" w:eastAsia="Arial" w:hAnsi="Arial"/>
                <w:sz w:val="14"/>
                <w:szCs w:val="14"/>
                <w:color w:val="231F20"/>
              </w:rPr>
              <w:t>281,354</w:t>
            </w:r>
          </w:p>
        </w:tc>
        <w:tc>
          <w:tcPr>
            <w:tcW w:w="1340" w:type="dxa"/>
            <w:vAlign w:val="bottom"/>
            <w:tcBorders>
              <w:bottom w:val="single" w:sz="8" w:color="231F20"/>
            </w:tcBorders>
          </w:tcPr>
          <w:p>
            <w:pPr>
              <w:jc w:val="right"/>
              <w:ind w:right="312"/>
              <w:spacing w:after="0"/>
              <w:rPr>
                <w:sz w:val="20"/>
                <w:szCs w:val="20"/>
                <w:color w:val="auto"/>
              </w:rPr>
            </w:pPr>
            <w:r>
              <w:rPr>
                <w:rFonts w:ascii="Arial" w:cs="Arial" w:eastAsia="Arial" w:hAnsi="Arial"/>
                <w:sz w:val="14"/>
                <w:szCs w:val="14"/>
                <w:color w:val="231F20"/>
              </w:rPr>
              <w:t>281,354</w:t>
            </w:r>
          </w:p>
        </w:tc>
        <w:tc>
          <w:tcPr>
            <w:tcW w:w="960" w:type="dxa"/>
            <w:vAlign w:val="bottom"/>
            <w:tcBorders>
              <w:bottom w:val="single" w:sz="8" w:color="231F20"/>
            </w:tcBorders>
          </w:tcPr>
          <w:p>
            <w:pPr>
              <w:jc w:val="right"/>
              <w:spacing w:after="0"/>
              <w:rPr>
                <w:sz w:val="20"/>
                <w:szCs w:val="20"/>
                <w:color w:val="auto"/>
              </w:rPr>
            </w:pPr>
            <w:r>
              <w:rPr>
                <w:rFonts w:ascii="Arial" w:cs="Arial" w:eastAsia="Arial" w:hAnsi="Arial"/>
                <w:sz w:val="14"/>
                <w:szCs w:val="14"/>
                <w:color w:val="231F20"/>
              </w:rPr>
              <w:t>281,354</w:t>
            </w:r>
          </w:p>
        </w:tc>
      </w:tr>
      <w:tr>
        <w:trPr>
          <w:trHeight w:val="197"/>
        </w:trPr>
        <w:tc>
          <w:tcPr>
            <w:tcW w:w="4540" w:type="dxa"/>
            <w:vAlign w:val="bottom"/>
            <w:tcBorders>
              <w:bottom w:val="single" w:sz="8" w:color="231F20"/>
            </w:tcBorders>
          </w:tcPr>
          <w:p>
            <w:pPr>
              <w:ind w:left="100"/>
              <w:spacing w:after="0"/>
              <w:rPr>
                <w:sz w:val="20"/>
                <w:szCs w:val="20"/>
                <w:color w:val="auto"/>
              </w:rPr>
            </w:pPr>
            <w:r>
              <w:rPr>
                <w:rFonts w:ascii="Arial" w:cs="Arial" w:eastAsia="Arial" w:hAnsi="Arial"/>
                <w:sz w:val="14"/>
                <w:szCs w:val="14"/>
                <w:color w:val="231F20"/>
              </w:rPr>
              <w:t>Payment of accrued dividend equivalents</w:t>
            </w:r>
          </w:p>
        </w:tc>
        <w:tc>
          <w:tcPr>
            <w:tcW w:w="1640" w:type="dxa"/>
            <w:vAlign w:val="bottom"/>
            <w:tcBorders>
              <w:bottom w:val="single" w:sz="8" w:color="231F20"/>
            </w:tcBorders>
          </w:tcPr>
          <w:p>
            <w:pPr>
              <w:jc w:val="right"/>
              <w:ind w:right="252"/>
              <w:spacing w:after="0"/>
              <w:rPr>
                <w:sz w:val="20"/>
                <w:szCs w:val="20"/>
                <w:color w:val="auto"/>
              </w:rPr>
            </w:pPr>
            <w:r>
              <w:rPr>
                <w:rFonts w:ascii="Arial" w:cs="Arial" w:eastAsia="Arial" w:hAnsi="Arial"/>
                <w:sz w:val="14"/>
                <w:szCs w:val="14"/>
                <w:color w:val="231F20"/>
              </w:rPr>
              <w:t>48,545</w:t>
            </w:r>
          </w:p>
        </w:tc>
        <w:tc>
          <w:tcPr>
            <w:tcW w:w="1380" w:type="dxa"/>
            <w:vAlign w:val="bottom"/>
            <w:tcBorders>
              <w:bottom w:val="single" w:sz="8" w:color="231F20"/>
            </w:tcBorders>
          </w:tcPr>
          <w:p>
            <w:pPr>
              <w:jc w:val="right"/>
              <w:ind w:right="272"/>
              <w:spacing w:after="0"/>
              <w:rPr>
                <w:sz w:val="20"/>
                <w:szCs w:val="20"/>
                <w:color w:val="auto"/>
              </w:rPr>
            </w:pPr>
            <w:r>
              <w:rPr>
                <w:rFonts w:ascii="Arial" w:cs="Arial" w:eastAsia="Arial" w:hAnsi="Arial"/>
                <w:sz w:val="14"/>
                <w:szCs w:val="14"/>
                <w:color w:val="231F20"/>
              </w:rPr>
              <w:t>—</w:t>
            </w:r>
          </w:p>
        </w:tc>
        <w:tc>
          <w:tcPr>
            <w:tcW w:w="1380" w:type="dxa"/>
            <w:vAlign w:val="bottom"/>
            <w:tcBorders>
              <w:bottom w:val="single" w:sz="8" w:color="231F20"/>
            </w:tcBorders>
          </w:tcPr>
          <w:p>
            <w:pPr>
              <w:jc w:val="right"/>
              <w:ind w:right="312"/>
              <w:spacing w:after="0"/>
              <w:rPr>
                <w:sz w:val="20"/>
                <w:szCs w:val="20"/>
                <w:color w:val="auto"/>
              </w:rPr>
            </w:pPr>
            <w:r>
              <w:rPr>
                <w:rFonts w:ascii="Arial" w:cs="Arial" w:eastAsia="Arial" w:hAnsi="Arial"/>
                <w:sz w:val="14"/>
                <w:szCs w:val="14"/>
                <w:color w:val="231F20"/>
              </w:rPr>
              <w:t>35,265</w:t>
            </w:r>
          </w:p>
        </w:tc>
        <w:tc>
          <w:tcPr>
            <w:tcW w:w="1340" w:type="dxa"/>
            <w:vAlign w:val="bottom"/>
            <w:tcBorders>
              <w:bottom w:val="single" w:sz="8" w:color="231F20"/>
            </w:tcBorders>
          </w:tcPr>
          <w:p>
            <w:pPr>
              <w:jc w:val="right"/>
              <w:ind w:right="312"/>
              <w:spacing w:after="0"/>
              <w:rPr>
                <w:sz w:val="20"/>
                <w:szCs w:val="20"/>
                <w:color w:val="auto"/>
              </w:rPr>
            </w:pPr>
            <w:r>
              <w:rPr>
                <w:rFonts w:ascii="Arial" w:cs="Arial" w:eastAsia="Arial" w:hAnsi="Arial"/>
                <w:sz w:val="14"/>
                <w:szCs w:val="14"/>
                <w:color w:val="231F20"/>
              </w:rPr>
              <w:t>48,545</w:t>
            </w:r>
          </w:p>
        </w:tc>
        <w:tc>
          <w:tcPr>
            <w:tcW w:w="960" w:type="dxa"/>
            <w:vAlign w:val="bottom"/>
            <w:tcBorders>
              <w:bottom w:val="single" w:sz="8" w:color="231F20"/>
            </w:tcBorders>
          </w:tcPr>
          <w:p>
            <w:pPr>
              <w:jc w:val="right"/>
              <w:spacing w:after="0"/>
              <w:rPr>
                <w:sz w:val="20"/>
                <w:szCs w:val="20"/>
                <w:color w:val="auto"/>
              </w:rPr>
            </w:pPr>
            <w:r>
              <w:rPr>
                <w:rFonts w:ascii="Arial" w:cs="Arial" w:eastAsia="Arial" w:hAnsi="Arial"/>
                <w:sz w:val="14"/>
                <w:szCs w:val="14"/>
                <w:color w:val="231F20"/>
              </w:rPr>
              <w:t>48.545</w:t>
            </w:r>
          </w:p>
        </w:tc>
      </w:tr>
      <w:tr>
        <w:trPr>
          <w:trHeight w:val="197"/>
        </w:trPr>
        <w:tc>
          <w:tcPr>
            <w:tcW w:w="4540" w:type="dxa"/>
            <w:vAlign w:val="bottom"/>
            <w:tcBorders>
              <w:bottom w:val="single" w:sz="8" w:color="231F20"/>
            </w:tcBorders>
          </w:tcPr>
          <w:p>
            <w:pPr>
              <w:ind w:left="100"/>
              <w:spacing w:after="0"/>
              <w:rPr>
                <w:sz w:val="20"/>
                <w:szCs w:val="20"/>
                <w:color w:val="auto"/>
              </w:rPr>
            </w:pPr>
            <w:r>
              <w:rPr>
                <w:rFonts w:ascii="Arial" w:cs="Arial" w:eastAsia="Arial" w:hAnsi="Arial"/>
                <w:sz w:val="14"/>
                <w:szCs w:val="14"/>
                <w:color w:val="231F20"/>
              </w:rPr>
              <w:t>Vesting of restricted stock</w:t>
            </w:r>
          </w:p>
        </w:tc>
        <w:tc>
          <w:tcPr>
            <w:tcW w:w="1640" w:type="dxa"/>
            <w:vAlign w:val="bottom"/>
            <w:tcBorders>
              <w:bottom w:val="single" w:sz="8" w:color="231F20"/>
            </w:tcBorders>
          </w:tcPr>
          <w:p>
            <w:pPr>
              <w:jc w:val="right"/>
              <w:ind w:right="252"/>
              <w:spacing w:after="0"/>
              <w:rPr>
                <w:sz w:val="20"/>
                <w:szCs w:val="20"/>
                <w:color w:val="auto"/>
              </w:rPr>
            </w:pPr>
            <w:r>
              <w:rPr>
                <w:rFonts w:ascii="Arial" w:cs="Arial" w:eastAsia="Arial" w:hAnsi="Arial"/>
                <w:sz w:val="14"/>
                <w:szCs w:val="14"/>
                <w:color w:val="231F20"/>
              </w:rPr>
              <w:t>141,303</w:t>
            </w:r>
          </w:p>
        </w:tc>
        <w:tc>
          <w:tcPr>
            <w:tcW w:w="1380" w:type="dxa"/>
            <w:vAlign w:val="bottom"/>
            <w:tcBorders>
              <w:bottom w:val="single" w:sz="8" w:color="231F20"/>
            </w:tcBorders>
          </w:tcPr>
          <w:p>
            <w:pPr>
              <w:jc w:val="right"/>
              <w:ind w:right="272"/>
              <w:spacing w:after="0"/>
              <w:rPr>
                <w:sz w:val="20"/>
                <w:szCs w:val="20"/>
                <w:color w:val="auto"/>
              </w:rPr>
            </w:pPr>
            <w:r>
              <w:rPr>
                <w:rFonts w:ascii="Arial" w:cs="Arial" w:eastAsia="Arial" w:hAnsi="Arial"/>
                <w:sz w:val="14"/>
                <w:szCs w:val="14"/>
                <w:color w:val="231F20"/>
              </w:rPr>
              <w:t>—</w:t>
            </w:r>
          </w:p>
        </w:tc>
        <w:tc>
          <w:tcPr>
            <w:tcW w:w="1380" w:type="dxa"/>
            <w:vAlign w:val="bottom"/>
            <w:tcBorders>
              <w:bottom w:val="single" w:sz="8" w:color="231F20"/>
            </w:tcBorders>
          </w:tcPr>
          <w:p>
            <w:pPr>
              <w:jc w:val="right"/>
              <w:ind w:right="312"/>
              <w:spacing w:after="0"/>
              <w:rPr>
                <w:sz w:val="20"/>
                <w:szCs w:val="20"/>
                <w:color w:val="auto"/>
              </w:rPr>
            </w:pPr>
            <w:r>
              <w:rPr>
                <w:rFonts w:ascii="Arial" w:cs="Arial" w:eastAsia="Arial" w:hAnsi="Arial"/>
                <w:sz w:val="14"/>
                <w:szCs w:val="14"/>
                <w:color w:val="231F20"/>
              </w:rPr>
              <w:t>117,752</w:t>
            </w:r>
          </w:p>
        </w:tc>
        <w:tc>
          <w:tcPr>
            <w:tcW w:w="1340" w:type="dxa"/>
            <w:vAlign w:val="bottom"/>
            <w:tcBorders>
              <w:bottom w:val="single" w:sz="8" w:color="231F20"/>
            </w:tcBorders>
          </w:tcPr>
          <w:p>
            <w:pPr>
              <w:jc w:val="right"/>
              <w:ind w:right="312"/>
              <w:spacing w:after="0"/>
              <w:rPr>
                <w:sz w:val="20"/>
                <w:szCs w:val="20"/>
                <w:color w:val="auto"/>
              </w:rPr>
            </w:pPr>
            <w:r>
              <w:rPr>
                <w:rFonts w:ascii="Arial" w:cs="Arial" w:eastAsia="Arial" w:hAnsi="Arial"/>
                <w:sz w:val="14"/>
                <w:szCs w:val="14"/>
                <w:color w:val="231F20"/>
              </w:rPr>
              <w:t>141,303</w:t>
            </w:r>
          </w:p>
        </w:tc>
        <w:tc>
          <w:tcPr>
            <w:tcW w:w="960" w:type="dxa"/>
            <w:vAlign w:val="bottom"/>
            <w:tcBorders>
              <w:bottom w:val="single" w:sz="8" w:color="231F20"/>
            </w:tcBorders>
          </w:tcPr>
          <w:p>
            <w:pPr>
              <w:jc w:val="right"/>
              <w:spacing w:after="0"/>
              <w:rPr>
                <w:sz w:val="20"/>
                <w:szCs w:val="20"/>
                <w:color w:val="auto"/>
              </w:rPr>
            </w:pPr>
            <w:r>
              <w:rPr>
                <w:rFonts w:ascii="Arial" w:cs="Arial" w:eastAsia="Arial" w:hAnsi="Arial"/>
                <w:sz w:val="14"/>
                <w:szCs w:val="14"/>
                <w:color w:val="231F20"/>
              </w:rPr>
              <w:t>141,303</w:t>
            </w:r>
          </w:p>
        </w:tc>
      </w:tr>
      <w:tr>
        <w:trPr>
          <w:trHeight w:val="197"/>
        </w:trPr>
        <w:tc>
          <w:tcPr>
            <w:tcW w:w="4540" w:type="dxa"/>
            <w:vAlign w:val="bottom"/>
            <w:tcBorders>
              <w:bottom w:val="single" w:sz="8" w:color="231F20"/>
            </w:tcBorders>
          </w:tcPr>
          <w:p>
            <w:pPr>
              <w:ind w:left="100"/>
              <w:spacing w:after="0"/>
              <w:rPr>
                <w:sz w:val="20"/>
                <w:szCs w:val="20"/>
                <w:color w:val="auto"/>
              </w:rPr>
            </w:pPr>
            <w:r>
              <w:rPr>
                <w:rFonts w:ascii="Arial" w:cs="Arial" w:eastAsia="Arial" w:hAnsi="Arial"/>
                <w:sz w:val="14"/>
                <w:szCs w:val="14"/>
                <w:color w:val="231F20"/>
              </w:rPr>
              <w:t>Vesting of restricted share units</w:t>
            </w:r>
          </w:p>
        </w:tc>
        <w:tc>
          <w:tcPr>
            <w:tcW w:w="1640" w:type="dxa"/>
            <w:vAlign w:val="bottom"/>
            <w:tcBorders>
              <w:bottom w:val="single" w:sz="8" w:color="231F20"/>
            </w:tcBorders>
          </w:tcPr>
          <w:p>
            <w:pPr>
              <w:jc w:val="right"/>
              <w:ind w:right="252"/>
              <w:spacing w:after="0"/>
              <w:rPr>
                <w:sz w:val="20"/>
                <w:szCs w:val="20"/>
                <w:color w:val="auto"/>
              </w:rPr>
            </w:pPr>
            <w:r>
              <w:rPr>
                <w:rFonts w:ascii="Arial" w:cs="Arial" w:eastAsia="Arial" w:hAnsi="Arial"/>
                <w:sz w:val="14"/>
                <w:szCs w:val="14"/>
                <w:color w:val="231F20"/>
              </w:rPr>
              <w:t>518,440</w:t>
            </w:r>
          </w:p>
        </w:tc>
        <w:tc>
          <w:tcPr>
            <w:tcW w:w="1380" w:type="dxa"/>
            <w:vAlign w:val="bottom"/>
            <w:tcBorders>
              <w:bottom w:val="single" w:sz="8" w:color="231F20"/>
            </w:tcBorders>
          </w:tcPr>
          <w:p>
            <w:pPr>
              <w:jc w:val="right"/>
              <w:ind w:right="272"/>
              <w:spacing w:after="0"/>
              <w:rPr>
                <w:sz w:val="20"/>
                <w:szCs w:val="20"/>
                <w:color w:val="auto"/>
              </w:rPr>
            </w:pPr>
            <w:r>
              <w:rPr>
                <w:rFonts w:ascii="Arial" w:cs="Arial" w:eastAsia="Arial" w:hAnsi="Arial"/>
                <w:sz w:val="14"/>
                <w:szCs w:val="14"/>
                <w:color w:val="231F20"/>
              </w:rPr>
              <w:t>—</w:t>
            </w:r>
          </w:p>
        </w:tc>
        <w:tc>
          <w:tcPr>
            <w:tcW w:w="1380" w:type="dxa"/>
            <w:vAlign w:val="bottom"/>
            <w:tcBorders>
              <w:bottom w:val="single" w:sz="8" w:color="231F20"/>
            </w:tcBorders>
          </w:tcPr>
          <w:p>
            <w:pPr>
              <w:jc w:val="right"/>
              <w:ind w:right="312"/>
              <w:spacing w:after="0"/>
              <w:rPr>
                <w:sz w:val="20"/>
                <w:szCs w:val="20"/>
                <w:color w:val="auto"/>
              </w:rPr>
            </w:pPr>
            <w:r>
              <w:rPr>
                <w:rFonts w:ascii="Arial" w:cs="Arial" w:eastAsia="Arial" w:hAnsi="Arial"/>
                <w:sz w:val="14"/>
                <w:szCs w:val="14"/>
                <w:color w:val="231F20"/>
              </w:rPr>
              <w:t>303,977</w:t>
            </w:r>
          </w:p>
        </w:tc>
        <w:tc>
          <w:tcPr>
            <w:tcW w:w="1340" w:type="dxa"/>
            <w:vAlign w:val="bottom"/>
            <w:tcBorders>
              <w:bottom w:val="single" w:sz="8" w:color="231F20"/>
            </w:tcBorders>
          </w:tcPr>
          <w:p>
            <w:pPr>
              <w:jc w:val="right"/>
              <w:ind w:right="312"/>
              <w:spacing w:after="0"/>
              <w:rPr>
                <w:sz w:val="20"/>
                <w:szCs w:val="20"/>
                <w:color w:val="auto"/>
              </w:rPr>
            </w:pPr>
            <w:r>
              <w:rPr>
                <w:rFonts w:ascii="Arial" w:cs="Arial" w:eastAsia="Arial" w:hAnsi="Arial"/>
                <w:sz w:val="14"/>
                <w:szCs w:val="14"/>
                <w:color w:val="231F20"/>
              </w:rPr>
              <w:t>518,440</w:t>
            </w:r>
          </w:p>
        </w:tc>
        <w:tc>
          <w:tcPr>
            <w:tcW w:w="960" w:type="dxa"/>
            <w:vAlign w:val="bottom"/>
            <w:tcBorders>
              <w:bottom w:val="single" w:sz="8" w:color="231F20"/>
            </w:tcBorders>
          </w:tcPr>
          <w:p>
            <w:pPr>
              <w:jc w:val="right"/>
              <w:spacing w:after="0"/>
              <w:rPr>
                <w:sz w:val="20"/>
                <w:szCs w:val="20"/>
                <w:color w:val="auto"/>
              </w:rPr>
            </w:pPr>
            <w:r>
              <w:rPr>
                <w:rFonts w:ascii="Arial" w:cs="Arial" w:eastAsia="Arial" w:hAnsi="Arial"/>
                <w:sz w:val="14"/>
                <w:szCs w:val="14"/>
                <w:color w:val="231F20"/>
              </w:rPr>
              <w:t>518,440</w:t>
            </w:r>
          </w:p>
        </w:tc>
      </w:tr>
      <w:tr>
        <w:trPr>
          <w:trHeight w:val="197"/>
        </w:trPr>
        <w:tc>
          <w:tcPr>
            <w:tcW w:w="4540" w:type="dxa"/>
            <w:vAlign w:val="bottom"/>
            <w:tcBorders>
              <w:bottom w:val="single" w:sz="8" w:color="231F20"/>
            </w:tcBorders>
          </w:tcPr>
          <w:p>
            <w:pPr>
              <w:ind w:left="100"/>
              <w:spacing w:after="0"/>
              <w:rPr>
                <w:sz w:val="20"/>
                <w:szCs w:val="20"/>
                <w:color w:val="auto"/>
              </w:rPr>
            </w:pPr>
            <w:r>
              <w:rPr>
                <w:rFonts w:ascii="Arial" w:cs="Arial" w:eastAsia="Arial" w:hAnsi="Arial"/>
                <w:sz w:val="14"/>
                <w:szCs w:val="14"/>
                <w:color w:val="231F20"/>
              </w:rPr>
              <w:t>Vesting of performance share units</w:t>
            </w:r>
          </w:p>
        </w:tc>
        <w:tc>
          <w:tcPr>
            <w:tcW w:w="1640" w:type="dxa"/>
            <w:vAlign w:val="bottom"/>
            <w:tcBorders>
              <w:bottom w:val="single" w:sz="8" w:color="231F20"/>
            </w:tcBorders>
          </w:tcPr>
          <w:p>
            <w:pPr>
              <w:jc w:val="right"/>
              <w:ind w:right="252"/>
              <w:spacing w:after="0"/>
              <w:rPr>
                <w:sz w:val="20"/>
                <w:szCs w:val="20"/>
                <w:color w:val="auto"/>
              </w:rPr>
            </w:pPr>
            <w:r>
              <w:rPr>
                <w:rFonts w:ascii="Arial" w:cs="Arial" w:eastAsia="Arial" w:hAnsi="Arial"/>
                <w:sz w:val="14"/>
                <w:szCs w:val="14"/>
                <w:color w:val="231F20"/>
              </w:rPr>
              <w:t>1,036,306</w:t>
            </w:r>
          </w:p>
        </w:tc>
        <w:tc>
          <w:tcPr>
            <w:tcW w:w="1380" w:type="dxa"/>
            <w:vAlign w:val="bottom"/>
            <w:tcBorders>
              <w:bottom w:val="single" w:sz="8" w:color="231F20"/>
            </w:tcBorders>
          </w:tcPr>
          <w:p>
            <w:pPr>
              <w:jc w:val="right"/>
              <w:ind w:right="272"/>
              <w:spacing w:after="0"/>
              <w:rPr>
                <w:sz w:val="20"/>
                <w:szCs w:val="20"/>
                <w:color w:val="auto"/>
              </w:rPr>
            </w:pPr>
            <w:r>
              <w:rPr>
                <w:rFonts w:ascii="Arial" w:cs="Arial" w:eastAsia="Arial" w:hAnsi="Arial"/>
                <w:sz w:val="14"/>
                <w:szCs w:val="14"/>
                <w:color w:val="231F20"/>
              </w:rPr>
              <w:t>—</w:t>
            </w:r>
          </w:p>
        </w:tc>
        <w:tc>
          <w:tcPr>
            <w:tcW w:w="1380" w:type="dxa"/>
            <w:vAlign w:val="bottom"/>
            <w:tcBorders>
              <w:bottom w:val="single" w:sz="8" w:color="231F20"/>
            </w:tcBorders>
          </w:tcPr>
          <w:p>
            <w:pPr>
              <w:jc w:val="right"/>
              <w:ind w:right="312"/>
              <w:spacing w:after="0"/>
              <w:rPr>
                <w:sz w:val="20"/>
                <w:szCs w:val="20"/>
                <w:color w:val="auto"/>
              </w:rPr>
            </w:pPr>
            <w:r>
              <w:rPr>
                <w:rFonts w:ascii="Arial" w:cs="Arial" w:eastAsia="Arial" w:hAnsi="Arial"/>
                <w:sz w:val="14"/>
                <w:szCs w:val="14"/>
                <w:color w:val="231F20"/>
              </w:rPr>
              <w:t>422,178</w:t>
            </w:r>
          </w:p>
        </w:tc>
        <w:tc>
          <w:tcPr>
            <w:tcW w:w="1340" w:type="dxa"/>
            <w:vAlign w:val="bottom"/>
            <w:tcBorders>
              <w:bottom w:val="single" w:sz="8" w:color="231F20"/>
            </w:tcBorders>
          </w:tcPr>
          <w:p>
            <w:pPr>
              <w:jc w:val="right"/>
              <w:ind w:right="312"/>
              <w:spacing w:after="0"/>
              <w:rPr>
                <w:sz w:val="20"/>
                <w:szCs w:val="20"/>
                <w:color w:val="auto"/>
              </w:rPr>
            </w:pPr>
            <w:r>
              <w:rPr>
                <w:rFonts w:ascii="Arial" w:cs="Arial" w:eastAsia="Arial" w:hAnsi="Arial"/>
                <w:sz w:val="14"/>
                <w:szCs w:val="14"/>
                <w:color w:val="231F20"/>
              </w:rPr>
              <w:t>1,036,306</w:t>
            </w:r>
          </w:p>
        </w:tc>
        <w:tc>
          <w:tcPr>
            <w:tcW w:w="960" w:type="dxa"/>
            <w:vAlign w:val="bottom"/>
            <w:tcBorders>
              <w:bottom w:val="single" w:sz="8" w:color="231F20"/>
            </w:tcBorders>
          </w:tcPr>
          <w:p>
            <w:pPr>
              <w:jc w:val="right"/>
              <w:spacing w:after="0"/>
              <w:rPr>
                <w:sz w:val="20"/>
                <w:szCs w:val="20"/>
                <w:color w:val="auto"/>
              </w:rPr>
            </w:pPr>
            <w:r>
              <w:rPr>
                <w:rFonts w:ascii="Arial" w:cs="Arial" w:eastAsia="Arial" w:hAnsi="Arial"/>
                <w:sz w:val="14"/>
                <w:szCs w:val="14"/>
                <w:color w:val="231F20"/>
              </w:rPr>
              <w:t>1,036,306</w:t>
            </w:r>
          </w:p>
        </w:tc>
      </w:tr>
      <w:tr>
        <w:trPr>
          <w:trHeight w:val="197"/>
        </w:trPr>
        <w:tc>
          <w:tcPr>
            <w:tcW w:w="4540" w:type="dxa"/>
            <w:vAlign w:val="bottom"/>
            <w:tcBorders>
              <w:bottom w:val="single" w:sz="8" w:color="231F20"/>
            </w:tcBorders>
          </w:tcPr>
          <w:p>
            <w:pPr>
              <w:ind w:left="100"/>
              <w:spacing w:after="0"/>
              <w:rPr>
                <w:sz w:val="20"/>
                <w:szCs w:val="20"/>
                <w:color w:val="auto"/>
              </w:rPr>
            </w:pPr>
            <w:r>
              <w:rPr>
                <w:rFonts w:ascii="Arial" w:cs="Arial" w:eastAsia="Arial" w:hAnsi="Arial"/>
                <w:sz w:val="14"/>
                <w:szCs w:val="14"/>
                <w:color w:val="231F20"/>
              </w:rPr>
              <w:t>Vesting of stock options</w:t>
            </w:r>
          </w:p>
        </w:tc>
        <w:tc>
          <w:tcPr>
            <w:tcW w:w="1640" w:type="dxa"/>
            <w:vAlign w:val="bottom"/>
            <w:tcBorders>
              <w:bottom w:val="single" w:sz="8" w:color="231F20"/>
            </w:tcBorders>
          </w:tcPr>
          <w:p>
            <w:pPr>
              <w:jc w:val="right"/>
              <w:ind w:right="252"/>
              <w:spacing w:after="0"/>
              <w:rPr>
                <w:sz w:val="20"/>
                <w:szCs w:val="20"/>
                <w:color w:val="auto"/>
              </w:rPr>
            </w:pPr>
            <w:r>
              <w:rPr>
                <w:rFonts w:ascii="Arial" w:cs="Arial" w:eastAsia="Arial" w:hAnsi="Arial"/>
                <w:sz w:val="14"/>
                <w:szCs w:val="14"/>
                <w:color w:val="231F20"/>
              </w:rPr>
              <w:t>752,952</w:t>
            </w:r>
          </w:p>
        </w:tc>
        <w:tc>
          <w:tcPr>
            <w:tcW w:w="1380" w:type="dxa"/>
            <w:vAlign w:val="bottom"/>
            <w:tcBorders>
              <w:bottom w:val="single" w:sz="8" w:color="231F20"/>
            </w:tcBorders>
          </w:tcPr>
          <w:p>
            <w:pPr>
              <w:jc w:val="right"/>
              <w:ind w:right="272"/>
              <w:spacing w:after="0"/>
              <w:rPr>
                <w:sz w:val="20"/>
                <w:szCs w:val="20"/>
                <w:color w:val="auto"/>
              </w:rPr>
            </w:pPr>
            <w:r>
              <w:rPr>
                <w:rFonts w:ascii="Arial" w:cs="Arial" w:eastAsia="Arial" w:hAnsi="Arial"/>
                <w:sz w:val="14"/>
                <w:szCs w:val="14"/>
                <w:color w:val="231F20"/>
              </w:rPr>
              <w:t>—</w:t>
            </w:r>
          </w:p>
        </w:tc>
        <w:tc>
          <w:tcPr>
            <w:tcW w:w="1380" w:type="dxa"/>
            <w:vAlign w:val="bottom"/>
            <w:tcBorders>
              <w:bottom w:val="single" w:sz="8" w:color="231F20"/>
            </w:tcBorders>
          </w:tcPr>
          <w:p>
            <w:pPr>
              <w:jc w:val="right"/>
              <w:ind w:right="312"/>
              <w:spacing w:after="0"/>
              <w:rPr>
                <w:sz w:val="20"/>
                <w:szCs w:val="20"/>
                <w:color w:val="auto"/>
              </w:rPr>
            </w:pPr>
            <w:r>
              <w:rPr>
                <w:rFonts w:ascii="Arial" w:cs="Arial" w:eastAsia="Arial" w:hAnsi="Arial"/>
                <w:sz w:val="14"/>
                <w:szCs w:val="14"/>
                <w:color w:val="231F20"/>
              </w:rPr>
              <w:t>498,222</w:t>
            </w:r>
          </w:p>
        </w:tc>
        <w:tc>
          <w:tcPr>
            <w:tcW w:w="1340" w:type="dxa"/>
            <w:vAlign w:val="bottom"/>
            <w:tcBorders>
              <w:bottom w:val="single" w:sz="8" w:color="231F20"/>
            </w:tcBorders>
          </w:tcPr>
          <w:p>
            <w:pPr>
              <w:jc w:val="right"/>
              <w:ind w:right="312"/>
              <w:spacing w:after="0"/>
              <w:rPr>
                <w:sz w:val="20"/>
                <w:szCs w:val="20"/>
                <w:color w:val="auto"/>
              </w:rPr>
            </w:pPr>
            <w:r>
              <w:rPr>
                <w:rFonts w:ascii="Arial" w:cs="Arial" w:eastAsia="Arial" w:hAnsi="Arial"/>
                <w:sz w:val="14"/>
                <w:szCs w:val="14"/>
                <w:color w:val="231F20"/>
              </w:rPr>
              <w:t>752,952</w:t>
            </w:r>
          </w:p>
        </w:tc>
        <w:tc>
          <w:tcPr>
            <w:tcW w:w="960" w:type="dxa"/>
            <w:vAlign w:val="bottom"/>
            <w:tcBorders>
              <w:bottom w:val="single" w:sz="8" w:color="231F20"/>
            </w:tcBorders>
          </w:tcPr>
          <w:p>
            <w:pPr>
              <w:jc w:val="right"/>
              <w:spacing w:after="0"/>
              <w:rPr>
                <w:sz w:val="20"/>
                <w:szCs w:val="20"/>
                <w:color w:val="auto"/>
              </w:rPr>
            </w:pPr>
            <w:r>
              <w:rPr>
                <w:rFonts w:ascii="Arial" w:cs="Arial" w:eastAsia="Arial" w:hAnsi="Arial"/>
                <w:sz w:val="14"/>
                <w:szCs w:val="14"/>
                <w:color w:val="231F20"/>
              </w:rPr>
              <w:t>752,952</w:t>
            </w:r>
          </w:p>
        </w:tc>
      </w:tr>
      <w:tr>
        <w:trPr>
          <w:trHeight w:val="197"/>
        </w:trPr>
        <w:tc>
          <w:tcPr>
            <w:tcW w:w="4540" w:type="dxa"/>
            <w:vAlign w:val="bottom"/>
            <w:tcBorders>
              <w:bottom w:val="single" w:sz="8" w:color="231F20"/>
            </w:tcBorders>
          </w:tcPr>
          <w:p>
            <w:pPr>
              <w:ind w:left="100"/>
              <w:spacing w:after="0"/>
              <w:rPr>
                <w:sz w:val="20"/>
                <w:szCs w:val="20"/>
                <w:color w:val="auto"/>
              </w:rPr>
            </w:pPr>
            <w:r>
              <w:rPr>
                <w:rFonts w:ascii="Arial" w:cs="Arial" w:eastAsia="Arial" w:hAnsi="Arial"/>
                <w:sz w:val="14"/>
                <w:szCs w:val="14"/>
                <w:color w:val="231F20"/>
              </w:rPr>
              <w:t>Continuation of welfare benefits</w:t>
            </w:r>
          </w:p>
        </w:tc>
        <w:tc>
          <w:tcPr>
            <w:tcW w:w="1640" w:type="dxa"/>
            <w:vAlign w:val="bottom"/>
            <w:tcBorders>
              <w:bottom w:val="single" w:sz="8" w:color="231F20"/>
            </w:tcBorders>
          </w:tcPr>
          <w:p>
            <w:pPr>
              <w:jc w:val="right"/>
              <w:ind w:right="252"/>
              <w:spacing w:after="0"/>
              <w:rPr>
                <w:sz w:val="20"/>
                <w:szCs w:val="20"/>
                <w:color w:val="auto"/>
              </w:rPr>
            </w:pPr>
            <w:r>
              <w:rPr>
                <w:rFonts w:ascii="Arial" w:cs="Arial" w:eastAsia="Arial" w:hAnsi="Arial"/>
                <w:sz w:val="14"/>
                <w:szCs w:val="14"/>
                <w:color w:val="231F20"/>
              </w:rPr>
              <w:t>42,222</w:t>
            </w:r>
          </w:p>
        </w:tc>
        <w:tc>
          <w:tcPr>
            <w:tcW w:w="1380" w:type="dxa"/>
            <w:vAlign w:val="bottom"/>
            <w:tcBorders>
              <w:bottom w:val="single" w:sz="8" w:color="231F20"/>
            </w:tcBorders>
          </w:tcPr>
          <w:p>
            <w:pPr>
              <w:jc w:val="right"/>
              <w:ind w:right="272"/>
              <w:spacing w:after="0"/>
              <w:rPr>
                <w:sz w:val="20"/>
                <w:szCs w:val="20"/>
                <w:color w:val="auto"/>
              </w:rPr>
            </w:pPr>
            <w:r>
              <w:rPr>
                <w:rFonts w:ascii="Arial" w:cs="Arial" w:eastAsia="Arial" w:hAnsi="Arial"/>
                <w:sz w:val="14"/>
                <w:szCs w:val="14"/>
                <w:color w:val="231F20"/>
              </w:rPr>
              <w:t>10,298</w:t>
            </w:r>
          </w:p>
        </w:tc>
        <w:tc>
          <w:tcPr>
            <w:tcW w:w="1380" w:type="dxa"/>
            <w:vAlign w:val="bottom"/>
            <w:tcBorders>
              <w:bottom w:val="single" w:sz="8" w:color="231F20"/>
            </w:tcBorders>
          </w:tcPr>
          <w:p>
            <w:pPr>
              <w:jc w:val="right"/>
              <w:ind w:right="312"/>
              <w:spacing w:after="0"/>
              <w:rPr>
                <w:sz w:val="20"/>
                <w:szCs w:val="20"/>
                <w:color w:val="auto"/>
              </w:rPr>
            </w:pPr>
            <w:r>
              <w:rPr>
                <w:rFonts w:ascii="Arial" w:cs="Arial" w:eastAsia="Arial" w:hAnsi="Arial"/>
                <w:sz w:val="14"/>
                <w:szCs w:val="14"/>
                <w:color w:val="231F20"/>
              </w:rPr>
              <w:t>—</w:t>
            </w:r>
          </w:p>
        </w:tc>
        <w:tc>
          <w:tcPr>
            <w:tcW w:w="1340" w:type="dxa"/>
            <w:vAlign w:val="bottom"/>
            <w:tcBorders>
              <w:bottom w:val="single" w:sz="8" w:color="231F20"/>
            </w:tcBorders>
          </w:tcPr>
          <w:p>
            <w:pPr>
              <w:jc w:val="right"/>
              <w:ind w:right="312"/>
              <w:spacing w:after="0"/>
              <w:rPr>
                <w:sz w:val="20"/>
                <w:szCs w:val="20"/>
                <w:color w:val="auto"/>
              </w:rPr>
            </w:pPr>
            <w:r>
              <w:rPr>
                <w:rFonts w:ascii="Arial" w:cs="Arial" w:eastAsia="Arial" w:hAnsi="Arial"/>
                <w:sz w:val="14"/>
                <w:szCs w:val="14"/>
                <w:color w:val="231F20"/>
              </w:rPr>
              <w:t>—</w:t>
            </w:r>
          </w:p>
        </w:tc>
        <w:tc>
          <w:tcPr>
            <w:tcW w:w="960" w:type="dxa"/>
            <w:vAlign w:val="bottom"/>
            <w:tcBorders>
              <w:bottom w:val="single" w:sz="8" w:color="231F20"/>
            </w:tcBorders>
          </w:tcPr>
          <w:p>
            <w:pPr>
              <w:jc w:val="right"/>
              <w:spacing w:after="0"/>
              <w:rPr>
                <w:sz w:val="20"/>
                <w:szCs w:val="20"/>
                <w:color w:val="auto"/>
              </w:rPr>
            </w:pPr>
            <w:r>
              <w:rPr>
                <w:rFonts w:ascii="Arial" w:cs="Arial" w:eastAsia="Arial" w:hAnsi="Arial"/>
                <w:sz w:val="14"/>
                <w:szCs w:val="14"/>
                <w:color w:val="231F20"/>
              </w:rPr>
              <w:t>—</w:t>
            </w:r>
          </w:p>
        </w:tc>
      </w:tr>
      <w:tr>
        <w:trPr>
          <w:trHeight w:val="200"/>
        </w:trPr>
        <w:tc>
          <w:tcPr>
            <w:tcW w:w="4540" w:type="dxa"/>
            <w:vAlign w:val="bottom"/>
            <w:tcBorders>
              <w:bottom w:val="single" w:sz="8" w:color="231F20"/>
            </w:tcBorders>
          </w:tcPr>
          <w:p>
            <w:pPr>
              <w:spacing w:after="0"/>
              <w:rPr>
                <w:sz w:val="20"/>
                <w:szCs w:val="20"/>
                <w:color w:val="auto"/>
              </w:rPr>
            </w:pPr>
            <w:r>
              <w:rPr>
                <w:rFonts w:ascii="Arial" w:cs="Arial" w:eastAsia="Arial" w:hAnsi="Arial"/>
                <w:sz w:val="14"/>
                <w:szCs w:val="14"/>
                <w:b w:val="1"/>
                <w:bCs w:val="1"/>
                <w:color w:val="455986"/>
              </w:rPr>
              <w:t>Outplacement services</w:t>
            </w:r>
          </w:p>
        </w:tc>
        <w:tc>
          <w:tcPr>
            <w:tcW w:w="1640" w:type="dxa"/>
            <w:vAlign w:val="bottom"/>
            <w:tcBorders>
              <w:bottom w:val="single" w:sz="8" w:color="231F20"/>
            </w:tcBorders>
          </w:tcPr>
          <w:p>
            <w:pPr>
              <w:jc w:val="right"/>
              <w:ind w:right="252"/>
              <w:spacing w:after="0"/>
              <w:rPr>
                <w:sz w:val="20"/>
                <w:szCs w:val="20"/>
                <w:color w:val="auto"/>
              </w:rPr>
            </w:pPr>
            <w:r>
              <w:rPr>
                <w:rFonts w:ascii="Arial" w:cs="Arial" w:eastAsia="Arial" w:hAnsi="Arial"/>
                <w:sz w:val="14"/>
                <w:szCs w:val="14"/>
                <w:color w:val="231F20"/>
              </w:rPr>
              <w:t>20,000</w:t>
            </w:r>
          </w:p>
        </w:tc>
        <w:tc>
          <w:tcPr>
            <w:tcW w:w="1380" w:type="dxa"/>
            <w:vAlign w:val="bottom"/>
            <w:tcBorders>
              <w:bottom w:val="single" w:sz="8" w:color="231F20"/>
            </w:tcBorders>
          </w:tcPr>
          <w:p>
            <w:pPr>
              <w:jc w:val="right"/>
              <w:ind w:right="272"/>
              <w:spacing w:after="0"/>
              <w:rPr>
                <w:sz w:val="20"/>
                <w:szCs w:val="20"/>
                <w:color w:val="auto"/>
              </w:rPr>
            </w:pPr>
            <w:r>
              <w:rPr>
                <w:rFonts w:ascii="Arial" w:cs="Arial" w:eastAsia="Arial" w:hAnsi="Arial"/>
                <w:sz w:val="14"/>
                <w:szCs w:val="14"/>
                <w:color w:val="231F20"/>
              </w:rPr>
              <w:t>—</w:t>
            </w:r>
          </w:p>
        </w:tc>
        <w:tc>
          <w:tcPr>
            <w:tcW w:w="1380" w:type="dxa"/>
            <w:vAlign w:val="bottom"/>
            <w:tcBorders>
              <w:bottom w:val="single" w:sz="8" w:color="231F20"/>
            </w:tcBorders>
          </w:tcPr>
          <w:p>
            <w:pPr>
              <w:jc w:val="right"/>
              <w:ind w:right="312"/>
              <w:spacing w:after="0"/>
              <w:rPr>
                <w:sz w:val="20"/>
                <w:szCs w:val="20"/>
                <w:color w:val="auto"/>
              </w:rPr>
            </w:pPr>
            <w:r>
              <w:rPr>
                <w:rFonts w:ascii="Arial" w:cs="Arial" w:eastAsia="Arial" w:hAnsi="Arial"/>
                <w:sz w:val="14"/>
                <w:szCs w:val="14"/>
                <w:color w:val="231F20"/>
              </w:rPr>
              <w:t>—</w:t>
            </w:r>
          </w:p>
        </w:tc>
        <w:tc>
          <w:tcPr>
            <w:tcW w:w="1340" w:type="dxa"/>
            <w:vAlign w:val="bottom"/>
            <w:tcBorders>
              <w:bottom w:val="single" w:sz="8" w:color="231F20"/>
            </w:tcBorders>
          </w:tcPr>
          <w:p>
            <w:pPr>
              <w:jc w:val="right"/>
              <w:ind w:right="312"/>
              <w:spacing w:after="0"/>
              <w:rPr>
                <w:sz w:val="20"/>
                <w:szCs w:val="20"/>
                <w:color w:val="auto"/>
              </w:rPr>
            </w:pPr>
            <w:r>
              <w:rPr>
                <w:rFonts w:ascii="Arial" w:cs="Arial" w:eastAsia="Arial" w:hAnsi="Arial"/>
                <w:sz w:val="14"/>
                <w:szCs w:val="14"/>
                <w:color w:val="231F20"/>
              </w:rPr>
              <w:t>—</w:t>
            </w:r>
          </w:p>
        </w:tc>
        <w:tc>
          <w:tcPr>
            <w:tcW w:w="960" w:type="dxa"/>
            <w:vAlign w:val="bottom"/>
            <w:tcBorders>
              <w:bottom w:val="single" w:sz="8" w:color="231F20"/>
            </w:tcBorders>
          </w:tcPr>
          <w:p>
            <w:pPr>
              <w:jc w:val="right"/>
              <w:spacing w:after="0"/>
              <w:rPr>
                <w:sz w:val="20"/>
                <w:szCs w:val="20"/>
                <w:color w:val="auto"/>
              </w:rPr>
            </w:pPr>
            <w:r>
              <w:rPr>
                <w:rFonts w:ascii="Arial" w:cs="Arial" w:eastAsia="Arial" w:hAnsi="Arial"/>
                <w:sz w:val="14"/>
                <w:szCs w:val="14"/>
                <w:color w:val="231F20"/>
              </w:rPr>
              <w:t>—</w:t>
            </w:r>
          </w:p>
        </w:tc>
      </w:tr>
      <w:tr>
        <w:trPr>
          <w:trHeight w:val="197"/>
        </w:trPr>
        <w:tc>
          <w:tcPr>
            <w:tcW w:w="4540" w:type="dxa"/>
            <w:vAlign w:val="bottom"/>
            <w:tcBorders>
              <w:bottom w:val="single" w:sz="8" w:color="231F20"/>
            </w:tcBorders>
          </w:tcPr>
          <w:p>
            <w:pPr>
              <w:spacing w:after="0"/>
              <w:rPr>
                <w:sz w:val="20"/>
                <w:szCs w:val="20"/>
                <w:color w:val="auto"/>
              </w:rPr>
            </w:pPr>
            <w:r>
              <w:rPr>
                <w:rFonts w:ascii="Arial" w:cs="Arial" w:eastAsia="Arial" w:hAnsi="Arial"/>
                <w:sz w:val="14"/>
                <w:szCs w:val="14"/>
                <w:b w:val="1"/>
                <w:bCs w:val="1"/>
                <w:color w:val="455986"/>
              </w:rPr>
              <w:t>Vested Retirement Benefits</w:t>
            </w:r>
          </w:p>
        </w:tc>
        <w:tc>
          <w:tcPr>
            <w:tcW w:w="1640" w:type="dxa"/>
            <w:vAlign w:val="bottom"/>
            <w:tcBorders>
              <w:bottom w:val="single" w:sz="8" w:color="231F20"/>
            </w:tcBorders>
          </w:tcPr>
          <w:p>
            <w:pPr>
              <w:spacing w:after="0"/>
              <w:rPr>
                <w:sz w:val="17"/>
                <w:szCs w:val="17"/>
                <w:color w:val="auto"/>
              </w:rPr>
            </w:pPr>
          </w:p>
        </w:tc>
        <w:tc>
          <w:tcPr>
            <w:tcW w:w="1380" w:type="dxa"/>
            <w:vAlign w:val="bottom"/>
            <w:tcBorders>
              <w:bottom w:val="single" w:sz="8" w:color="231F20"/>
            </w:tcBorders>
          </w:tcPr>
          <w:p>
            <w:pPr>
              <w:spacing w:after="0"/>
              <w:rPr>
                <w:sz w:val="17"/>
                <w:szCs w:val="17"/>
                <w:color w:val="auto"/>
              </w:rPr>
            </w:pPr>
          </w:p>
        </w:tc>
        <w:tc>
          <w:tcPr>
            <w:tcW w:w="1380" w:type="dxa"/>
            <w:vAlign w:val="bottom"/>
            <w:tcBorders>
              <w:bottom w:val="single" w:sz="8" w:color="231F20"/>
            </w:tcBorders>
          </w:tcPr>
          <w:p>
            <w:pPr>
              <w:spacing w:after="0"/>
              <w:rPr>
                <w:sz w:val="17"/>
                <w:szCs w:val="17"/>
                <w:color w:val="auto"/>
              </w:rPr>
            </w:pPr>
          </w:p>
        </w:tc>
        <w:tc>
          <w:tcPr>
            <w:tcW w:w="1340" w:type="dxa"/>
            <w:vAlign w:val="bottom"/>
            <w:tcBorders>
              <w:bottom w:val="single" w:sz="8" w:color="231F20"/>
            </w:tcBorders>
          </w:tcPr>
          <w:p>
            <w:pPr>
              <w:spacing w:after="0"/>
              <w:rPr>
                <w:sz w:val="17"/>
                <w:szCs w:val="17"/>
                <w:color w:val="auto"/>
              </w:rPr>
            </w:pPr>
          </w:p>
        </w:tc>
        <w:tc>
          <w:tcPr>
            <w:tcW w:w="960" w:type="dxa"/>
            <w:vAlign w:val="bottom"/>
            <w:tcBorders>
              <w:bottom w:val="single" w:sz="8" w:color="231F20"/>
            </w:tcBorders>
          </w:tcPr>
          <w:p>
            <w:pPr>
              <w:spacing w:after="0"/>
              <w:rPr>
                <w:sz w:val="17"/>
                <w:szCs w:val="17"/>
                <w:color w:val="auto"/>
              </w:rPr>
            </w:pPr>
          </w:p>
        </w:tc>
      </w:tr>
      <w:tr>
        <w:trPr>
          <w:trHeight w:val="160"/>
        </w:trPr>
        <w:tc>
          <w:tcPr>
            <w:tcW w:w="4540" w:type="dxa"/>
            <w:vAlign w:val="bottom"/>
          </w:tcPr>
          <w:p>
            <w:pPr>
              <w:ind w:left="100"/>
              <w:spacing w:after="0"/>
              <w:rPr>
                <w:sz w:val="20"/>
                <w:szCs w:val="20"/>
                <w:color w:val="auto"/>
              </w:rPr>
            </w:pPr>
            <w:r>
              <w:rPr>
                <w:rFonts w:ascii="Arial" w:cs="Arial" w:eastAsia="Arial" w:hAnsi="Arial"/>
                <w:sz w:val="14"/>
                <w:szCs w:val="14"/>
                <w:color w:val="231F20"/>
              </w:rPr>
              <w:t>Incremental pension value above that included in the Pension Benefits</w:t>
            </w:r>
          </w:p>
        </w:tc>
        <w:tc>
          <w:tcPr>
            <w:tcW w:w="1640" w:type="dxa"/>
            <w:vAlign w:val="bottom"/>
          </w:tcPr>
          <w:p>
            <w:pPr>
              <w:jc w:val="right"/>
              <w:ind w:right="252"/>
              <w:spacing w:after="0"/>
              <w:rPr>
                <w:sz w:val="20"/>
                <w:szCs w:val="20"/>
                <w:color w:val="auto"/>
              </w:rPr>
            </w:pPr>
            <w:r>
              <w:rPr>
                <w:rFonts w:ascii="Arial" w:cs="Arial" w:eastAsia="Arial" w:hAnsi="Arial"/>
                <w:sz w:val="14"/>
                <w:szCs w:val="14"/>
                <w:color w:val="231F20"/>
              </w:rPr>
              <w:t>—</w:t>
            </w:r>
          </w:p>
        </w:tc>
        <w:tc>
          <w:tcPr>
            <w:tcW w:w="1380" w:type="dxa"/>
            <w:vAlign w:val="bottom"/>
          </w:tcPr>
          <w:p>
            <w:pPr>
              <w:jc w:val="right"/>
              <w:ind w:right="272"/>
              <w:spacing w:after="0"/>
              <w:rPr>
                <w:sz w:val="20"/>
                <w:szCs w:val="20"/>
                <w:color w:val="auto"/>
              </w:rPr>
            </w:pPr>
            <w:r>
              <w:rPr>
                <w:rFonts w:ascii="Arial" w:cs="Arial" w:eastAsia="Arial" w:hAnsi="Arial"/>
                <w:sz w:val="14"/>
                <w:szCs w:val="14"/>
                <w:color w:val="231F20"/>
              </w:rPr>
              <w:t>—</w:t>
            </w:r>
          </w:p>
        </w:tc>
        <w:tc>
          <w:tcPr>
            <w:tcW w:w="1380" w:type="dxa"/>
            <w:vAlign w:val="bottom"/>
          </w:tcPr>
          <w:p>
            <w:pPr>
              <w:jc w:val="right"/>
              <w:ind w:right="312"/>
              <w:spacing w:after="0"/>
              <w:rPr>
                <w:sz w:val="20"/>
                <w:szCs w:val="20"/>
                <w:color w:val="auto"/>
              </w:rPr>
            </w:pPr>
            <w:r>
              <w:rPr>
                <w:rFonts w:ascii="Arial" w:cs="Arial" w:eastAsia="Arial" w:hAnsi="Arial"/>
                <w:sz w:val="14"/>
                <w:szCs w:val="14"/>
                <w:color w:val="231F20"/>
              </w:rPr>
              <w:t>358,806</w:t>
            </w:r>
          </w:p>
        </w:tc>
        <w:tc>
          <w:tcPr>
            <w:tcW w:w="1340" w:type="dxa"/>
            <w:vAlign w:val="bottom"/>
          </w:tcPr>
          <w:p>
            <w:pPr>
              <w:jc w:val="right"/>
              <w:ind w:right="312"/>
              <w:spacing w:after="0"/>
              <w:rPr>
                <w:sz w:val="20"/>
                <w:szCs w:val="20"/>
                <w:color w:val="auto"/>
              </w:rPr>
            </w:pPr>
            <w:r>
              <w:rPr>
                <w:rFonts w:ascii="Arial" w:cs="Arial" w:eastAsia="Arial" w:hAnsi="Arial"/>
                <w:sz w:val="14"/>
                <w:szCs w:val="14"/>
                <w:color w:val="231F20"/>
              </w:rPr>
              <w:t>—</w:t>
            </w:r>
          </w:p>
        </w:tc>
        <w:tc>
          <w:tcPr>
            <w:tcW w:w="960" w:type="dxa"/>
            <w:vAlign w:val="bottom"/>
          </w:tcPr>
          <w:p>
            <w:pPr>
              <w:jc w:val="right"/>
              <w:spacing w:after="0"/>
              <w:rPr>
                <w:sz w:val="20"/>
                <w:szCs w:val="20"/>
                <w:color w:val="auto"/>
              </w:rPr>
            </w:pPr>
            <w:r>
              <w:rPr>
                <w:rFonts w:ascii="Arial" w:cs="Arial" w:eastAsia="Arial" w:hAnsi="Arial"/>
                <w:sz w:val="14"/>
                <w:szCs w:val="14"/>
                <w:color w:val="231F20"/>
              </w:rPr>
              <w:t>1,065,380</w:t>
            </w:r>
          </w:p>
        </w:tc>
      </w:tr>
      <w:tr>
        <w:trPr>
          <w:trHeight w:val="187"/>
        </w:trPr>
        <w:tc>
          <w:tcPr>
            <w:tcW w:w="4540" w:type="dxa"/>
            <w:vAlign w:val="bottom"/>
            <w:tcBorders>
              <w:bottom w:val="single" w:sz="8" w:color="231F20"/>
            </w:tcBorders>
          </w:tcPr>
          <w:p>
            <w:pPr>
              <w:ind w:left="300"/>
              <w:spacing w:after="0"/>
              <w:rPr>
                <w:sz w:val="20"/>
                <w:szCs w:val="20"/>
                <w:color w:val="auto"/>
              </w:rPr>
            </w:pPr>
            <w:r>
              <w:rPr>
                <w:rFonts w:ascii="Arial" w:cs="Arial" w:eastAsia="Arial" w:hAnsi="Arial"/>
                <w:sz w:val="14"/>
                <w:szCs w:val="14"/>
                <w:color w:val="231F20"/>
              </w:rPr>
              <w:t>Table</w:t>
            </w:r>
          </w:p>
        </w:tc>
        <w:tc>
          <w:tcPr>
            <w:tcW w:w="1640" w:type="dxa"/>
            <w:vAlign w:val="bottom"/>
            <w:tcBorders>
              <w:bottom w:val="single" w:sz="8" w:color="231F20"/>
            </w:tcBorders>
          </w:tcPr>
          <w:p>
            <w:pPr>
              <w:spacing w:after="0"/>
              <w:rPr>
                <w:sz w:val="16"/>
                <w:szCs w:val="16"/>
                <w:color w:val="auto"/>
              </w:rPr>
            </w:pPr>
          </w:p>
        </w:tc>
        <w:tc>
          <w:tcPr>
            <w:tcW w:w="1380" w:type="dxa"/>
            <w:vAlign w:val="bottom"/>
            <w:tcBorders>
              <w:bottom w:val="single" w:sz="8" w:color="231F20"/>
            </w:tcBorders>
          </w:tcPr>
          <w:p>
            <w:pPr>
              <w:spacing w:after="0"/>
              <w:rPr>
                <w:sz w:val="16"/>
                <w:szCs w:val="16"/>
                <w:color w:val="auto"/>
              </w:rPr>
            </w:pPr>
          </w:p>
        </w:tc>
        <w:tc>
          <w:tcPr>
            <w:tcW w:w="1380" w:type="dxa"/>
            <w:vAlign w:val="bottom"/>
            <w:tcBorders>
              <w:bottom w:val="single" w:sz="8" w:color="231F20"/>
            </w:tcBorders>
          </w:tcPr>
          <w:p>
            <w:pPr>
              <w:spacing w:after="0"/>
              <w:rPr>
                <w:sz w:val="16"/>
                <w:szCs w:val="16"/>
                <w:color w:val="auto"/>
              </w:rPr>
            </w:pPr>
          </w:p>
        </w:tc>
        <w:tc>
          <w:tcPr>
            <w:tcW w:w="1340" w:type="dxa"/>
            <w:vAlign w:val="bottom"/>
            <w:tcBorders>
              <w:bottom w:val="single" w:sz="8" w:color="231F20"/>
            </w:tcBorders>
          </w:tcPr>
          <w:p>
            <w:pPr>
              <w:spacing w:after="0"/>
              <w:rPr>
                <w:sz w:val="16"/>
                <w:szCs w:val="16"/>
                <w:color w:val="auto"/>
              </w:rPr>
            </w:pPr>
          </w:p>
        </w:tc>
        <w:tc>
          <w:tcPr>
            <w:tcW w:w="960" w:type="dxa"/>
            <w:vAlign w:val="bottom"/>
            <w:tcBorders>
              <w:bottom w:val="single" w:sz="8" w:color="231F20"/>
            </w:tcBorders>
          </w:tcPr>
          <w:p>
            <w:pPr>
              <w:spacing w:after="0"/>
              <w:rPr>
                <w:sz w:val="16"/>
                <w:szCs w:val="16"/>
                <w:color w:val="auto"/>
              </w:rPr>
            </w:pPr>
          </w:p>
        </w:tc>
      </w:tr>
      <w:tr>
        <w:trPr>
          <w:trHeight w:val="197"/>
        </w:trPr>
        <w:tc>
          <w:tcPr>
            <w:tcW w:w="4540" w:type="dxa"/>
            <w:vAlign w:val="bottom"/>
            <w:tcBorders>
              <w:bottom w:val="single" w:sz="8" w:color="231F20"/>
            </w:tcBorders>
          </w:tcPr>
          <w:p>
            <w:pPr>
              <w:ind w:left="100"/>
              <w:spacing w:after="0"/>
              <w:rPr>
                <w:sz w:val="20"/>
                <w:szCs w:val="20"/>
                <w:color w:val="auto"/>
              </w:rPr>
            </w:pPr>
            <w:r>
              <w:rPr>
                <w:rFonts w:ascii="Arial" w:cs="Arial" w:eastAsia="Arial" w:hAnsi="Arial"/>
                <w:sz w:val="14"/>
                <w:szCs w:val="14"/>
                <w:color w:val="231F20"/>
              </w:rPr>
              <w:t>Present value of retiree medical benefits</w:t>
            </w:r>
          </w:p>
        </w:tc>
        <w:tc>
          <w:tcPr>
            <w:tcW w:w="1640" w:type="dxa"/>
            <w:vAlign w:val="bottom"/>
            <w:tcBorders>
              <w:bottom w:val="single" w:sz="8" w:color="231F20"/>
            </w:tcBorders>
          </w:tcPr>
          <w:p>
            <w:pPr>
              <w:jc w:val="right"/>
              <w:ind w:right="252"/>
              <w:spacing w:after="0"/>
              <w:rPr>
                <w:sz w:val="20"/>
                <w:szCs w:val="20"/>
                <w:color w:val="auto"/>
              </w:rPr>
            </w:pPr>
            <w:r>
              <w:rPr>
                <w:rFonts w:ascii="Arial" w:cs="Arial" w:eastAsia="Arial" w:hAnsi="Arial"/>
                <w:sz w:val="14"/>
                <w:szCs w:val="14"/>
                <w:color w:val="231F20"/>
              </w:rPr>
              <w:t>383,462</w:t>
            </w:r>
          </w:p>
        </w:tc>
        <w:tc>
          <w:tcPr>
            <w:tcW w:w="1380" w:type="dxa"/>
            <w:vAlign w:val="bottom"/>
            <w:tcBorders>
              <w:bottom w:val="single" w:sz="8" w:color="231F20"/>
            </w:tcBorders>
          </w:tcPr>
          <w:p>
            <w:pPr>
              <w:jc w:val="right"/>
              <w:ind w:right="272"/>
              <w:spacing w:after="0"/>
              <w:rPr>
                <w:sz w:val="20"/>
                <w:szCs w:val="20"/>
                <w:color w:val="auto"/>
              </w:rPr>
            </w:pPr>
            <w:r>
              <w:rPr>
                <w:rFonts w:ascii="Arial" w:cs="Arial" w:eastAsia="Arial" w:hAnsi="Arial"/>
                <w:sz w:val="14"/>
                <w:szCs w:val="14"/>
                <w:color w:val="231F20"/>
              </w:rPr>
              <w:t>383,462</w:t>
            </w:r>
          </w:p>
        </w:tc>
        <w:tc>
          <w:tcPr>
            <w:tcW w:w="1380" w:type="dxa"/>
            <w:vAlign w:val="bottom"/>
            <w:tcBorders>
              <w:bottom w:val="single" w:sz="8" w:color="231F20"/>
            </w:tcBorders>
          </w:tcPr>
          <w:p>
            <w:pPr>
              <w:jc w:val="right"/>
              <w:ind w:right="312"/>
              <w:spacing w:after="0"/>
              <w:rPr>
                <w:sz w:val="20"/>
                <w:szCs w:val="20"/>
                <w:color w:val="auto"/>
              </w:rPr>
            </w:pPr>
            <w:r>
              <w:rPr>
                <w:rFonts w:ascii="Arial" w:cs="Arial" w:eastAsia="Arial" w:hAnsi="Arial"/>
                <w:sz w:val="14"/>
                <w:szCs w:val="14"/>
                <w:color w:val="231F20"/>
              </w:rPr>
              <w:t>383,462</w:t>
            </w:r>
          </w:p>
        </w:tc>
        <w:tc>
          <w:tcPr>
            <w:tcW w:w="1340" w:type="dxa"/>
            <w:vAlign w:val="bottom"/>
            <w:tcBorders>
              <w:bottom w:val="single" w:sz="8" w:color="231F20"/>
            </w:tcBorders>
          </w:tcPr>
          <w:p>
            <w:pPr>
              <w:jc w:val="right"/>
              <w:ind w:right="312"/>
              <w:spacing w:after="0"/>
              <w:rPr>
                <w:sz w:val="20"/>
                <w:szCs w:val="20"/>
                <w:color w:val="auto"/>
              </w:rPr>
            </w:pPr>
            <w:r>
              <w:rPr>
                <w:rFonts w:ascii="Arial" w:cs="Arial" w:eastAsia="Arial" w:hAnsi="Arial"/>
                <w:sz w:val="14"/>
                <w:szCs w:val="14"/>
                <w:color w:val="231F20"/>
              </w:rPr>
              <w:t>—</w:t>
            </w:r>
          </w:p>
        </w:tc>
        <w:tc>
          <w:tcPr>
            <w:tcW w:w="960" w:type="dxa"/>
            <w:vAlign w:val="bottom"/>
            <w:tcBorders>
              <w:bottom w:val="single" w:sz="8" w:color="231F20"/>
            </w:tcBorders>
          </w:tcPr>
          <w:p>
            <w:pPr>
              <w:jc w:val="right"/>
              <w:spacing w:after="0"/>
              <w:rPr>
                <w:sz w:val="20"/>
                <w:szCs w:val="20"/>
                <w:color w:val="auto"/>
              </w:rPr>
            </w:pPr>
            <w:r>
              <w:rPr>
                <w:rFonts w:ascii="Arial" w:cs="Arial" w:eastAsia="Arial" w:hAnsi="Arial"/>
                <w:sz w:val="14"/>
                <w:szCs w:val="14"/>
                <w:color w:val="231F20"/>
              </w:rPr>
              <w:t>383,462</w:t>
            </w:r>
          </w:p>
        </w:tc>
      </w:tr>
      <w:tr>
        <w:trPr>
          <w:trHeight w:val="200"/>
        </w:trPr>
        <w:tc>
          <w:tcPr>
            <w:tcW w:w="4540" w:type="dxa"/>
            <w:vAlign w:val="bottom"/>
            <w:tcBorders>
              <w:bottom w:val="single" w:sz="8" w:color="231F20"/>
            </w:tcBorders>
          </w:tcPr>
          <w:p>
            <w:pPr>
              <w:spacing w:after="0"/>
              <w:rPr>
                <w:sz w:val="20"/>
                <w:szCs w:val="20"/>
                <w:color w:val="auto"/>
              </w:rPr>
            </w:pPr>
            <w:r>
              <w:rPr>
                <w:rFonts w:ascii="Arial" w:cs="Arial" w:eastAsia="Arial" w:hAnsi="Arial"/>
                <w:sz w:val="14"/>
                <w:szCs w:val="14"/>
                <w:b w:val="1"/>
                <w:bCs w:val="1"/>
                <w:color w:val="455986"/>
              </w:rPr>
              <w:t>Total</w:t>
            </w:r>
          </w:p>
        </w:tc>
        <w:tc>
          <w:tcPr>
            <w:tcW w:w="1640" w:type="dxa"/>
            <w:vAlign w:val="bottom"/>
            <w:tcBorders>
              <w:bottom w:val="single" w:sz="8" w:color="231F20"/>
            </w:tcBorders>
          </w:tcPr>
          <w:p>
            <w:pPr>
              <w:jc w:val="right"/>
              <w:ind w:right="252"/>
              <w:spacing w:after="0"/>
              <w:rPr>
                <w:sz w:val="20"/>
                <w:szCs w:val="20"/>
                <w:color w:val="auto"/>
              </w:rPr>
            </w:pPr>
            <w:r>
              <w:rPr>
                <w:rFonts w:ascii="Arial" w:cs="Arial" w:eastAsia="Arial" w:hAnsi="Arial"/>
                <w:sz w:val="14"/>
                <w:szCs w:val="14"/>
                <w:color w:val="231F20"/>
              </w:rPr>
              <w:t>4,884,272</w:t>
            </w:r>
          </w:p>
        </w:tc>
        <w:tc>
          <w:tcPr>
            <w:tcW w:w="1380" w:type="dxa"/>
            <w:vAlign w:val="bottom"/>
            <w:tcBorders>
              <w:bottom w:val="single" w:sz="8" w:color="231F20"/>
            </w:tcBorders>
          </w:tcPr>
          <w:p>
            <w:pPr>
              <w:jc w:val="right"/>
              <w:ind w:right="272"/>
              <w:spacing w:after="0"/>
              <w:rPr>
                <w:sz w:val="20"/>
                <w:szCs w:val="20"/>
                <w:color w:val="auto"/>
              </w:rPr>
            </w:pPr>
            <w:r>
              <w:rPr>
                <w:rFonts w:ascii="Arial" w:cs="Arial" w:eastAsia="Arial" w:hAnsi="Arial"/>
                <w:sz w:val="14"/>
                <w:szCs w:val="14"/>
                <w:color w:val="231F20"/>
              </w:rPr>
              <w:t>1,389,321</w:t>
            </w:r>
          </w:p>
        </w:tc>
        <w:tc>
          <w:tcPr>
            <w:tcW w:w="1380" w:type="dxa"/>
            <w:vAlign w:val="bottom"/>
            <w:tcBorders>
              <w:bottom w:val="single" w:sz="8" w:color="231F20"/>
            </w:tcBorders>
          </w:tcPr>
          <w:p>
            <w:pPr>
              <w:jc w:val="right"/>
              <w:ind w:right="312"/>
              <w:spacing w:after="0"/>
              <w:rPr>
                <w:sz w:val="20"/>
                <w:szCs w:val="20"/>
                <w:color w:val="auto"/>
              </w:rPr>
            </w:pPr>
            <w:r>
              <w:rPr>
                <w:rFonts w:ascii="Arial" w:cs="Arial" w:eastAsia="Arial" w:hAnsi="Arial"/>
                <w:sz w:val="14"/>
                <w:szCs w:val="14"/>
                <w:color w:val="231F20"/>
              </w:rPr>
              <w:t>2,401,016</w:t>
            </w:r>
          </w:p>
        </w:tc>
        <w:tc>
          <w:tcPr>
            <w:tcW w:w="1340" w:type="dxa"/>
            <w:vAlign w:val="bottom"/>
            <w:tcBorders>
              <w:bottom w:val="single" w:sz="8" w:color="231F20"/>
            </w:tcBorders>
          </w:tcPr>
          <w:p>
            <w:pPr>
              <w:jc w:val="right"/>
              <w:ind w:right="312"/>
              <w:spacing w:after="0"/>
              <w:rPr>
                <w:sz w:val="20"/>
                <w:szCs w:val="20"/>
                <w:color w:val="auto"/>
              </w:rPr>
            </w:pPr>
            <w:r>
              <w:rPr>
                <w:rFonts w:ascii="Arial" w:cs="Arial" w:eastAsia="Arial" w:hAnsi="Arial"/>
                <w:sz w:val="14"/>
                <w:szCs w:val="14"/>
                <w:color w:val="231F20"/>
              </w:rPr>
              <w:t>2,778,900</w:t>
            </w:r>
          </w:p>
        </w:tc>
        <w:tc>
          <w:tcPr>
            <w:tcW w:w="960" w:type="dxa"/>
            <w:vAlign w:val="bottom"/>
            <w:tcBorders>
              <w:bottom w:val="single" w:sz="8" w:color="231F20"/>
            </w:tcBorders>
          </w:tcPr>
          <w:p>
            <w:pPr>
              <w:jc w:val="right"/>
              <w:spacing w:after="0"/>
              <w:rPr>
                <w:sz w:val="20"/>
                <w:szCs w:val="20"/>
                <w:color w:val="auto"/>
              </w:rPr>
            </w:pPr>
            <w:r>
              <w:rPr>
                <w:rFonts w:ascii="Arial" w:cs="Arial" w:eastAsia="Arial" w:hAnsi="Arial"/>
                <w:sz w:val="14"/>
                <w:szCs w:val="14"/>
                <w:color w:val="231F20"/>
              </w:rPr>
              <w:t>4,227,742</w:t>
            </w:r>
          </w:p>
        </w:tc>
      </w:tr>
      <w:tr>
        <w:trPr>
          <w:trHeight w:val="343"/>
        </w:trPr>
        <w:tc>
          <w:tcPr>
            <w:tcW w:w="4540" w:type="dxa"/>
            <w:vAlign w:val="bottom"/>
          </w:tcPr>
          <w:p>
            <w:pPr>
              <w:spacing w:after="0"/>
              <w:rPr>
                <w:sz w:val="20"/>
                <w:szCs w:val="20"/>
                <w:color w:val="auto"/>
              </w:rPr>
            </w:pPr>
            <w:r>
              <w:rPr>
                <w:rFonts w:ascii="Arial" w:cs="Arial" w:eastAsia="Arial" w:hAnsi="Arial"/>
                <w:sz w:val="15"/>
                <w:szCs w:val="15"/>
                <w:b w:val="1"/>
                <w:bCs w:val="1"/>
                <w:color w:val="231F20"/>
              </w:rPr>
              <w:t>Matthew R. Rhodes</w:t>
            </w:r>
          </w:p>
        </w:tc>
        <w:tc>
          <w:tcPr>
            <w:tcW w:w="16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303"/>
        </w:trPr>
        <w:tc>
          <w:tcPr>
            <w:tcW w:w="4540" w:type="dxa"/>
            <w:vAlign w:val="bottom"/>
          </w:tcPr>
          <w:p>
            <w:pPr>
              <w:spacing w:after="0"/>
              <w:rPr>
                <w:sz w:val="24"/>
                <w:szCs w:val="24"/>
                <w:color w:val="auto"/>
              </w:rPr>
            </w:pPr>
          </w:p>
        </w:tc>
        <w:tc>
          <w:tcPr>
            <w:tcW w:w="1640" w:type="dxa"/>
            <w:vAlign w:val="bottom"/>
          </w:tcPr>
          <w:p>
            <w:pPr>
              <w:jc w:val="right"/>
              <w:ind w:right="252"/>
              <w:spacing w:after="0"/>
              <w:rPr>
                <w:sz w:val="20"/>
                <w:szCs w:val="20"/>
                <w:color w:val="auto"/>
              </w:rPr>
            </w:pPr>
            <w:r>
              <w:rPr>
                <w:rFonts w:ascii="Arial" w:cs="Arial" w:eastAsia="Arial" w:hAnsi="Arial"/>
                <w:sz w:val="14"/>
                <w:szCs w:val="14"/>
                <w:color w:val="455986"/>
              </w:rPr>
              <w:t>Change-in-Control</w:t>
            </w:r>
          </w:p>
        </w:tc>
        <w:tc>
          <w:tcPr>
            <w:tcW w:w="1380" w:type="dxa"/>
            <w:vAlign w:val="bottom"/>
          </w:tcPr>
          <w:p>
            <w:pPr>
              <w:jc w:val="right"/>
              <w:ind w:right="272"/>
              <w:spacing w:after="0"/>
              <w:rPr>
                <w:sz w:val="20"/>
                <w:szCs w:val="20"/>
                <w:color w:val="auto"/>
              </w:rPr>
            </w:pPr>
            <w:r>
              <w:rPr>
                <w:rFonts w:ascii="Arial" w:cs="Arial" w:eastAsia="Arial" w:hAnsi="Arial"/>
                <w:sz w:val="14"/>
                <w:szCs w:val="14"/>
                <w:color w:val="455986"/>
              </w:rPr>
              <w:t>Termination</w:t>
            </w:r>
          </w:p>
        </w:tc>
        <w:tc>
          <w:tcPr>
            <w:tcW w:w="1380" w:type="dxa"/>
            <w:vAlign w:val="bottom"/>
          </w:tcPr>
          <w:p>
            <w:pPr>
              <w:jc w:val="right"/>
              <w:ind w:right="312"/>
              <w:spacing w:after="0"/>
              <w:rPr>
                <w:sz w:val="20"/>
                <w:szCs w:val="20"/>
                <w:color w:val="auto"/>
              </w:rPr>
            </w:pPr>
            <w:r>
              <w:rPr>
                <w:rFonts w:ascii="Arial" w:cs="Arial" w:eastAsia="Arial" w:hAnsi="Arial"/>
                <w:sz w:val="14"/>
                <w:szCs w:val="14"/>
                <w:color w:val="455986"/>
              </w:rPr>
              <w:t>Retirement</w:t>
            </w:r>
          </w:p>
        </w:tc>
        <w:tc>
          <w:tcPr>
            <w:tcW w:w="1340" w:type="dxa"/>
            <w:vAlign w:val="bottom"/>
          </w:tcPr>
          <w:p>
            <w:pPr>
              <w:jc w:val="right"/>
              <w:ind w:right="312"/>
              <w:spacing w:after="0"/>
              <w:rPr>
                <w:sz w:val="20"/>
                <w:szCs w:val="20"/>
                <w:color w:val="auto"/>
              </w:rPr>
            </w:pPr>
            <w:r>
              <w:rPr>
                <w:rFonts w:ascii="Arial" w:cs="Arial" w:eastAsia="Arial" w:hAnsi="Arial"/>
                <w:sz w:val="14"/>
                <w:szCs w:val="14"/>
                <w:color w:val="455986"/>
              </w:rPr>
              <w:t>Death</w:t>
            </w:r>
          </w:p>
        </w:tc>
        <w:tc>
          <w:tcPr>
            <w:tcW w:w="960" w:type="dxa"/>
            <w:vAlign w:val="bottom"/>
          </w:tcPr>
          <w:p>
            <w:pPr>
              <w:jc w:val="right"/>
              <w:spacing w:after="0"/>
              <w:rPr>
                <w:sz w:val="20"/>
                <w:szCs w:val="20"/>
                <w:color w:val="auto"/>
              </w:rPr>
            </w:pPr>
            <w:r>
              <w:rPr>
                <w:rFonts w:ascii="Arial" w:cs="Arial" w:eastAsia="Arial" w:hAnsi="Arial"/>
                <w:sz w:val="14"/>
                <w:szCs w:val="14"/>
                <w:color w:val="455986"/>
              </w:rPr>
              <w:t>Disability</w:t>
            </w:r>
          </w:p>
        </w:tc>
      </w:tr>
      <w:tr>
        <w:trPr>
          <w:trHeight w:val="187"/>
        </w:trPr>
        <w:tc>
          <w:tcPr>
            <w:tcW w:w="4540" w:type="dxa"/>
            <w:vAlign w:val="bottom"/>
            <w:tcBorders>
              <w:bottom w:val="single" w:sz="8" w:color="4395D4"/>
            </w:tcBorders>
          </w:tcPr>
          <w:p>
            <w:pPr>
              <w:spacing w:after="0"/>
              <w:rPr>
                <w:sz w:val="20"/>
                <w:szCs w:val="20"/>
                <w:color w:val="auto"/>
              </w:rPr>
            </w:pPr>
            <w:r>
              <w:rPr>
                <w:rFonts w:ascii="Arial" w:cs="Arial" w:eastAsia="Arial" w:hAnsi="Arial"/>
                <w:sz w:val="14"/>
                <w:szCs w:val="14"/>
                <w:color w:val="455986"/>
              </w:rPr>
              <w:t>Payments and Benefits Upon Separation</w:t>
            </w:r>
          </w:p>
        </w:tc>
        <w:tc>
          <w:tcPr>
            <w:tcW w:w="1640" w:type="dxa"/>
            <w:vAlign w:val="bottom"/>
            <w:tcBorders>
              <w:bottom w:val="single" w:sz="8" w:color="4395D4"/>
            </w:tcBorders>
          </w:tcPr>
          <w:p>
            <w:pPr>
              <w:jc w:val="right"/>
              <w:ind w:right="252"/>
              <w:spacing w:after="0"/>
              <w:rPr>
                <w:sz w:val="20"/>
                <w:szCs w:val="20"/>
                <w:color w:val="auto"/>
              </w:rPr>
            </w:pPr>
            <w:r>
              <w:rPr>
                <w:rFonts w:ascii="Arial" w:cs="Arial" w:eastAsia="Arial" w:hAnsi="Arial"/>
                <w:sz w:val="14"/>
                <w:szCs w:val="14"/>
                <w:color w:val="455986"/>
              </w:rPr>
              <w:t>$</w:t>
            </w:r>
          </w:p>
        </w:tc>
        <w:tc>
          <w:tcPr>
            <w:tcW w:w="1380" w:type="dxa"/>
            <w:vAlign w:val="bottom"/>
            <w:tcBorders>
              <w:bottom w:val="single" w:sz="8" w:color="4395D4"/>
            </w:tcBorders>
          </w:tcPr>
          <w:p>
            <w:pPr>
              <w:jc w:val="right"/>
              <w:ind w:right="272"/>
              <w:spacing w:after="0"/>
              <w:rPr>
                <w:sz w:val="20"/>
                <w:szCs w:val="20"/>
                <w:color w:val="auto"/>
              </w:rPr>
            </w:pPr>
            <w:r>
              <w:rPr>
                <w:rFonts w:ascii="Arial" w:cs="Arial" w:eastAsia="Arial" w:hAnsi="Arial"/>
                <w:sz w:val="14"/>
                <w:szCs w:val="14"/>
                <w:color w:val="455986"/>
              </w:rPr>
              <w:t>$</w:t>
            </w:r>
          </w:p>
        </w:tc>
        <w:tc>
          <w:tcPr>
            <w:tcW w:w="1380" w:type="dxa"/>
            <w:vAlign w:val="bottom"/>
            <w:tcBorders>
              <w:bottom w:val="single" w:sz="8" w:color="4395D4"/>
            </w:tcBorders>
          </w:tcPr>
          <w:p>
            <w:pPr>
              <w:jc w:val="right"/>
              <w:ind w:right="312"/>
              <w:spacing w:after="0"/>
              <w:rPr>
                <w:sz w:val="20"/>
                <w:szCs w:val="20"/>
                <w:color w:val="auto"/>
              </w:rPr>
            </w:pPr>
            <w:r>
              <w:rPr>
                <w:rFonts w:ascii="Arial" w:cs="Arial" w:eastAsia="Arial" w:hAnsi="Arial"/>
                <w:sz w:val="14"/>
                <w:szCs w:val="14"/>
                <w:color w:val="455986"/>
              </w:rPr>
              <w:t>$</w:t>
            </w:r>
          </w:p>
        </w:tc>
        <w:tc>
          <w:tcPr>
            <w:tcW w:w="1340" w:type="dxa"/>
            <w:vAlign w:val="bottom"/>
            <w:tcBorders>
              <w:bottom w:val="single" w:sz="8" w:color="4395D4"/>
            </w:tcBorders>
          </w:tcPr>
          <w:p>
            <w:pPr>
              <w:jc w:val="right"/>
              <w:ind w:right="312"/>
              <w:spacing w:after="0"/>
              <w:rPr>
                <w:sz w:val="20"/>
                <w:szCs w:val="20"/>
                <w:color w:val="auto"/>
              </w:rPr>
            </w:pPr>
            <w:r>
              <w:rPr>
                <w:rFonts w:ascii="Arial" w:cs="Arial" w:eastAsia="Arial" w:hAnsi="Arial"/>
                <w:sz w:val="14"/>
                <w:szCs w:val="14"/>
                <w:color w:val="455986"/>
              </w:rPr>
              <w:t>$</w:t>
            </w:r>
          </w:p>
        </w:tc>
        <w:tc>
          <w:tcPr>
            <w:tcW w:w="960" w:type="dxa"/>
            <w:vAlign w:val="bottom"/>
            <w:tcBorders>
              <w:bottom w:val="single" w:sz="8" w:color="4395D4"/>
            </w:tcBorders>
          </w:tcPr>
          <w:p>
            <w:pPr>
              <w:jc w:val="right"/>
              <w:spacing w:after="0"/>
              <w:rPr>
                <w:sz w:val="20"/>
                <w:szCs w:val="20"/>
                <w:color w:val="auto"/>
              </w:rPr>
            </w:pPr>
            <w:r>
              <w:rPr>
                <w:rFonts w:ascii="Arial" w:cs="Arial" w:eastAsia="Arial" w:hAnsi="Arial"/>
                <w:sz w:val="14"/>
                <w:szCs w:val="14"/>
                <w:color w:val="455986"/>
              </w:rPr>
              <w:t>$</w:t>
            </w:r>
          </w:p>
        </w:tc>
      </w:tr>
      <w:tr>
        <w:trPr>
          <w:trHeight w:val="200"/>
        </w:trPr>
        <w:tc>
          <w:tcPr>
            <w:tcW w:w="4540" w:type="dxa"/>
            <w:vAlign w:val="bottom"/>
            <w:tcBorders>
              <w:bottom w:val="single" w:sz="8" w:color="231F20"/>
            </w:tcBorders>
          </w:tcPr>
          <w:p>
            <w:pPr>
              <w:spacing w:after="0"/>
              <w:rPr>
                <w:sz w:val="20"/>
                <w:szCs w:val="20"/>
                <w:color w:val="auto"/>
              </w:rPr>
            </w:pPr>
            <w:r>
              <w:rPr>
                <w:rFonts w:ascii="Arial" w:cs="Arial" w:eastAsia="Arial" w:hAnsi="Arial"/>
                <w:sz w:val="14"/>
                <w:szCs w:val="14"/>
                <w:b w:val="1"/>
                <w:bCs w:val="1"/>
                <w:color w:val="455986"/>
              </w:rPr>
              <w:t>Triggered Payments and Benefits</w:t>
            </w:r>
          </w:p>
        </w:tc>
        <w:tc>
          <w:tcPr>
            <w:tcW w:w="1640" w:type="dxa"/>
            <w:vAlign w:val="bottom"/>
            <w:tcBorders>
              <w:bottom w:val="single" w:sz="8" w:color="231F20"/>
            </w:tcBorders>
          </w:tcPr>
          <w:p>
            <w:pPr>
              <w:spacing w:after="0"/>
              <w:rPr>
                <w:sz w:val="17"/>
                <w:szCs w:val="17"/>
                <w:color w:val="auto"/>
              </w:rPr>
            </w:pPr>
          </w:p>
        </w:tc>
        <w:tc>
          <w:tcPr>
            <w:tcW w:w="1380" w:type="dxa"/>
            <w:vAlign w:val="bottom"/>
            <w:tcBorders>
              <w:bottom w:val="single" w:sz="8" w:color="231F20"/>
            </w:tcBorders>
          </w:tcPr>
          <w:p>
            <w:pPr>
              <w:spacing w:after="0"/>
              <w:rPr>
                <w:sz w:val="17"/>
                <w:szCs w:val="17"/>
                <w:color w:val="auto"/>
              </w:rPr>
            </w:pPr>
          </w:p>
        </w:tc>
        <w:tc>
          <w:tcPr>
            <w:tcW w:w="1380" w:type="dxa"/>
            <w:vAlign w:val="bottom"/>
            <w:tcBorders>
              <w:bottom w:val="single" w:sz="8" w:color="231F20"/>
            </w:tcBorders>
          </w:tcPr>
          <w:p>
            <w:pPr>
              <w:spacing w:after="0"/>
              <w:rPr>
                <w:sz w:val="17"/>
                <w:szCs w:val="17"/>
                <w:color w:val="auto"/>
              </w:rPr>
            </w:pPr>
          </w:p>
        </w:tc>
        <w:tc>
          <w:tcPr>
            <w:tcW w:w="1340" w:type="dxa"/>
            <w:vAlign w:val="bottom"/>
            <w:tcBorders>
              <w:bottom w:val="single" w:sz="8" w:color="231F20"/>
            </w:tcBorders>
          </w:tcPr>
          <w:p>
            <w:pPr>
              <w:spacing w:after="0"/>
              <w:rPr>
                <w:sz w:val="17"/>
                <w:szCs w:val="17"/>
                <w:color w:val="auto"/>
              </w:rPr>
            </w:pPr>
          </w:p>
        </w:tc>
        <w:tc>
          <w:tcPr>
            <w:tcW w:w="960" w:type="dxa"/>
            <w:vAlign w:val="bottom"/>
            <w:tcBorders>
              <w:bottom w:val="single" w:sz="8" w:color="231F20"/>
            </w:tcBorders>
          </w:tcPr>
          <w:p>
            <w:pPr>
              <w:spacing w:after="0"/>
              <w:rPr>
                <w:sz w:val="17"/>
                <w:szCs w:val="17"/>
                <w:color w:val="auto"/>
              </w:rPr>
            </w:pPr>
          </w:p>
        </w:tc>
      </w:tr>
      <w:tr>
        <w:trPr>
          <w:trHeight w:val="194"/>
        </w:trPr>
        <w:tc>
          <w:tcPr>
            <w:tcW w:w="4540" w:type="dxa"/>
            <w:vAlign w:val="bottom"/>
            <w:tcBorders>
              <w:bottom w:val="single" w:sz="8" w:color="231F20"/>
            </w:tcBorders>
          </w:tcPr>
          <w:p>
            <w:pPr>
              <w:ind w:left="100"/>
              <w:spacing w:after="0"/>
              <w:rPr>
                <w:sz w:val="20"/>
                <w:szCs w:val="20"/>
                <w:color w:val="auto"/>
              </w:rPr>
            </w:pPr>
            <w:r>
              <w:rPr>
                <w:rFonts w:ascii="Arial" w:cs="Arial" w:eastAsia="Arial" w:hAnsi="Arial"/>
                <w:sz w:val="14"/>
                <w:szCs w:val="14"/>
                <w:color w:val="231F20"/>
              </w:rPr>
              <w:t>Severance Payment</w:t>
            </w:r>
          </w:p>
        </w:tc>
        <w:tc>
          <w:tcPr>
            <w:tcW w:w="1640" w:type="dxa"/>
            <w:vAlign w:val="bottom"/>
            <w:tcBorders>
              <w:bottom w:val="single" w:sz="8" w:color="231F20"/>
            </w:tcBorders>
          </w:tcPr>
          <w:p>
            <w:pPr>
              <w:jc w:val="right"/>
              <w:ind w:right="252"/>
              <w:spacing w:after="0"/>
              <w:rPr>
                <w:sz w:val="20"/>
                <w:szCs w:val="20"/>
                <w:color w:val="auto"/>
              </w:rPr>
            </w:pPr>
            <w:r>
              <w:rPr>
                <w:rFonts w:ascii="Arial" w:cs="Arial" w:eastAsia="Arial" w:hAnsi="Arial"/>
                <w:sz w:val="14"/>
                <w:szCs w:val="14"/>
                <w:color w:val="231F20"/>
              </w:rPr>
              <w:t>1,591,478</w:t>
            </w:r>
          </w:p>
        </w:tc>
        <w:tc>
          <w:tcPr>
            <w:tcW w:w="1380" w:type="dxa"/>
            <w:vAlign w:val="bottom"/>
            <w:tcBorders>
              <w:bottom w:val="single" w:sz="8" w:color="231F20"/>
            </w:tcBorders>
          </w:tcPr>
          <w:p>
            <w:pPr>
              <w:jc w:val="right"/>
              <w:ind w:right="272"/>
              <w:spacing w:after="0"/>
              <w:rPr>
                <w:sz w:val="20"/>
                <w:szCs w:val="20"/>
                <w:color w:val="auto"/>
              </w:rPr>
            </w:pPr>
            <w:r>
              <w:rPr>
                <w:rFonts w:ascii="Arial" w:cs="Arial" w:eastAsia="Arial" w:hAnsi="Arial"/>
                <w:sz w:val="14"/>
                <w:szCs w:val="14"/>
                <w:color w:val="231F20"/>
              </w:rPr>
              <w:t>430,921</w:t>
            </w:r>
          </w:p>
        </w:tc>
        <w:tc>
          <w:tcPr>
            <w:tcW w:w="1380" w:type="dxa"/>
            <w:vAlign w:val="bottom"/>
            <w:tcBorders>
              <w:bottom w:val="single" w:sz="8" w:color="231F20"/>
            </w:tcBorders>
          </w:tcPr>
          <w:p>
            <w:pPr>
              <w:jc w:val="right"/>
              <w:ind w:right="312"/>
              <w:spacing w:after="0"/>
              <w:rPr>
                <w:sz w:val="20"/>
                <w:szCs w:val="20"/>
                <w:color w:val="auto"/>
              </w:rPr>
            </w:pPr>
            <w:r>
              <w:rPr>
                <w:rFonts w:ascii="Arial" w:cs="Arial" w:eastAsia="Arial" w:hAnsi="Arial"/>
                <w:sz w:val="14"/>
                <w:szCs w:val="14"/>
                <w:color w:val="231F20"/>
              </w:rPr>
              <w:t>—</w:t>
            </w:r>
          </w:p>
        </w:tc>
        <w:tc>
          <w:tcPr>
            <w:tcW w:w="1340" w:type="dxa"/>
            <w:vAlign w:val="bottom"/>
            <w:tcBorders>
              <w:bottom w:val="single" w:sz="8" w:color="231F20"/>
            </w:tcBorders>
          </w:tcPr>
          <w:p>
            <w:pPr>
              <w:jc w:val="right"/>
              <w:ind w:right="312"/>
              <w:spacing w:after="0"/>
              <w:rPr>
                <w:sz w:val="20"/>
                <w:szCs w:val="20"/>
                <w:color w:val="auto"/>
              </w:rPr>
            </w:pPr>
            <w:r>
              <w:rPr>
                <w:rFonts w:ascii="Arial" w:cs="Arial" w:eastAsia="Arial" w:hAnsi="Arial"/>
                <w:sz w:val="14"/>
                <w:szCs w:val="14"/>
                <w:color w:val="231F20"/>
              </w:rPr>
              <w:t>—</w:t>
            </w:r>
          </w:p>
        </w:tc>
        <w:tc>
          <w:tcPr>
            <w:tcW w:w="960" w:type="dxa"/>
            <w:vAlign w:val="bottom"/>
            <w:tcBorders>
              <w:bottom w:val="single" w:sz="8" w:color="231F20"/>
            </w:tcBorders>
          </w:tcPr>
          <w:p>
            <w:pPr>
              <w:jc w:val="right"/>
              <w:spacing w:after="0"/>
              <w:rPr>
                <w:sz w:val="20"/>
                <w:szCs w:val="20"/>
                <w:color w:val="auto"/>
              </w:rPr>
            </w:pPr>
            <w:r>
              <w:rPr>
                <w:rFonts w:ascii="Arial" w:cs="Arial" w:eastAsia="Arial" w:hAnsi="Arial"/>
                <w:sz w:val="14"/>
                <w:szCs w:val="14"/>
                <w:color w:val="231F20"/>
              </w:rPr>
              <w:t>—</w:t>
            </w:r>
          </w:p>
        </w:tc>
      </w:tr>
      <w:tr>
        <w:trPr>
          <w:trHeight w:val="197"/>
        </w:trPr>
        <w:tc>
          <w:tcPr>
            <w:tcW w:w="4540" w:type="dxa"/>
            <w:vAlign w:val="bottom"/>
            <w:tcBorders>
              <w:bottom w:val="single" w:sz="8" w:color="231F20"/>
            </w:tcBorders>
          </w:tcPr>
          <w:p>
            <w:pPr>
              <w:ind w:left="100"/>
              <w:spacing w:after="0"/>
              <w:rPr>
                <w:sz w:val="20"/>
                <w:szCs w:val="20"/>
                <w:color w:val="auto"/>
              </w:rPr>
            </w:pPr>
            <w:r>
              <w:rPr>
                <w:rFonts w:ascii="Arial" w:cs="Arial" w:eastAsia="Arial" w:hAnsi="Arial"/>
                <w:sz w:val="14"/>
                <w:szCs w:val="14"/>
                <w:color w:val="231F20"/>
              </w:rPr>
              <w:t>Prorated current year bonus</w:t>
            </w:r>
          </w:p>
        </w:tc>
        <w:tc>
          <w:tcPr>
            <w:tcW w:w="1640" w:type="dxa"/>
            <w:vAlign w:val="bottom"/>
            <w:tcBorders>
              <w:bottom w:val="single" w:sz="8" w:color="231F20"/>
            </w:tcBorders>
          </w:tcPr>
          <w:p>
            <w:pPr>
              <w:jc w:val="right"/>
              <w:ind w:right="252"/>
              <w:spacing w:after="0"/>
              <w:rPr>
                <w:sz w:val="20"/>
                <w:szCs w:val="20"/>
                <w:color w:val="auto"/>
              </w:rPr>
            </w:pPr>
            <w:r>
              <w:rPr>
                <w:rFonts w:ascii="Arial" w:cs="Arial" w:eastAsia="Arial" w:hAnsi="Arial"/>
                <w:sz w:val="14"/>
                <w:szCs w:val="14"/>
                <w:color w:val="231F20"/>
              </w:rPr>
              <w:t>258,553</w:t>
            </w:r>
          </w:p>
        </w:tc>
        <w:tc>
          <w:tcPr>
            <w:tcW w:w="1380" w:type="dxa"/>
            <w:vAlign w:val="bottom"/>
            <w:tcBorders>
              <w:bottom w:val="single" w:sz="8" w:color="231F20"/>
            </w:tcBorders>
          </w:tcPr>
          <w:p>
            <w:pPr>
              <w:jc w:val="right"/>
              <w:ind w:right="272"/>
              <w:spacing w:after="0"/>
              <w:rPr>
                <w:sz w:val="20"/>
                <w:szCs w:val="20"/>
                <w:color w:val="auto"/>
              </w:rPr>
            </w:pPr>
            <w:r>
              <w:rPr>
                <w:rFonts w:ascii="Arial" w:cs="Arial" w:eastAsia="Arial" w:hAnsi="Arial"/>
                <w:sz w:val="14"/>
                <w:szCs w:val="14"/>
                <w:color w:val="231F20"/>
              </w:rPr>
              <w:t>258,553</w:t>
            </w:r>
          </w:p>
        </w:tc>
        <w:tc>
          <w:tcPr>
            <w:tcW w:w="1380" w:type="dxa"/>
            <w:vAlign w:val="bottom"/>
            <w:tcBorders>
              <w:bottom w:val="single" w:sz="8" w:color="231F20"/>
            </w:tcBorders>
          </w:tcPr>
          <w:p>
            <w:pPr>
              <w:jc w:val="right"/>
              <w:ind w:right="312"/>
              <w:spacing w:after="0"/>
              <w:rPr>
                <w:sz w:val="20"/>
                <w:szCs w:val="20"/>
                <w:color w:val="auto"/>
              </w:rPr>
            </w:pPr>
            <w:r>
              <w:rPr>
                <w:rFonts w:ascii="Arial" w:cs="Arial" w:eastAsia="Arial" w:hAnsi="Arial"/>
                <w:sz w:val="14"/>
                <w:szCs w:val="14"/>
                <w:color w:val="231F20"/>
              </w:rPr>
              <w:t>258,553</w:t>
            </w:r>
          </w:p>
        </w:tc>
        <w:tc>
          <w:tcPr>
            <w:tcW w:w="1340" w:type="dxa"/>
            <w:vAlign w:val="bottom"/>
            <w:tcBorders>
              <w:bottom w:val="single" w:sz="8" w:color="231F20"/>
            </w:tcBorders>
          </w:tcPr>
          <w:p>
            <w:pPr>
              <w:jc w:val="right"/>
              <w:ind w:right="312"/>
              <w:spacing w:after="0"/>
              <w:rPr>
                <w:sz w:val="20"/>
                <w:szCs w:val="20"/>
                <w:color w:val="auto"/>
              </w:rPr>
            </w:pPr>
            <w:r>
              <w:rPr>
                <w:rFonts w:ascii="Arial" w:cs="Arial" w:eastAsia="Arial" w:hAnsi="Arial"/>
                <w:sz w:val="14"/>
                <w:szCs w:val="14"/>
                <w:color w:val="231F20"/>
              </w:rPr>
              <w:t>258,553</w:t>
            </w:r>
          </w:p>
        </w:tc>
        <w:tc>
          <w:tcPr>
            <w:tcW w:w="960" w:type="dxa"/>
            <w:vAlign w:val="bottom"/>
            <w:tcBorders>
              <w:bottom w:val="single" w:sz="8" w:color="231F20"/>
            </w:tcBorders>
          </w:tcPr>
          <w:p>
            <w:pPr>
              <w:jc w:val="right"/>
              <w:spacing w:after="0"/>
              <w:rPr>
                <w:sz w:val="20"/>
                <w:szCs w:val="20"/>
                <w:color w:val="auto"/>
              </w:rPr>
            </w:pPr>
            <w:r>
              <w:rPr>
                <w:rFonts w:ascii="Arial" w:cs="Arial" w:eastAsia="Arial" w:hAnsi="Arial"/>
                <w:sz w:val="14"/>
                <w:szCs w:val="14"/>
                <w:color w:val="231F20"/>
              </w:rPr>
              <w:t>258,553</w:t>
            </w:r>
          </w:p>
        </w:tc>
      </w:tr>
      <w:tr>
        <w:trPr>
          <w:trHeight w:val="197"/>
        </w:trPr>
        <w:tc>
          <w:tcPr>
            <w:tcW w:w="4540" w:type="dxa"/>
            <w:vAlign w:val="bottom"/>
            <w:tcBorders>
              <w:bottom w:val="single" w:sz="8" w:color="231F20"/>
            </w:tcBorders>
          </w:tcPr>
          <w:p>
            <w:pPr>
              <w:ind w:left="100"/>
              <w:spacing w:after="0"/>
              <w:rPr>
                <w:sz w:val="20"/>
                <w:szCs w:val="20"/>
                <w:color w:val="auto"/>
              </w:rPr>
            </w:pPr>
            <w:r>
              <w:rPr>
                <w:rFonts w:ascii="Arial" w:cs="Arial" w:eastAsia="Arial" w:hAnsi="Arial"/>
                <w:sz w:val="14"/>
                <w:szCs w:val="14"/>
                <w:color w:val="231F20"/>
              </w:rPr>
              <w:t>Payment of accrued dividend equivalents</w:t>
            </w:r>
          </w:p>
        </w:tc>
        <w:tc>
          <w:tcPr>
            <w:tcW w:w="1640" w:type="dxa"/>
            <w:vAlign w:val="bottom"/>
            <w:tcBorders>
              <w:bottom w:val="single" w:sz="8" w:color="231F20"/>
            </w:tcBorders>
          </w:tcPr>
          <w:p>
            <w:pPr>
              <w:jc w:val="right"/>
              <w:ind w:right="252"/>
              <w:spacing w:after="0"/>
              <w:rPr>
                <w:sz w:val="20"/>
                <w:szCs w:val="20"/>
                <w:color w:val="auto"/>
              </w:rPr>
            </w:pPr>
            <w:r>
              <w:rPr>
                <w:rFonts w:ascii="Arial" w:cs="Arial" w:eastAsia="Arial" w:hAnsi="Arial"/>
                <w:sz w:val="14"/>
                <w:szCs w:val="14"/>
                <w:color w:val="231F20"/>
              </w:rPr>
              <w:t>40,892</w:t>
            </w:r>
          </w:p>
        </w:tc>
        <w:tc>
          <w:tcPr>
            <w:tcW w:w="1380" w:type="dxa"/>
            <w:vAlign w:val="bottom"/>
            <w:tcBorders>
              <w:bottom w:val="single" w:sz="8" w:color="231F20"/>
            </w:tcBorders>
          </w:tcPr>
          <w:p>
            <w:pPr>
              <w:jc w:val="right"/>
              <w:ind w:right="272"/>
              <w:spacing w:after="0"/>
              <w:rPr>
                <w:sz w:val="20"/>
                <w:szCs w:val="20"/>
                <w:color w:val="auto"/>
              </w:rPr>
            </w:pPr>
            <w:r>
              <w:rPr>
                <w:rFonts w:ascii="Arial" w:cs="Arial" w:eastAsia="Arial" w:hAnsi="Arial"/>
                <w:sz w:val="14"/>
                <w:szCs w:val="14"/>
                <w:color w:val="231F20"/>
              </w:rPr>
              <w:t>—</w:t>
            </w:r>
          </w:p>
        </w:tc>
        <w:tc>
          <w:tcPr>
            <w:tcW w:w="1380" w:type="dxa"/>
            <w:vAlign w:val="bottom"/>
            <w:tcBorders>
              <w:bottom w:val="single" w:sz="8" w:color="231F20"/>
            </w:tcBorders>
          </w:tcPr>
          <w:p>
            <w:pPr>
              <w:jc w:val="right"/>
              <w:ind w:right="312"/>
              <w:spacing w:after="0"/>
              <w:rPr>
                <w:sz w:val="20"/>
                <w:szCs w:val="20"/>
                <w:color w:val="auto"/>
              </w:rPr>
            </w:pPr>
            <w:r>
              <w:rPr>
                <w:rFonts w:ascii="Arial" w:cs="Arial" w:eastAsia="Arial" w:hAnsi="Arial"/>
                <w:sz w:val="14"/>
                <w:szCs w:val="14"/>
                <w:color w:val="231F20"/>
              </w:rPr>
              <w:t>22,365</w:t>
            </w:r>
          </w:p>
        </w:tc>
        <w:tc>
          <w:tcPr>
            <w:tcW w:w="1340" w:type="dxa"/>
            <w:vAlign w:val="bottom"/>
            <w:tcBorders>
              <w:bottom w:val="single" w:sz="8" w:color="231F20"/>
            </w:tcBorders>
          </w:tcPr>
          <w:p>
            <w:pPr>
              <w:jc w:val="right"/>
              <w:ind w:right="312"/>
              <w:spacing w:after="0"/>
              <w:rPr>
                <w:sz w:val="20"/>
                <w:szCs w:val="20"/>
                <w:color w:val="auto"/>
              </w:rPr>
            </w:pPr>
            <w:r>
              <w:rPr>
                <w:rFonts w:ascii="Arial" w:cs="Arial" w:eastAsia="Arial" w:hAnsi="Arial"/>
                <w:sz w:val="14"/>
                <w:szCs w:val="14"/>
                <w:color w:val="231F20"/>
              </w:rPr>
              <w:t>40,892</w:t>
            </w:r>
          </w:p>
        </w:tc>
        <w:tc>
          <w:tcPr>
            <w:tcW w:w="960" w:type="dxa"/>
            <w:vAlign w:val="bottom"/>
            <w:tcBorders>
              <w:bottom w:val="single" w:sz="8" w:color="231F20"/>
            </w:tcBorders>
          </w:tcPr>
          <w:p>
            <w:pPr>
              <w:jc w:val="right"/>
              <w:spacing w:after="0"/>
              <w:rPr>
                <w:sz w:val="20"/>
                <w:szCs w:val="20"/>
                <w:color w:val="auto"/>
              </w:rPr>
            </w:pPr>
            <w:r>
              <w:rPr>
                <w:rFonts w:ascii="Arial" w:cs="Arial" w:eastAsia="Arial" w:hAnsi="Arial"/>
                <w:sz w:val="14"/>
                <w:szCs w:val="14"/>
                <w:color w:val="231F20"/>
              </w:rPr>
              <w:t>40,892</w:t>
            </w:r>
          </w:p>
        </w:tc>
      </w:tr>
      <w:tr>
        <w:trPr>
          <w:trHeight w:val="197"/>
        </w:trPr>
        <w:tc>
          <w:tcPr>
            <w:tcW w:w="4540" w:type="dxa"/>
            <w:vAlign w:val="bottom"/>
            <w:tcBorders>
              <w:bottom w:val="single" w:sz="8" w:color="231F20"/>
            </w:tcBorders>
          </w:tcPr>
          <w:p>
            <w:pPr>
              <w:ind w:left="100"/>
              <w:spacing w:after="0"/>
              <w:rPr>
                <w:sz w:val="20"/>
                <w:szCs w:val="20"/>
                <w:color w:val="auto"/>
              </w:rPr>
            </w:pPr>
            <w:r>
              <w:rPr>
                <w:rFonts w:ascii="Arial" w:cs="Arial" w:eastAsia="Arial" w:hAnsi="Arial"/>
                <w:sz w:val="14"/>
                <w:szCs w:val="14"/>
                <w:color w:val="231F20"/>
              </w:rPr>
              <w:t>Vesting of restricted stock</w:t>
            </w:r>
          </w:p>
        </w:tc>
        <w:tc>
          <w:tcPr>
            <w:tcW w:w="1640" w:type="dxa"/>
            <w:vAlign w:val="bottom"/>
            <w:tcBorders>
              <w:bottom w:val="single" w:sz="8" w:color="231F20"/>
            </w:tcBorders>
          </w:tcPr>
          <w:p>
            <w:pPr>
              <w:jc w:val="right"/>
              <w:ind w:right="252"/>
              <w:spacing w:after="0"/>
              <w:rPr>
                <w:sz w:val="20"/>
                <w:szCs w:val="20"/>
                <w:color w:val="auto"/>
              </w:rPr>
            </w:pPr>
            <w:r>
              <w:rPr>
                <w:rFonts w:ascii="Arial" w:cs="Arial" w:eastAsia="Arial" w:hAnsi="Arial"/>
                <w:sz w:val="14"/>
                <w:szCs w:val="14"/>
                <w:color w:val="231F20"/>
              </w:rPr>
              <w:t>141,303</w:t>
            </w:r>
          </w:p>
        </w:tc>
        <w:tc>
          <w:tcPr>
            <w:tcW w:w="1380" w:type="dxa"/>
            <w:vAlign w:val="bottom"/>
            <w:tcBorders>
              <w:bottom w:val="single" w:sz="8" w:color="231F20"/>
            </w:tcBorders>
          </w:tcPr>
          <w:p>
            <w:pPr>
              <w:jc w:val="right"/>
              <w:ind w:right="272"/>
              <w:spacing w:after="0"/>
              <w:rPr>
                <w:sz w:val="20"/>
                <w:szCs w:val="20"/>
                <w:color w:val="auto"/>
              </w:rPr>
            </w:pPr>
            <w:r>
              <w:rPr>
                <w:rFonts w:ascii="Arial" w:cs="Arial" w:eastAsia="Arial" w:hAnsi="Arial"/>
                <w:sz w:val="14"/>
                <w:szCs w:val="14"/>
                <w:color w:val="231F20"/>
              </w:rPr>
              <w:t>—</w:t>
            </w:r>
          </w:p>
        </w:tc>
        <w:tc>
          <w:tcPr>
            <w:tcW w:w="1380" w:type="dxa"/>
            <w:vAlign w:val="bottom"/>
            <w:tcBorders>
              <w:bottom w:val="single" w:sz="8" w:color="231F20"/>
            </w:tcBorders>
          </w:tcPr>
          <w:p>
            <w:pPr>
              <w:jc w:val="right"/>
              <w:ind w:right="312"/>
              <w:spacing w:after="0"/>
              <w:rPr>
                <w:sz w:val="20"/>
                <w:szCs w:val="20"/>
                <w:color w:val="auto"/>
              </w:rPr>
            </w:pPr>
            <w:r>
              <w:rPr>
                <w:rFonts w:ascii="Arial" w:cs="Arial" w:eastAsia="Arial" w:hAnsi="Arial"/>
                <w:sz w:val="14"/>
                <w:szCs w:val="14"/>
                <w:color w:val="231F20"/>
              </w:rPr>
              <w:t>117,752</w:t>
            </w:r>
          </w:p>
        </w:tc>
        <w:tc>
          <w:tcPr>
            <w:tcW w:w="1340" w:type="dxa"/>
            <w:vAlign w:val="bottom"/>
            <w:tcBorders>
              <w:bottom w:val="single" w:sz="8" w:color="231F20"/>
            </w:tcBorders>
          </w:tcPr>
          <w:p>
            <w:pPr>
              <w:jc w:val="right"/>
              <w:ind w:right="312"/>
              <w:spacing w:after="0"/>
              <w:rPr>
                <w:sz w:val="20"/>
                <w:szCs w:val="20"/>
                <w:color w:val="auto"/>
              </w:rPr>
            </w:pPr>
            <w:r>
              <w:rPr>
                <w:rFonts w:ascii="Arial" w:cs="Arial" w:eastAsia="Arial" w:hAnsi="Arial"/>
                <w:sz w:val="14"/>
                <w:szCs w:val="14"/>
                <w:color w:val="231F20"/>
              </w:rPr>
              <w:t>141,303</w:t>
            </w:r>
          </w:p>
        </w:tc>
        <w:tc>
          <w:tcPr>
            <w:tcW w:w="960" w:type="dxa"/>
            <w:vAlign w:val="bottom"/>
            <w:tcBorders>
              <w:bottom w:val="single" w:sz="8" w:color="231F20"/>
            </w:tcBorders>
          </w:tcPr>
          <w:p>
            <w:pPr>
              <w:jc w:val="right"/>
              <w:spacing w:after="0"/>
              <w:rPr>
                <w:sz w:val="20"/>
                <w:szCs w:val="20"/>
                <w:color w:val="auto"/>
              </w:rPr>
            </w:pPr>
            <w:r>
              <w:rPr>
                <w:rFonts w:ascii="Arial" w:cs="Arial" w:eastAsia="Arial" w:hAnsi="Arial"/>
                <w:sz w:val="14"/>
                <w:szCs w:val="14"/>
                <w:color w:val="231F20"/>
              </w:rPr>
              <w:t>141,303</w:t>
            </w:r>
          </w:p>
        </w:tc>
      </w:tr>
      <w:tr>
        <w:trPr>
          <w:trHeight w:val="197"/>
        </w:trPr>
        <w:tc>
          <w:tcPr>
            <w:tcW w:w="4540" w:type="dxa"/>
            <w:vAlign w:val="bottom"/>
            <w:tcBorders>
              <w:bottom w:val="single" w:sz="8" w:color="231F20"/>
            </w:tcBorders>
          </w:tcPr>
          <w:p>
            <w:pPr>
              <w:ind w:left="100"/>
              <w:spacing w:after="0"/>
              <w:rPr>
                <w:sz w:val="20"/>
                <w:szCs w:val="20"/>
                <w:color w:val="auto"/>
              </w:rPr>
            </w:pPr>
            <w:r>
              <w:rPr>
                <w:rFonts w:ascii="Arial" w:cs="Arial" w:eastAsia="Arial" w:hAnsi="Arial"/>
                <w:sz w:val="14"/>
                <w:szCs w:val="14"/>
                <w:color w:val="231F20"/>
              </w:rPr>
              <w:t>Vesting of restricted share units</w:t>
            </w:r>
          </w:p>
        </w:tc>
        <w:tc>
          <w:tcPr>
            <w:tcW w:w="1640" w:type="dxa"/>
            <w:vAlign w:val="bottom"/>
            <w:tcBorders>
              <w:bottom w:val="single" w:sz="8" w:color="231F20"/>
            </w:tcBorders>
          </w:tcPr>
          <w:p>
            <w:pPr>
              <w:jc w:val="right"/>
              <w:ind w:right="252"/>
              <w:spacing w:after="0"/>
              <w:rPr>
                <w:sz w:val="20"/>
                <w:szCs w:val="20"/>
                <w:color w:val="auto"/>
              </w:rPr>
            </w:pPr>
            <w:r>
              <w:rPr>
                <w:rFonts w:ascii="Arial" w:cs="Arial" w:eastAsia="Arial" w:hAnsi="Arial"/>
                <w:sz w:val="14"/>
                <w:szCs w:val="14"/>
                <w:color w:val="231F20"/>
              </w:rPr>
              <w:t>406,268</w:t>
            </w:r>
          </w:p>
        </w:tc>
        <w:tc>
          <w:tcPr>
            <w:tcW w:w="1380" w:type="dxa"/>
            <w:vAlign w:val="bottom"/>
            <w:tcBorders>
              <w:bottom w:val="single" w:sz="8" w:color="231F20"/>
            </w:tcBorders>
          </w:tcPr>
          <w:p>
            <w:pPr>
              <w:jc w:val="right"/>
              <w:ind w:right="272"/>
              <w:spacing w:after="0"/>
              <w:rPr>
                <w:sz w:val="20"/>
                <w:szCs w:val="20"/>
                <w:color w:val="auto"/>
              </w:rPr>
            </w:pPr>
            <w:r>
              <w:rPr>
                <w:rFonts w:ascii="Arial" w:cs="Arial" w:eastAsia="Arial" w:hAnsi="Arial"/>
                <w:sz w:val="14"/>
                <w:szCs w:val="14"/>
                <w:color w:val="231F20"/>
              </w:rPr>
              <w:t>—</w:t>
            </w:r>
          </w:p>
        </w:tc>
        <w:tc>
          <w:tcPr>
            <w:tcW w:w="1380" w:type="dxa"/>
            <w:vAlign w:val="bottom"/>
            <w:tcBorders>
              <w:bottom w:val="single" w:sz="8" w:color="231F20"/>
            </w:tcBorders>
          </w:tcPr>
          <w:p>
            <w:pPr>
              <w:jc w:val="right"/>
              <w:ind w:right="312"/>
              <w:spacing w:after="0"/>
              <w:rPr>
                <w:sz w:val="20"/>
                <w:szCs w:val="20"/>
                <w:color w:val="auto"/>
              </w:rPr>
            </w:pPr>
            <w:r>
              <w:rPr>
                <w:rFonts w:ascii="Arial" w:cs="Arial" w:eastAsia="Arial" w:hAnsi="Arial"/>
                <w:sz w:val="14"/>
                <w:szCs w:val="14"/>
                <w:color w:val="231F20"/>
              </w:rPr>
              <w:t>238,738</w:t>
            </w:r>
          </w:p>
        </w:tc>
        <w:tc>
          <w:tcPr>
            <w:tcW w:w="1340" w:type="dxa"/>
            <w:vAlign w:val="bottom"/>
            <w:tcBorders>
              <w:bottom w:val="single" w:sz="8" w:color="231F20"/>
            </w:tcBorders>
          </w:tcPr>
          <w:p>
            <w:pPr>
              <w:jc w:val="right"/>
              <w:ind w:right="312"/>
              <w:spacing w:after="0"/>
              <w:rPr>
                <w:sz w:val="20"/>
                <w:szCs w:val="20"/>
                <w:color w:val="auto"/>
              </w:rPr>
            </w:pPr>
            <w:r>
              <w:rPr>
                <w:rFonts w:ascii="Arial" w:cs="Arial" w:eastAsia="Arial" w:hAnsi="Arial"/>
                <w:sz w:val="14"/>
                <w:szCs w:val="14"/>
                <w:color w:val="231F20"/>
              </w:rPr>
              <w:t>406,268</w:t>
            </w:r>
          </w:p>
        </w:tc>
        <w:tc>
          <w:tcPr>
            <w:tcW w:w="960" w:type="dxa"/>
            <w:vAlign w:val="bottom"/>
            <w:tcBorders>
              <w:bottom w:val="single" w:sz="8" w:color="231F20"/>
            </w:tcBorders>
          </w:tcPr>
          <w:p>
            <w:pPr>
              <w:jc w:val="right"/>
              <w:spacing w:after="0"/>
              <w:rPr>
                <w:sz w:val="20"/>
                <w:szCs w:val="20"/>
                <w:color w:val="auto"/>
              </w:rPr>
            </w:pPr>
            <w:r>
              <w:rPr>
                <w:rFonts w:ascii="Arial" w:cs="Arial" w:eastAsia="Arial" w:hAnsi="Arial"/>
                <w:sz w:val="14"/>
                <w:szCs w:val="14"/>
                <w:color w:val="231F20"/>
              </w:rPr>
              <w:t>406,268</w:t>
            </w:r>
          </w:p>
        </w:tc>
      </w:tr>
      <w:tr>
        <w:trPr>
          <w:trHeight w:val="197"/>
        </w:trPr>
        <w:tc>
          <w:tcPr>
            <w:tcW w:w="4540" w:type="dxa"/>
            <w:vAlign w:val="bottom"/>
            <w:tcBorders>
              <w:bottom w:val="single" w:sz="8" w:color="231F20"/>
            </w:tcBorders>
          </w:tcPr>
          <w:p>
            <w:pPr>
              <w:ind w:left="100"/>
              <w:spacing w:after="0"/>
              <w:rPr>
                <w:sz w:val="20"/>
                <w:szCs w:val="20"/>
                <w:color w:val="auto"/>
              </w:rPr>
            </w:pPr>
            <w:r>
              <w:rPr>
                <w:rFonts w:ascii="Arial" w:cs="Arial" w:eastAsia="Arial" w:hAnsi="Arial"/>
                <w:sz w:val="14"/>
                <w:szCs w:val="14"/>
                <w:color w:val="231F20"/>
              </w:rPr>
              <w:t>Vesting of performance share units</w:t>
            </w:r>
          </w:p>
        </w:tc>
        <w:tc>
          <w:tcPr>
            <w:tcW w:w="1640" w:type="dxa"/>
            <w:vAlign w:val="bottom"/>
            <w:tcBorders>
              <w:bottom w:val="single" w:sz="8" w:color="231F20"/>
            </w:tcBorders>
          </w:tcPr>
          <w:p>
            <w:pPr>
              <w:jc w:val="right"/>
              <w:ind w:right="252"/>
              <w:spacing w:after="0"/>
              <w:rPr>
                <w:sz w:val="20"/>
                <w:szCs w:val="20"/>
                <w:color w:val="auto"/>
              </w:rPr>
            </w:pPr>
            <w:r>
              <w:rPr>
                <w:rFonts w:ascii="Arial" w:cs="Arial" w:eastAsia="Arial" w:hAnsi="Arial"/>
                <w:sz w:val="14"/>
                <w:szCs w:val="14"/>
                <w:color w:val="231F20"/>
              </w:rPr>
              <w:t>869,684</w:t>
            </w:r>
          </w:p>
        </w:tc>
        <w:tc>
          <w:tcPr>
            <w:tcW w:w="1380" w:type="dxa"/>
            <w:vAlign w:val="bottom"/>
            <w:tcBorders>
              <w:bottom w:val="single" w:sz="8" w:color="231F20"/>
            </w:tcBorders>
          </w:tcPr>
          <w:p>
            <w:pPr>
              <w:jc w:val="right"/>
              <w:ind w:right="272"/>
              <w:spacing w:after="0"/>
              <w:rPr>
                <w:sz w:val="20"/>
                <w:szCs w:val="20"/>
                <w:color w:val="auto"/>
              </w:rPr>
            </w:pPr>
            <w:r>
              <w:rPr>
                <w:rFonts w:ascii="Arial" w:cs="Arial" w:eastAsia="Arial" w:hAnsi="Arial"/>
                <w:sz w:val="14"/>
                <w:szCs w:val="14"/>
                <w:color w:val="231F20"/>
              </w:rPr>
              <w:t>—</w:t>
            </w:r>
          </w:p>
        </w:tc>
        <w:tc>
          <w:tcPr>
            <w:tcW w:w="1380" w:type="dxa"/>
            <w:vAlign w:val="bottom"/>
            <w:tcBorders>
              <w:bottom w:val="single" w:sz="8" w:color="231F20"/>
            </w:tcBorders>
          </w:tcPr>
          <w:p>
            <w:pPr>
              <w:jc w:val="right"/>
              <w:ind w:right="312"/>
              <w:spacing w:after="0"/>
              <w:rPr>
                <w:sz w:val="20"/>
                <w:szCs w:val="20"/>
                <w:color w:val="auto"/>
              </w:rPr>
            </w:pPr>
            <w:r>
              <w:rPr>
                <w:rFonts w:ascii="Arial" w:cs="Arial" w:eastAsia="Arial" w:hAnsi="Arial"/>
                <w:sz w:val="14"/>
                <w:szCs w:val="14"/>
                <w:color w:val="231F20"/>
              </w:rPr>
              <w:t>344,215</w:t>
            </w:r>
          </w:p>
        </w:tc>
        <w:tc>
          <w:tcPr>
            <w:tcW w:w="1340" w:type="dxa"/>
            <w:vAlign w:val="bottom"/>
            <w:tcBorders>
              <w:bottom w:val="single" w:sz="8" w:color="231F20"/>
            </w:tcBorders>
          </w:tcPr>
          <w:p>
            <w:pPr>
              <w:jc w:val="right"/>
              <w:ind w:right="312"/>
              <w:spacing w:after="0"/>
              <w:rPr>
                <w:sz w:val="20"/>
                <w:szCs w:val="20"/>
                <w:color w:val="auto"/>
              </w:rPr>
            </w:pPr>
            <w:r>
              <w:rPr>
                <w:rFonts w:ascii="Arial" w:cs="Arial" w:eastAsia="Arial" w:hAnsi="Arial"/>
                <w:sz w:val="14"/>
                <w:szCs w:val="14"/>
                <w:color w:val="231F20"/>
              </w:rPr>
              <w:t>869,684</w:t>
            </w:r>
          </w:p>
        </w:tc>
        <w:tc>
          <w:tcPr>
            <w:tcW w:w="960" w:type="dxa"/>
            <w:vAlign w:val="bottom"/>
            <w:tcBorders>
              <w:bottom w:val="single" w:sz="8" w:color="231F20"/>
            </w:tcBorders>
          </w:tcPr>
          <w:p>
            <w:pPr>
              <w:jc w:val="right"/>
              <w:spacing w:after="0"/>
              <w:rPr>
                <w:sz w:val="20"/>
                <w:szCs w:val="20"/>
                <w:color w:val="auto"/>
              </w:rPr>
            </w:pPr>
            <w:r>
              <w:rPr>
                <w:rFonts w:ascii="Arial" w:cs="Arial" w:eastAsia="Arial" w:hAnsi="Arial"/>
                <w:sz w:val="14"/>
                <w:szCs w:val="14"/>
                <w:color w:val="231F20"/>
              </w:rPr>
              <w:t>869,684</w:t>
            </w:r>
          </w:p>
        </w:tc>
      </w:tr>
      <w:tr>
        <w:trPr>
          <w:trHeight w:val="197"/>
        </w:trPr>
        <w:tc>
          <w:tcPr>
            <w:tcW w:w="4540" w:type="dxa"/>
            <w:vAlign w:val="bottom"/>
            <w:tcBorders>
              <w:bottom w:val="single" w:sz="8" w:color="231F20"/>
            </w:tcBorders>
          </w:tcPr>
          <w:p>
            <w:pPr>
              <w:ind w:left="100"/>
              <w:spacing w:after="0"/>
              <w:rPr>
                <w:sz w:val="20"/>
                <w:szCs w:val="20"/>
                <w:color w:val="auto"/>
              </w:rPr>
            </w:pPr>
            <w:r>
              <w:rPr>
                <w:rFonts w:ascii="Arial" w:cs="Arial" w:eastAsia="Arial" w:hAnsi="Arial"/>
                <w:sz w:val="14"/>
                <w:szCs w:val="14"/>
                <w:color w:val="231F20"/>
              </w:rPr>
              <w:t>Vesting of stock options</w:t>
            </w:r>
          </w:p>
        </w:tc>
        <w:tc>
          <w:tcPr>
            <w:tcW w:w="1640" w:type="dxa"/>
            <w:vAlign w:val="bottom"/>
            <w:tcBorders>
              <w:bottom w:val="single" w:sz="8" w:color="231F20"/>
            </w:tcBorders>
          </w:tcPr>
          <w:p>
            <w:pPr>
              <w:jc w:val="right"/>
              <w:ind w:right="252"/>
              <w:spacing w:after="0"/>
              <w:rPr>
                <w:sz w:val="20"/>
                <w:szCs w:val="20"/>
                <w:color w:val="auto"/>
              </w:rPr>
            </w:pPr>
            <w:r>
              <w:rPr>
                <w:rFonts w:ascii="Arial" w:cs="Arial" w:eastAsia="Arial" w:hAnsi="Arial"/>
                <w:sz w:val="14"/>
                <w:szCs w:val="14"/>
                <w:color w:val="231F20"/>
              </w:rPr>
              <w:t>577,171</w:t>
            </w:r>
          </w:p>
        </w:tc>
        <w:tc>
          <w:tcPr>
            <w:tcW w:w="1380" w:type="dxa"/>
            <w:vAlign w:val="bottom"/>
            <w:tcBorders>
              <w:bottom w:val="single" w:sz="8" w:color="231F20"/>
            </w:tcBorders>
          </w:tcPr>
          <w:p>
            <w:pPr>
              <w:jc w:val="right"/>
              <w:ind w:right="272"/>
              <w:spacing w:after="0"/>
              <w:rPr>
                <w:sz w:val="20"/>
                <w:szCs w:val="20"/>
                <w:color w:val="auto"/>
              </w:rPr>
            </w:pPr>
            <w:r>
              <w:rPr>
                <w:rFonts w:ascii="Arial" w:cs="Arial" w:eastAsia="Arial" w:hAnsi="Arial"/>
                <w:sz w:val="14"/>
                <w:szCs w:val="14"/>
                <w:color w:val="231F20"/>
              </w:rPr>
              <w:t>—</w:t>
            </w:r>
          </w:p>
        </w:tc>
        <w:tc>
          <w:tcPr>
            <w:tcW w:w="1380" w:type="dxa"/>
            <w:vAlign w:val="bottom"/>
            <w:tcBorders>
              <w:bottom w:val="single" w:sz="8" w:color="231F20"/>
            </w:tcBorders>
          </w:tcPr>
          <w:p>
            <w:pPr>
              <w:jc w:val="right"/>
              <w:ind w:right="312"/>
              <w:spacing w:after="0"/>
              <w:rPr>
                <w:sz w:val="20"/>
                <w:szCs w:val="20"/>
                <w:color w:val="auto"/>
              </w:rPr>
            </w:pPr>
            <w:r>
              <w:rPr>
                <w:rFonts w:ascii="Arial" w:cs="Arial" w:eastAsia="Arial" w:hAnsi="Arial"/>
                <w:sz w:val="14"/>
                <w:szCs w:val="14"/>
                <w:color w:val="231F20"/>
              </w:rPr>
              <w:t>379,069</w:t>
            </w:r>
          </w:p>
        </w:tc>
        <w:tc>
          <w:tcPr>
            <w:tcW w:w="1340" w:type="dxa"/>
            <w:vAlign w:val="bottom"/>
            <w:tcBorders>
              <w:bottom w:val="single" w:sz="8" w:color="231F20"/>
            </w:tcBorders>
          </w:tcPr>
          <w:p>
            <w:pPr>
              <w:jc w:val="right"/>
              <w:ind w:right="312"/>
              <w:spacing w:after="0"/>
              <w:rPr>
                <w:sz w:val="20"/>
                <w:szCs w:val="20"/>
                <w:color w:val="auto"/>
              </w:rPr>
            </w:pPr>
            <w:r>
              <w:rPr>
                <w:rFonts w:ascii="Arial" w:cs="Arial" w:eastAsia="Arial" w:hAnsi="Arial"/>
                <w:sz w:val="14"/>
                <w:szCs w:val="14"/>
                <w:color w:val="231F20"/>
              </w:rPr>
              <w:t>577,171</w:t>
            </w:r>
          </w:p>
        </w:tc>
        <w:tc>
          <w:tcPr>
            <w:tcW w:w="960" w:type="dxa"/>
            <w:vAlign w:val="bottom"/>
            <w:tcBorders>
              <w:bottom w:val="single" w:sz="8" w:color="231F20"/>
            </w:tcBorders>
          </w:tcPr>
          <w:p>
            <w:pPr>
              <w:jc w:val="right"/>
              <w:spacing w:after="0"/>
              <w:rPr>
                <w:sz w:val="20"/>
                <w:szCs w:val="20"/>
                <w:color w:val="auto"/>
              </w:rPr>
            </w:pPr>
            <w:r>
              <w:rPr>
                <w:rFonts w:ascii="Arial" w:cs="Arial" w:eastAsia="Arial" w:hAnsi="Arial"/>
                <w:sz w:val="14"/>
                <w:szCs w:val="14"/>
                <w:color w:val="231F20"/>
              </w:rPr>
              <w:t>577,171</w:t>
            </w:r>
          </w:p>
        </w:tc>
      </w:tr>
      <w:tr>
        <w:trPr>
          <w:trHeight w:val="197"/>
        </w:trPr>
        <w:tc>
          <w:tcPr>
            <w:tcW w:w="4540" w:type="dxa"/>
            <w:vAlign w:val="bottom"/>
            <w:tcBorders>
              <w:bottom w:val="single" w:sz="8" w:color="231F20"/>
            </w:tcBorders>
          </w:tcPr>
          <w:p>
            <w:pPr>
              <w:ind w:left="100"/>
              <w:spacing w:after="0"/>
              <w:rPr>
                <w:sz w:val="20"/>
                <w:szCs w:val="20"/>
                <w:color w:val="auto"/>
              </w:rPr>
            </w:pPr>
            <w:r>
              <w:rPr>
                <w:rFonts w:ascii="Arial" w:cs="Arial" w:eastAsia="Arial" w:hAnsi="Arial"/>
                <w:sz w:val="14"/>
                <w:szCs w:val="14"/>
                <w:color w:val="231F20"/>
              </w:rPr>
              <w:t>Continuation of welfare benefits</w:t>
            </w:r>
          </w:p>
        </w:tc>
        <w:tc>
          <w:tcPr>
            <w:tcW w:w="1640" w:type="dxa"/>
            <w:vAlign w:val="bottom"/>
            <w:tcBorders>
              <w:bottom w:val="single" w:sz="8" w:color="231F20"/>
            </w:tcBorders>
          </w:tcPr>
          <w:p>
            <w:pPr>
              <w:jc w:val="right"/>
              <w:ind w:right="252"/>
              <w:spacing w:after="0"/>
              <w:rPr>
                <w:sz w:val="20"/>
                <w:szCs w:val="20"/>
                <w:color w:val="auto"/>
              </w:rPr>
            </w:pPr>
            <w:r>
              <w:rPr>
                <w:rFonts w:ascii="Arial" w:cs="Arial" w:eastAsia="Arial" w:hAnsi="Arial"/>
                <w:sz w:val="14"/>
                <w:szCs w:val="14"/>
                <w:color w:val="231F20"/>
              </w:rPr>
              <w:t>59,220</w:t>
            </w:r>
          </w:p>
        </w:tc>
        <w:tc>
          <w:tcPr>
            <w:tcW w:w="1380" w:type="dxa"/>
            <w:vAlign w:val="bottom"/>
            <w:tcBorders>
              <w:bottom w:val="single" w:sz="8" w:color="231F20"/>
            </w:tcBorders>
          </w:tcPr>
          <w:p>
            <w:pPr>
              <w:jc w:val="right"/>
              <w:ind w:right="272"/>
              <w:spacing w:after="0"/>
              <w:rPr>
                <w:sz w:val="20"/>
                <w:szCs w:val="20"/>
                <w:color w:val="auto"/>
              </w:rPr>
            </w:pPr>
            <w:r>
              <w:rPr>
                <w:rFonts w:ascii="Arial" w:cs="Arial" w:eastAsia="Arial" w:hAnsi="Arial"/>
                <w:sz w:val="14"/>
                <w:szCs w:val="14"/>
                <w:color w:val="231F20"/>
              </w:rPr>
              <w:t>14,444</w:t>
            </w:r>
          </w:p>
        </w:tc>
        <w:tc>
          <w:tcPr>
            <w:tcW w:w="1380" w:type="dxa"/>
            <w:vAlign w:val="bottom"/>
            <w:tcBorders>
              <w:bottom w:val="single" w:sz="8" w:color="231F20"/>
            </w:tcBorders>
          </w:tcPr>
          <w:p>
            <w:pPr>
              <w:jc w:val="right"/>
              <w:ind w:right="312"/>
              <w:spacing w:after="0"/>
              <w:rPr>
                <w:sz w:val="20"/>
                <w:szCs w:val="20"/>
                <w:color w:val="auto"/>
              </w:rPr>
            </w:pPr>
            <w:r>
              <w:rPr>
                <w:rFonts w:ascii="Arial" w:cs="Arial" w:eastAsia="Arial" w:hAnsi="Arial"/>
                <w:sz w:val="14"/>
                <w:szCs w:val="14"/>
                <w:color w:val="231F20"/>
              </w:rPr>
              <w:t>—</w:t>
            </w:r>
          </w:p>
        </w:tc>
        <w:tc>
          <w:tcPr>
            <w:tcW w:w="1340" w:type="dxa"/>
            <w:vAlign w:val="bottom"/>
            <w:tcBorders>
              <w:bottom w:val="single" w:sz="8" w:color="231F20"/>
            </w:tcBorders>
          </w:tcPr>
          <w:p>
            <w:pPr>
              <w:jc w:val="right"/>
              <w:ind w:right="312"/>
              <w:spacing w:after="0"/>
              <w:rPr>
                <w:sz w:val="20"/>
                <w:szCs w:val="20"/>
                <w:color w:val="auto"/>
              </w:rPr>
            </w:pPr>
            <w:r>
              <w:rPr>
                <w:rFonts w:ascii="Arial" w:cs="Arial" w:eastAsia="Arial" w:hAnsi="Arial"/>
                <w:sz w:val="14"/>
                <w:szCs w:val="14"/>
                <w:color w:val="231F20"/>
              </w:rPr>
              <w:t>—</w:t>
            </w:r>
          </w:p>
        </w:tc>
        <w:tc>
          <w:tcPr>
            <w:tcW w:w="960" w:type="dxa"/>
            <w:vAlign w:val="bottom"/>
            <w:tcBorders>
              <w:bottom w:val="single" w:sz="8" w:color="231F20"/>
            </w:tcBorders>
          </w:tcPr>
          <w:p>
            <w:pPr>
              <w:jc w:val="right"/>
              <w:spacing w:after="0"/>
              <w:rPr>
                <w:sz w:val="20"/>
                <w:szCs w:val="20"/>
                <w:color w:val="auto"/>
              </w:rPr>
            </w:pPr>
            <w:r>
              <w:rPr>
                <w:rFonts w:ascii="Arial" w:cs="Arial" w:eastAsia="Arial" w:hAnsi="Arial"/>
                <w:sz w:val="14"/>
                <w:szCs w:val="14"/>
                <w:color w:val="231F20"/>
              </w:rPr>
              <w:t>—</w:t>
            </w:r>
          </w:p>
        </w:tc>
      </w:tr>
      <w:tr>
        <w:trPr>
          <w:trHeight w:val="200"/>
        </w:trPr>
        <w:tc>
          <w:tcPr>
            <w:tcW w:w="4540" w:type="dxa"/>
            <w:vAlign w:val="bottom"/>
            <w:tcBorders>
              <w:bottom w:val="single" w:sz="8" w:color="231F20"/>
            </w:tcBorders>
          </w:tcPr>
          <w:p>
            <w:pPr>
              <w:spacing w:after="0"/>
              <w:rPr>
                <w:sz w:val="20"/>
                <w:szCs w:val="20"/>
                <w:color w:val="auto"/>
              </w:rPr>
            </w:pPr>
            <w:r>
              <w:rPr>
                <w:rFonts w:ascii="Arial" w:cs="Arial" w:eastAsia="Arial" w:hAnsi="Arial"/>
                <w:sz w:val="14"/>
                <w:szCs w:val="14"/>
                <w:b w:val="1"/>
                <w:bCs w:val="1"/>
                <w:color w:val="455986"/>
              </w:rPr>
              <w:t>Outplacement services</w:t>
            </w:r>
          </w:p>
        </w:tc>
        <w:tc>
          <w:tcPr>
            <w:tcW w:w="1640" w:type="dxa"/>
            <w:vAlign w:val="bottom"/>
            <w:tcBorders>
              <w:bottom w:val="single" w:sz="8" w:color="231F20"/>
            </w:tcBorders>
          </w:tcPr>
          <w:p>
            <w:pPr>
              <w:jc w:val="right"/>
              <w:ind w:right="252"/>
              <w:spacing w:after="0"/>
              <w:rPr>
                <w:sz w:val="20"/>
                <w:szCs w:val="20"/>
                <w:color w:val="auto"/>
              </w:rPr>
            </w:pPr>
            <w:r>
              <w:rPr>
                <w:rFonts w:ascii="Arial" w:cs="Arial" w:eastAsia="Arial" w:hAnsi="Arial"/>
                <w:sz w:val="14"/>
                <w:szCs w:val="14"/>
                <w:color w:val="231F20"/>
              </w:rPr>
              <w:t>20,000</w:t>
            </w:r>
          </w:p>
        </w:tc>
        <w:tc>
          <w:tcPr>
            <w:tcW w:w="1380" w:type="dxa"/>
            <w:vAlign w:val="bottom"/>
            <w:tcBorders>
              <w:bottom w:val="single" w:sz="8" w:color="231F20"/>
            </w:tcBorders>
          </w:tcPr>
          <w:p>
            <w:pPr>
              <w:jc w:val="right"/>
              <w:ind w:right="272"/>
              <w:spacing w:after="0"/>
              <w:rPr>
                <w:sz w:val="20"/>
                <w:szCs w:val="20"/>
                <w:color w:val="auto"/>
              </w:rPr>
            </w:pPr>
            <w:r>
              <w:rPr>
                <w:rFonts w:ascii="Arial" w:cs="Arial" w:eastAsia="Arial" w:hAnsi="Arial"/>
                <w:sz w:val="14"/>
                <w:szCs w:val="14"/>
                <w:color w:val="231F20"/>
              </w:rPr>
              <w:t>—</w:t>
            </w:r>
          </w:p>
        </w:tc>
        <w:tc>
          <w:tcPr>
            <w:tcW w:w="1380" w:type="dxa"/>
            <w:vAlign w:val="bottom"/>
            <w:tcBorders>
              <w:bottom w:val="single" w:sz="8" w:color="231F20"/>
            </w:tcBorders>
          </w:tcPr>
          <w:p>
            <w:pPr>
              <w:jc w:val="right"/>
              <w:ind w:right="312"/>
              <w:spacing w:after="0"/>
              <w:rPr>
                <w:sz w:val="20"/>
                <w:szCs w:val="20"/>
                <w:color w:val="auto"/>
              </w:rPr>
            </w:pPr>
            <w:r>
              <w:rPr>
                <w:rFonts w:ascii="Arial" w:cs="Arial" w:eastAsia="Arial" w:hAnsi="Arial"/>
                <w:sz w:val="14"/>
                <w:szCs w:val="14"/>
                <w:color w:val="231F20"/>
              </w:rPr>
              <w:t>—</w:t>
            </w:r>
          </w:p>
        </w:tc>
        <w:tc>
          <w:tcPr>
            <w:tcW w:w="1340" w:type="dxa"/>
            <w:vAlign w:val="bottom"/>
            <w:tcBorders>
              <w:bottom w:val="single" w:sz="8" w:color="231F20"/>
            </w:tcBorders>
          </w:tcPr>
          <w:p>
            <w:pPr>
              <w:jc w:val="right"/>
              <w:ind w:right="312"/>
              <w:spacing w:after="0"/>
              <w:rPr>
                <w:sz w:val="20"/>
                <w:szCs w:val="20"/>
                <w:color w:val="auto"/>
              </w:rPr>
            </w:pPr>
            <w:r>
              <w:rPr>
                <w:rFonts w:ascii="Arial" w:cs="Arial" w:eastAsia="Arial" w:hAnsi="Arial"/>
                <w:sz w:val="14"/>
                <w:szCs w:val="14"/>
                <w:color w:val="231F20"/>
              </w:rPr>
              <w:t>—</w:t>
            </w:r>
          </w:p>
        </w:tc>
        <w:tc>
          <w:tcPr>
            <w:tcW w:w="960" w:type="dxa"/>
            <w:vAlign w:val="bottom"/>
            <w:tcBorders>
              <w:bottom w:val="single" w:sz="8" w:color="231F20"/>
            </w:tcBorders>
          </w:tcPr>
          <w:p>
            <w:pPr>
              <w:jc w:val="right"/>
              <w:spacing w:after="0"/>
              <w:rPr>
                <w:sz w:val="20"/>
                <w:szCs w:val="20"/>
                <w:color w:val="auto"/>
              </w:rPr>
            </w:pPr>
            <w:r>
              <w:rPr>
                <w:rFonts w:ascii="Arial" w:cs="Arial" w:eastAsia="Arial" w:hAnsi="Arial"/>
                <w:sz w:val="14"/>
                <w:szCs w:val="14"/>
                <w:color w:val="231F20"/>
              </w:rPr>
              <w:t>—</w:t>
            </w:r>
          </w:p>
        </w:tc>
      </w:tr>
      <w:tr>
        <w:trPr>
          <w:trHeight w:val="197"/>
        </w:trPr>
        <w:tc>
          <w:tcPr>
            <w:tcW w:w="4540" w:type="dxa"/>
            <w:vAlign w:val="bottom"/>
            <w:tcBorders>
              <w:bottom w:val="single" w:sz="8" w:color="231F20"/>
            </w:tcBorders>
          </w:tcPr>
          <w:p>
            <w:pPr>
              <w:spacing w:after="0"/>
              <w:rPr>
                <w:sz w:val="20"/>
                <w:szCs w:val="20"/>
                <w:color w:val="auto"/>
              </w:rPr>
            </w:pPr>
            <w:r>
              <w:rPr>
                <w:rFonts w:ascii="Arial" w:cs="Arial" w:eastAsia="Arial" w:hAnsi="Arial"/>
                <w:sz w:val="14"/>
                <w:szCs w:val="14"/>
                <w:b w:val="1"/>
                <w:bCs w:val="1"/>
                <w:color w:val="455986"/>
              </w:rPr>
              <w:t>Vested Retirement Benefits</w:t>
            </w:r>
          </w:p>
        </w:tc>
        <w:tc>
          <w:tcPr>
            <w:tcW w:w="1640" w:type="dxa"/>
            <w:vAlign w:val="bottom"/>
            <w:tcBorders>
              <w:bottom w:val="single" w:sz="8" w:color="231F20"/>
            </w:tcBorders>
          </w:tcPr>
          <w:p>
            <w:pPr>
              <w:spacing w:after="0"/>
              <w:rPr>
                <w:sz w:val="17"/>
                <w:szCs w:val="17"/>
                <w:color w:val="auto"/>
              </w:rPr>
            </w:pPr>
          </w:p>
        </w:tc>
        <w:tc>
          <w:tcPr>
            <w:tcW w:w="1380" w:type="dxa"/>
            <w:vAlign w:val="bottom"/>
            <w:tcBorders>
              <w:bottom w:val="single" w:sz="8" w:color="231F20"/>
            </w:tcBorders>
          </w:tcPr>
          <w:p>
            <w:pPr>
              <w:spacing w:after="0"/>
              <w:rPr>
                <w:sz w:val="17"/>
                <w:szCs w:val="17"/>
                <w:color w:val="auto"/>
              </w:rPr>
            </w:pPr>
          </w:p>
        </w:tc>
        <w:tc>
          <w:tcPr>
            <w:tcW w:w="1380" w:type="dxa"/>
            <w:vAlign w:val="bottom"/>
            <w:tcBorders>
              <w:bottom w:val="single" w:sz="8" w:color="231F20"/>
            </w:tcBorders>
          </w:tcPr>
          <w:p>
            <w:pPr>
              <w:spacing w:after="0"/>
              <w:rPr>
                <w:sz w:val="17"/>
                <w:szCs w:val="17"/>
                <w:color w:val="auto"/>
              </w:rPr>
            </w:pPr>
          </w:p>
        </w:tc>
        <w:tc>
          <w:tcPr>
            <w:tcW w:w="1340" w:type="dxa"/>
            <w:vAlign w:val="bottom"/>
            <w:tcBorders>
              <w:bottom w:val="single" w:sz="8" w:color="231F20"/>
            </w:tcBorders>
          </w:tcPr>
          <w:p>
            <w:pPr>
              <w:spacing w:after="0"/>
              <w:rPr>
                <w:sz w:val="17"/>
                <w:szCs w:val="17"/>
                <w:color w:val="auto"/>
              </w:rPr>
            </w:pPr>
          </w:p>
        </w:tc>
        <w:tc>
          <w:tcPr>
            <w:tcW w:w="960" w:type="dxa"/>
            <w:vAlign w:val="bottom"/>
            <w:tcBorders>
              <w:bottom w:val="single" w:sz="8" w:color="231F20"/>
            </w:tcBorders>
          </w:tcPr>
          <w:p>
            <w:pPr>
              <w:spacing w:after="0"/>
              <w:rPr>
                <w:sz w:val="17"/>
                <w:szCs w:val="17"/>
                <w:color w:val="auto"/>
              </w:rPr>
            </w:pPr>
          </w:p>
        </w:tc>
      </w:tr>
      <w:tr>
        <w:trPr>
          <w:trHeight w:val="160"/>
        </w:trPr>
        <w:tc>
          <w:tcPr>
            <w:tcW w:w="4540" w:type="dxa"/>
            <w:vAlign w:val="bottom"/>
          </w:tcPr>
          <w:p>
            <w:pPr>
              <w:ind w:left="100"/>
              <w:spacing w:after="0"/>
              <w:rPr>
                <w:sz w:val="20"/>
                <w:szCs w:val="20"/>
                <w:color w:val="auto"/>
              </w:rPr>
            </w:pPr>
            <w:r>
              <w:rPr>
                <w:rFonts w:ascii="Arial" w:cs="Arial" w:eastAsia="Arial" w:hAnsi="Arial"/>
                <w:sz w:val="14"/>
                <w:szCs w:val="14"/>
                <w:color w:val="231F20"/>
              </w:rPr>
              <w:t>Incremental pension value above that included in the Pension Benefits</w:t>
            </w:r>
          </w:p>
        </w:tc>
        <w:tc>
          <w:tcPr>
            <w:tcW w:w="1640" w:type="dxa"/>
            <w:vAlign w:val="bottom"/>
          </w:tcPr>
          <w:p>
            <w:pPr>
              <w:jc w:val="right"/>
              <w:ind w:right="252"/>
              <w:spacing w:after="0"/>
              <w:rPr>
                <w:sz w:val="20"/>
                <w:szCs w:val="20"/>
                <w:color w:val="auto"/>
              </w:rPr>
            </w:pPr>
            <w:r>
              <w:rPr>
                <w:rFonts w:ascii="Arial" w:cs="Arial" w:eastAsia="Arial" w:hAnsi="Arial"/>
                <w:sz w:val="14"/>
                <w:szCs w:val="14"/>
                <w:color w:val="231F20"/>
              </w:rPr>
              <w:t>—</w:t>
            </w:r>
          </w:p>
        </w:tc>
        <w:tc>
          <w:tcPr>
            <w:tcW w:w="1380" w:type="dxa"/>
            <w:vAlign w:val="bottom"/>
          </w:tcPr>
          <w:p>
            <w:pPr>
              <w:jc w:val="right"/>
              <w:ind w:right="272"/>
              <w:spacing w:after="0"/>
              <w:rPr>
                <w:sz w:val="20"/>
                <w:szCs w:val="20"/>
                <w:color w:val="auto"/>
              </w:rPr>
            </w:pPr>
            <w:r>
              <w:rPr>
                <w:rFonts w:ascii="Arial" w:cs="Arial" w:eastAsia="Arial" w:hAnsi="Arial"/>
                <w:sz w:val="14"/>
                <w:szCs w:val="14"/>
                <w:color w:val="231F20"/>
              </w:rPr>
              <w:t>—</w:t>
            </w:r>
          </w:p>
        </w:tc>
        <w:tc>
          <w:tcPr>
            <w:tcW w:w="1380" w:type="dxa"/>
            <w:vAlign w:val="bottom"/>
          </w:tcPr>
          <w:p>
            <w:pPr>
              <w:jc w:val="right"/>
              <w:ind w:right="312"/>
              <w:spacing w:after="0"/>
              <w:rPr>
                <w:sz w:val="20"/>
                <w:szCs w:val="20"/>
                <w:color w:val="auto"/>
              </w:rPr>
            </w:pPr>
            <w:r>
              <w:rPr>
                <w:rFonts w:ascii="Arial" w:cs="Arial" w:eastAsia="Arial" w:hAnsi="Arial"/>
                <w:sz w:val="14"/>
                <w:szCs w:val="14"/>
                <w:color w:val="231F20"/>
              </w:rPr>
              <w:t>—</w:t>
            </w:r>
          </w:p>
        </w:tc>
        <w:tc>
          <w:tcPr>
            <w:tcW w:w="1340" w:type="dxa"/>
            <w:vAlign w:val="bottom"/>
          </w:tcPr>
          <w:p>
            <w:pPr>
              <w:jc w:val="right"/>
              <w:ind w:right="312"/>
              <w:spacing w:after="0"/>
              <w:rPr>
                <w:sz w:val="20"/>
                <w:szCs w:val="20"/>
                <w:color w:val="auto"/>
              </w:rPr>
            </w:pPr>
            <w:r>
              <w:rPr>
                <w:rFonts w:ascii="Arial" w:cs="Arial" w:eastAsia="Arial" w:hAnsi="Arial"/>
                <w:sz w:val="14"/>
                <w:szCs w:val="14"/>
                <w:color w:val="231F20"/>
              </w:rPr>
              <w:t>—</w:t>
            </w:r>
          </w:p>
        </w:tc>
        <w:tc>
          <w:tcPr>
            <w:tcW w:w="960" w:type="dxa"/>
            <w:vAlign w:val="bottom"/>
          </w:tcPr>
          <w:p>
            <w:pPr>
              <w:jc w:val="right"/>
              <w:spacing w:after="0"/>
              <w:rPr>
                <w:sz w:val="20"/>
                <w:szCs w:val="20"/>
                <w:color w:val="auto"/>
              </w:rPr>
            </w:pPr>
            <w:r>
              <w:rPr>
                <w:rFonts w:ascii="Arial" w:cs="Arial" w:eastAsia="Arial" w:hAnsi="Arial"/>
                <w:sz w:val="14"/>
                <w:szCs w:val="14"/>
                <w:color w:val="231F20"/>
              </w:rPr>
              <w:t>—</w:t>
            </w:r>
          </w:p>
        </w:tc>
      </w:tr>
      <w:tr>
        <w:trPr>
          <w:trHeight w:val="187"/>
        </w:trPr>
        <w:tc>
          <w:tcPr>
            <w:tcW w:w="4540" w:type="dxa"/>
            <w:vAlign w:val="bottom"/>
            <w:tcBorders>
              <w:bottom w:val="single" w:sz="8" w:color="231F20"/>
            </w:tcBorders>
          </w:tcPr>
          <w:p>
            <w:pPr>
              <w:ind w:left="300"/>
              <w:spacing w:after="0"/>
              <w:rPr>
                <w:sz w:val="20"/>
                <w:szCs w:val="20"/>
                <w:color w:val="auto"/>
              </w:rPr>
            </w:pPr>
            <w:r>
              <w:rPr>
                <w:rFonts w:ascii="Arial" w:cs="Arial" w:eastAsia="Arial" w:hAnsi="Arial"/>
                <w:sz w:val="14"/>
                <w:szCs w:val="14"/>
                <w:color w:val="231F20"/>
              </w:rPr>
              <w:t>Table</w:t>
            </w:r>
          </w:p>
        </w:tc>
        <w:tc>
          <w:tcPr>
            <w:tcW w:w="1640" w:type="dxa"/>
            <w:vAlign w:val="bottom"/>
            <w:tcBorders>
              <w:bottom w:val="single" w:sz="8" w:color="231F20"/>
            </w:tcBorders>
          </w:tcPr>
          <w:p>
            <w:pPr>
              <w:spacing w:after="0"/>
              <w:rPr>
                <w:sz w:val="16"/>
                <w:szCs w:val="16"/>
                <w:color w:val="auto"/>
              </w:rPr>
            </w:pPr>
          </w:p>
        </w:tc>
        <w:tc>
          <w:tcPr>
            <w:tcW w:w="1380" w:type="dxa"/>
            <w:vAlign w:val="bottom"/>
            <w:tcBorders>
              <w:bottom w:val="single" w:sz="8" w:color="231F20"/>
            </w:tcBorders>
          </w:tcPr>
          <w:p>
            <w:pPr>
              <w:spacing w:after="0"/>
              <w:rPr>
                <w:sz w:val="16"/>
                <w:szCs w:val="16"/>
                <w:color w:val="auto"/>
              </w:rPr>
            </w:pPr>
          </w:p>
        </w:tc>
        <w:tc>
          <w:tcPr>
            <w:tcW w:w="1380" w:type="dxa"/>
            <w:vAlign w:val="bottom"/>
            <w:tcBorders>
              <w:bottom w:val="single" w:sz="8" w:color="231F20"/>
            </w:tcBorders>
          </w:tcPr>
          <w:p>
            <w:pPr>
              <w:spacing w:after="0"/>
              <w:rPr>
                <w:sz w:val="16"/>
                <w:szCs w:val="16"/>
                <w:color w:val="auto"/>
              </w:rPr>
            </w:pPr>
          </w:p>
        </w:tc>
        <w:tc>
          <w:tcPr>
            <w:tcW w:w="1340" w:type="dxa"/>
            <w:vAlign w:val="bottom"/>
            <w:tcBorders>
              <w:bottom w:val="single" w:sz="8" w:color="231F20"/>
            </w:tcBorders>
          </w:tcPr>
          <w:p>
            <w:pPr>
              <w:spacing w:after="0"/>
              <w:rPr>
                <w:sz w:val="16"/>
                <w:szCs w:val="16"/>
                <w:color w:val="auto"/>
              </w:rPr>
            </w:pPr>
          </w:p>
        </w:tc>
        <w:tc>
          <w:tcPr>
            <w:tcW w:w="960" w:type="dxa"/>
            <w:vAlign w:val="bottom"/>
            <w:tcBorders>
              <w:bottom w:val="single" w:sz="8" w:color="231F20"/>
            </w:tcBorders>
          </w:tcPr>
          <w:p>
            <w:pPr>
              <w:spacing w:after="0"/>
              <w:rPr>
                <w:sz w:val="16"/>
                <w:szCs w:val="16"/>
                <w:color w:val="auto"/>
              </w:rPr>
            </w:pPr>
          </w:p>
        </w:tc>
      </w:tr>
      <w:tr>
        <w:trPr>
          <w:trHeight w:val="197"/>
        </w:trPr>
        <w:tc>
          <w:tcPr>
            <w:tcW w:w="4540" w:type="dxa"/>
            <w:vAlign w:val="bottom"/>
            <w:tcBorders>
              <w:bottom w:val="single" w:sz="8" w:color="231F20"/>
            </w:tcBorders>
          </w:tcPr>
          <w:p>
            <w:pPr>
              <w:ind w:left="100"/>
              <w:spacing w:after="0"/>
              <w:rPr>
                <w:sz w:val="20"/>
                <w:szCs w:val="20"/>
                <w:color w:val="auto"/>
              </w:rPr>
            </w:pPr>
            <w:r>
              <w:rPr>
                <w:rFonts w:ascii="Arial" w:cs="Arial" w:eastAsia="Arial" w:hAnsi="Arial"/>
                <w:sz w:val="14"/>
                <w:szCs w:val="14"/>
                <w:color w:val="231F20"/>
              </w:rPr>
              <w:t>Present value of retiree medical benefits</w:t>
            </w:r>
          </w:p>
        </w:tc>
        <w:tc>
          <w:tcPr>
            <w:tcW w:w="1640" w:type="dxa"/>
            <w:vAlign w:val="bottom"/>
            <w:tcBorders>
              <w:bottom w:val="single" w:sz="8" w:color="231F20"/>
            </w:tcBorders>
          </w:tcPr>
          <w:p>
            <w:pPr>
              <w:jc w:val="right"/>
              <w:ind w:right="252"/>
              <w:spacing w:after="0"/>
              <w:rPr>
                <w:sz w:val="20"/>
                <w:szCs w:val="20"/>
                <w:color w:val="auto"/>
              </w:rPr>
            </w:pPr>
            <w:r>
              <w:rPr>
                <w:rFonts w:ascii="Arial" w:cs="Arial" w:eastAsia="Arial" w:hAnsi="Arial"/>
                <w:sz w:val="14"/>
                <w:szCs w:val="14"/>
                <w:color w:val="231F20"/>
              </w:rPr>
              <w:t>—</w:t>
            </w:r>
          </w:p>
        </w:tc>
        <w:tc>
          <w:tcPr>
            <w:tcW w:w="1380" w:type="dxa"/>
            <w:vAlign w:val="bottom"/>
            <w:tcBorders>
              <w:bottom w:val="single" w:sz="8" w:color="231F20"/>
            </w:tcBorders>
          </w:tcPr>
          <w:p>
            <w:pPr>
              <w:jc w:val="right"/>
              <w:ind w:right="272"/>
              <w:spacing w:after="0"/>
              <w:rPr>
                <w:sz w:val="20"/>
                <w:szCs w:val="20"/>
                <w:color w:val="auto"/>
              </w:rPr>
            </w:pPr>
            <w:r>
              <w:rPr>
                <w:rFonts w:ascii="Arial" w:cs="Arial" w:eastAsia="Arial" w:hAnsi="Arial"/>
                <w:sz w:val="14"/>
                <w:szCs w:val="14"/>
                <w:color w:val="231F20"/>
              </w:rPr>
              <w:t>—</w:t>
            </w:r>
          </w:p>
        </w:tc>
        <w:tc>
          <w:tcPr>
            <w:tcW w:w="1380" w:type="dxa"/>
            <w:vAlign w:val="bottom"/>
            <w:tcBorders>
              <w:bottom w:val="single" w:sz="8" w:color="231F20"/>
            </w:tcBorders>
          </w:tcPr>
          <w:p>
            <w:pPr>
              <w:jc w:val="right"/>
              <w:ind w:right="312"/>
              <w:spacing w:after="0"/>
              <w:rPr>
                <w:sz w:val="20"/>
                <w:szCs w:val="20"/>
                <w:color w:val="auto"/>
              </w:rPr>
            </w:pPr>
            <w:r>
              <w:rPr>
                <w:rFonts w:ascii="Arial" w:cs="Arial" w:eastAsia="Arial" w:hAnsi="Arial"/>
                <w:sz w:val="14"/>
                <w:szCs w:val="14"/>
                <w:color w:val="231F20"/>
              </w:rPr>
              <w:t>—</w:t>
            </w:r>
          </w:p>
        </w:tc>
        <w:tc>
          <w:tcPr>
            <w:tcW w:w="1340" w:type="dxa"/>
            <w:vAlign w:val="bottom"/>
            <w:tcBorders>
              <w:bottom w:val="single" w:sz="8" w:color="231F20"/>
            </w:tcBorders>
          </w:tcPr>
          <w:p>
            <w:pPr>
              <w:jc w:val="right"/>
              <w:ind w:right="312"/>
              <w:spacing w:after="0"/>
              <w:rPr>
                <w:sz w:val="20"/>
                <w:szCs w:val="20"/>
                <w:color w:val="auto"/>
              </w:rPr>
            </w:pPr>
            <w:r>
              <w:rPr>
                <w:rFonts w:ascii="Arial" w:cs="Arial" w:eastAsia="Arial" w:hAnsi="Arial"/>
                <w:sz w:val="14"/>
                <w:szCs w:val="14"/>
                <w:color w:val="231F20"/>
              </w:rPr>
              <w:t>—</w:t>
            </w:r>
          </w:p>
        </w:tc>
        <w:tc>
          <w:tcPr>
            <w:tcW w:w="960" w:type="dxa"/>
            <w:vAlign w:val="bottom"/>
            <w:tcBorders>
              <w:bottom w:val="single" w:sz="8" w:color="231F20"/>
            </w:tcBorders>
          </w:tcPr>
          <w:p>
            <w:pPr>
              <w:jc w:val="right"/>
              <w:spacing w:after="0"/>
              <w:rPr>
                <w:sz w:val="20"/>
                <w:szCs w:val="20"/>
                <w:color w:val="auto"/>
              </w:rPr>
            </w:pPr>
            <w:r>
              <w:rPr>
                <w:rFonts w:ascii="Arial" w:cs="Arial" w:eastAsia="Arial" w:hAnsi="Arial"/>
                <w:sz w:val="14"/>
                <w:szCs w:val="14"/>
                <w:color w:val="231F20"/>
              </w:rPr>
              <w:t>—</w:t>
            </w:r>
          </w:p>
        </w:tc>
      </w:tr>
      <w:tr>
        <w:trPr>
          <w:trHeight w:val="200"/>
        </w:trPr>
        <w:tc>
          <w:tcPr>
            <w:tcW w:w="4540" w:type="dxa"/>
            <w:vAlign w:val="bottom"/>
            <w:tcBorders>
              <w:bottom w:val="single" w:sz="8" w:color="231F20"/>
            </w:tcBorders>
          </w:tcPr>
          <w:p>
            <w:pPr>
              <w:spacing w:after="0"/>
              <w:rPr>
                <w:sz w:val="20"/>
                <w:szCs w:val="20"/>
                <w:color w:val="auto"/>
              </w:rPr>
            </w:pPr>
            <w:r>
              <w:rPr>
                <w:rFonts w:ascii="Arial" w:cs="Arial" w:eastAsia="Arial" w:hAnsi="Arial"/>
                <w:sz w:val="14"/>
                <w:szCs w:val="14"/>
                <w:b w:val="1"/>
                <w:bCs w:val="1"/>
                <w:color w:val="455986"/>
              </w:rPr>
              <w:t>Total</w:t>
            </w:r>
          </w:p>
        </w:tc>
        <w:tc>
          <w:tcPr>
            <w:tcW w:w="1640" w:type="dxa"/>
            <w:vAlign w:val="bottom"/>
            <w:tcBorders>
              <w:bottom w:val="single" w:sz="8" w:color="231F20"/>
            </w:tcBorders>
          </w:tcPr>
          <w:p>
            <w:pPr>
              <w:jc w:val="right"/>
              <w:ind w:right="252"/>
              <w:spacing w:after="0"/>
              <w:rPr>
                <w:sz w:val="20"/>
                <w:szCs w:val="20"/>
                <w:color w:val="auto"/>
              </w:rPr>
            </w:pPr>
            <w:r>
              <w:rPr>
                <w:rFonts w:ascii="Arial" w:cs="Arial" w:eastAsia="Arial" w:hAnsi="Arial"/>
                <w:sz w:val="14"/>
                <w:szCs w:val="14"/>
                <w:color w:val="231F20"/>
              </w:rPr>
              <w:t>3,964,569</w:t>
            </w:r>
          </w:p>
        </w:tc>
        <w:tc>
          <w:tcPr>
            <w:tcW w:w="1380" w:type="dxa"/>
            <w:vAlign w:val="bottom"/>
            <w:tcBorders>
              <w:bottom w:val="single" w:sz="8" w:color="231F20"/>
            </w:tcBorders>
          </w:tcPr>
          <w:p>
            <w:pPr>
              <w:jc w:val="right"/>
              <w:ind w:right="272"/>
              <w:spacing w:after="0"/>
              <w:rPr>
                <w:sz w:val="20"/>
                <w:szCs w:val="20"/>
                <w:color w:val="auto"/>
              </w:rPr>
            </w:pPr>
            <w:r>
              <w:rPr>
                <w:rFonts w:ascii="Arial" w:cs="Arial" w:eastAsia="Arial" w:hAnsi="Arial"/>
                <w:sz w:val="14"/>
                <w:szCs w:val="14"/>
                <w:color w:val="231F20"/>
              </w:rPr>
              <w:t>703,917</w:t>
            </w:r>
          </w:p>
        </w:tc>
        <w:tc>
          <w:tcPr>
            <w:tcW w:w="1380" w:type="dxa"/>
            <w:vAlign w:val="bottom"/>
            <w:tcBorders>
              <w:bottom w:val="single" w:sz="8" w:color="231F20"/>
            </w:tcBorders>
          </w:tcPr>
          <w:p>
            <w:pPr>
              <w:jc w:val="right"/>
              <w:ind w:right="312"/>
              <w:spacing w:after="0"/>
              <w:rPr>
                <w:sz w:val="20"/>
                <w:szCs w:val="20"/>
                <w:color w:val="auto"/>
              </w:rPr>
            </w:pPr>
            <w:r>
              <w:rPr>
                <w:rFonts w:ascii="Arial" w:cs="Arial" w:eastAsia="Arial" w:hAnsi="Arial"/>
                <w:sz w:val="14"/>
                <w:szCs w:val="14"/>
                <w:color w:val="231F20"/>
              </w:rPr>
              <w:t>1,360,692</w:t>
            </w:r>
          </w:p>
        </w:tc>
        <w:tc>
          <w:tcPr>
            <w:tcW w:w="1340" w:type="dxa"/>
            <w:vAlign w:val="bottom"/>
            <w:tcBorders>
              <w:bottom w:val="single" w:sz="8" w:color="231F20"/>
            </w:tcBorders>
          </w:tcPr>
          <w:p>
            <w:pPr>
              <w:jc w:val="right"/>
              <w:ind w:right="312"/>
              <w:spacing w:after="0"/>
              <w:rPr>
                <w:sz w:val="20"/>
                <w:szCs w:val="20"/>
                <w:color w:val="auto"/>
              </w:rPr>
            </w:pPr>
            <w:r>
              <w:rPr>
                <w:rFonts w:ascii="Arial" w:cs="Arial" w:eastAsia="Arial" w:hAnsi="Arial"/>
                <w:sz w:val="14"/>
                <w:szCs w:val="14"/>
                <w:color w:val="231F20"/>
              </w:rPr>
              <w:t>2,293,871</w:t>
            </w:r>
          </w:p>
        </w:tc>
        <w:tc>
          <w:tcPr>
            <w:tcW w:w="960" w:type="dxa"/>
            <w:vAlign w:val="bottom"/>
            <w:tcBorders>
              <w:bottom w:val="single" w:sz="8" w:color="231F20"/>
            </w:tcBorders>
          </w:tcPr>
          <w:p>
            <w:pPr>
              <w:jc w:val="right"/>
              <w:spacing w:after="0"/>
              <w:rPr>
                <w:sz w:val="20"/>
                <w:szCs w:val="20"/>
                <w:color w:val="auto"/>
              </w:rPr>
            </w:pPr>
            <w:r>
              <w:rPr>
                <w:rFonts w:ascii="Arial" w:cs="Arial" w:eastAsia="Arial" w:hAnsi="Arial"/>
                <w:sz w:val="14"/>
                <w:szCs w:val="14"/>
                <w:color w:val="231F20"/>
              </w:rPr>
              <w:t>2,293.871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121285</wp:posOffset>
            </wp:positionV>
            <wp:extent cx="7139940" cy="825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7139940" cy="8255"/>
                    </a:xfrm>
                    <a:prstGeom prst="rect">
                      <a:avLst/>
                    </a:prstGeom>
                    <a:noFill/>
                  </pic:spPr>
                </pic:pic>
              </a:graphicData>
            </a:graphic>
          </wp:anchor>
        </w:drawing>
      </w:r>
    </w:p>
    <w:p>
      <w:pPr>
        <w:spacing w:after="0" w:line="217" w:lineRule="exact"/>
        <w:rPr>
          <w:sz w:val="20"/>
          <w:szCs w:val="20"/>
          <w:color w:val="auto"/>
        </w:rPr>
      </w:pPr>
    </w:p>
    <w:p>
      <w:pPr>
        <w:jc w:val="right"/>
        <w:spacing w:after="0"/>
        <w:tabs>
          <w:tab w:leader="none" w:pos="140" w:val="left"/>
        </w:tabs>
        <w:rPr>
          <w:sz w:val="20"/>
          <w:szCs w:val="20"/>
          <w:color w:val="auto"/>
        </w:rPr>
      </w:pPr>
      <w:r>
        <w:rPr>
          <w:rFonts w:ascii="Arial" w:cs="Arial" w:eastAsia="Arial" w:hAnsi="Arial"/>
          <w:sz w:val="12"/>
          <w:szCs w:val="12"/>
          <w:color w:val="4395D4"/>
        </w:rPr>
        <w:t xml:space="preserve">ESSENTIAL UTILITIES, INC. </w:t>
      </w:r>
      <w:r>
        <w:rPr>
          <w:rFonts w:ascii="Arial" w:cs="Arial" w:eastAsia="Arial" w:hAnsi="Arial"/>
          <w:sz w:val="12"/>
          <w:szCs w:val="12"/>
          <w:color w:val="455986"/>
        </w:rPr>
        <w:t>2021 PROXY STATEMENT</w:t>
      </w:r>
      <w:r>
        <w:rPr>
          <w:sz w:val="20"/>
          <w:szCs w:val="20"/>
          <w:color w:val="auto"/>
        </w:rPr>
        <w:tab/>
      </w:r>
      <w:r>
        <w:rPr>
          <w:rFonts w:ascii="Arial" w:cs="Arial" w:eastAsia="Arial" w:hAnsi="Arial"/>
          <w:sz w:val="14"/>
          <w:szCs w:val="14"/>
          <w:color w:val="455986"/>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339090</wp:posOffset>
            </wp:positionV>
            <wp:extent cx="7139940" cy="24130"/>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7139940" cy="24130"/>
                    </a:xfrm>
                    <a:prstGeom prst="rect">
                      <a:avLst/>
                    </a:prstGeom>
                    <a:noFill/>
                  </pic:spPr>
                </pic:pic>
              </a:graphicData>
            </a:graphic>
          </wp:anchor>
        </w:drawing>
      </w:r>
    </w:p>
    <w:p>
      <w:pPr>
        <w:sectPr>
          <w:pgSz w:w="11900" w:h="16838" w:orient="portrait"/>
          <w:cols w:equalWidth="0" w:num="1">
            <w:col w:w="11240"/>
          </w:cols>
          <w:pgMar w:left="320" w:top="636" w:right="339" w:bottom="1440" w:gutter="0" w:footer="0" w:header="0"/>
        </w:sectPr>
      </w:pPr>
    </w:p>
    <w:bookmarkStart w:id="86" w:name="page87"/>
    <w:bookmarkEnd w:id="86"/>
    <w:p>
      <w:pPr>
        <w:spacing w:after="0"/>
        <w:rPr>
          <w:sz w:val="20"/>
          <w:szCs w:val="20"/>
          <w:color w:val="auto"/>
        </w:rPr>
      </w:pPr>
      <w:r>
        <w:rPr>
          <w:rFonts w:ascii="Arial" w:cs="Arial" w:eastAsia="Arial" w:hAnsi="Arial"/>
          <w:sz w:val="14"/>
          <w:szCs w:val="14"/>
          <w:b w:val="1"/>
          <w:bCs w:val="1"/>
          <w:color w:val="455986"/>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27940</wp:posOffset>
            </wp:positionV>
            <wp:extent cx="7139940" cy="825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7139940" cy="8255"/>
                    </a:xfrm>
                    <a:prstGeom prst="rect">
                      <a:avLst/>
                    </a:prstGeom>
                    <a:noFill/>
                  </pic:spPr>
                </pic:pic>
              </a:graphicData>
            </a:graphic>
          </wp:anchor>
        </w:drawing>
      </w:r>
    </w:p>
    <w:p>
      <w:pPr>
        <w:spacing w:after="0" w:line="76" w:lineRule="exact"/>
        <w:rPr>
          <w:sz w:val="20"/>
          <w:szCs w:val="20"/>
          <w:color w:val="auto"/>
        </w:rPr>
      </w:pPr>
    </w:p>
    <w:p>
      <w:pPr>
        <w:spacing w:after="0"/>
        <w:rPr>
          <w:sz w:val="20"/>
          <w:szCs w:val="20"/>
          <w:color w:val="auto"/>
        </w:rPr>
      </w:pPr>
      <w:r>
        <w:rPr>
          <w:rFonts w:ascii="Arial" w:cs="Arial" w:eastAsia="Arial" w:hAnsi="Arial"/>
          <w:sz w:val="14"/>
          <w:szCs w:val="14"/>
          <w:color w:val="231F20"/>
        </w:rPr>
        <w:t>Potential Payments Upon Termination or Change-In-Control</w:t>
      </w:r>
    </w:p>
    <w:p>
      <w:pPr>
        <w:spacing w:after="0" w:line="177" w:lineRule="exact"/>
        <w:rPr>
          <w:sz w:val="20"/>
          <w:szCs w:val="20"/>
          <w:color w:val="auto"/>
        </w:rPr>
      </w:pPr>
    </w:p>
    <w:p>
      <w:pPr>
        <w:spacing w:after="0"/>
        <w:rPr>
          <w:sz w:val="20"/>
          <w:szCs w:val="20"/>
          <w:color w:val="auto"/>
        </w:rPr>
      </w:pPr>
      <w:r>
        <w:rPr>
          <w:rFonts w:ascii="Arial" w:cs="Arial" w:eastAsia="Arial" w:hAnsi="Arial"/>
          <w:sz w:val="15"/>
          <w:szCs w:val="15"/>
          <w:b w:val="1"/>
          <w:bCs w:val="1"/>
          <w:color w:val="231F20"/>
        </w:rPr>
        <w:t>Christopher P. Luning</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540" w:type="dxa"/>
            <w:vAlign w:val="bottom"/>
          </w:tcPr>
          <w:p>
            <w:pPr>
              <w:spacing w:after="0"/>
              <w:rPr>
                <w:sz w:val="14"/>
                <w:szCs w:val="14"/>
                <w:color w:val="auto"/>
              </w:rPr>
            </w:pPr>
          </w:p>
        </w:tc>
        <w:tc>
          <w:tcPr>
            <w:tcW w:w="1640" w:type="dxa"/>
            <w:vAlign w:val="bottom"/>
          </w:tcPr>
          <w:p>
            <w:pPr>
              <w:jc w:val="right"/>
              <w:ind w:right="252"/>
              <w:spacing w:after="0"/>
              <w:rPr>
                <w:sz w:val="20"/>
                <w:szCs w:val="20"/>
                <w:color w:val="auto"/>
              </w:rPr>
            </w:pPr>
            <w:r>
              <w:rPr>
                <w:rFonts w:ascii="Arial" w:cs="Arial" w:eastAsia="Arial" w:hAnsi="Arial"/>
                <w:sz w:val="14"/>
                <w:szCs w:val="14"/>
                <w:color w:val="455986"/>
              </w:rPr>
              <w:t>Change-in-Control</w:t>
            </w:r>
          </w:p>
        </w:tc>
        <w:tc>
          <w:tcPr>
            <w:tcW w:w="1380" w:type="dxa"/>
            <w:vAlign w:val="bottom"/>
          </w:tcPr>
          <w:p>
            <w:pPr>
              <w:jc w:val="right"/>
              <w:ind w:right="272"/>
              <w:spacing w:after="0"/>
              <w:rPr>
                <w:sz w:val="20"/>
                <w:szCs w:val="20"/>
                <w:color w:val="auto"/>
              </w:rPr>
            </w:pPr>
            <w:r>
              <w:rPr>
                <w:rFonts w:ascii="Arial" w:cs="Arial" w:eastAsia="Arial" w:hAnsi="Arial"/>
                <w:sz w:val="14"/>
                <w:szCs w:val="14"/>
                <w:color w:val="455986"/>
              </w:rPr>
              <w:t>Termination</w:t>
            </w:r>
          </w:p>
        </w:tc>
        <w:tc>
          <w:tcPr>
            <w:tcW w:w="1380" w:type="dxa"/>
            <w:vAlign w:val="bottom"/>
          </w:tcPr>
          <w:p>
            <w:pPr>
              <w:jc w:val="right"/>
              <w:ind w:right="312"/>
              <w:spacing w:after="0"/>
              <w:rPr>
                <w:sz w:val="20"/>
                <w:szCs w:val="20"/>
                <w:color w:val="auto"/>
              </w:rPr>
            </w:pPr>
            <w:r>
              <w:rPr>
                <w:rFonts w:ascii="Arial" w:cs="Arial" w:eastAsia="Arial" w:hAnsi="Arial"/>
                <w:sz w:val="14"/>
                <w:szCs w:val="14"/>
                <w:color w:val="455986"/>
              </w:rPr>
              <w:t>Retirement</w:t>
            </w:r>
          </w:p>
        </w:tc>
        <w:tc>
          <w:tcPr>
            <w:tcW w:w="1340" w:type="dxa"/>
            <w:vAlign w:val="bottom"/>
          </w:tcPr>
          <w:p>
            <w:pPr>
              <w:jc w:val="right"/>
              <w:ind w:right="312"/>
              <w:spacing w:after="0"/>
              <w:rPr>
                <w:sz w:val="20"/>
                <w:szCs w:val="20"/>
                <w:color w:val="auto"/>
              </w:rPr>
            </w:pPr>
            <w:r>
              <w:rPr>
                <w:rFonts w:ascii="Arial" w:cs="Arial" w:eastAsia="Arial" w:hAnsi="Arial"/>
                <w:sz w:val="14"/>
                <w:szCs w:val="14"/>
                <w:color w:val="455986"/>
              </w:rPr>
              <w:t>Death</w:t>
            </w:r>
          </w:p>
        </w:tc>
        <w:tc>
          <w:tcPr>
            <w:tcW w:w="960" w:type="dxa"/>
            <w:vAlign w:val="bottom"/>
          </w:tcPr>
          <w:p>
            <w:pPr>
              <w:jc w:val="right"/>
              <w:spacing w:after="0"/>
              <w:rPr>
                <w:sz w:val="20"/>
                <w:szCs w:val="20"/>
                <w:color w:val="auto"/>
              </w:rPr>
            </w:pPr>
            <w:r>
              <w:rPr>
                <w:rFonts w:ascii="Arial" w:cs="Arial" w:eastAsia="Arial" w:hAnsi="Arial"/>
                <w:sz w:val="14"/>
                <w:szCs w:val="14"/>
                <w:color w:val="455986"/>
              </w:rPr>
              <w:t>Disability</w:t>
            </w:r>
          </w:p>
        </w:tc>
      </w:tr>
      <w:tr>
        <w:trPr>
          <w:trHeight w:val="187"/>
        </w:trPr>
        <w:tc>
          <w:tcPr>
            <w:tcW w:w="4540" w:type="dxa"/>
            <w:vAlign w:val="bottom"/>
            <w:tcBorders>
              <w:bottom w:val="single" w:sz="8" w:color="4395D4"/>
            </w:tcBorders>
          </w:tcPr>
          <w:p>
            <w:pPr>
              <w:spacing w:after="0"/>
              <w:rPr>
                <w:sz w:val="20"/>
                <w:szCs w:val="20"/>
                <w:color w:val="auto"/>
              </w:rPr>
            </w:pPr>
            <w:r>
              <w:rPr>
                <w:rFonts w:ascii="Arial" w:cs="Arial" w:eastAsia="Arial" w:hAnsi="Arial"/>
                <w:sz w:val="14"/>
                <w:szCs w:val="14"/>
                <w:color w:val="455986"/>
              </w:rPr>
              <w:t>Payments and Benefits Upon Separation</w:t>
            </w:r>
          </w:p>
        </w:tc>
        <w:tc>
          <w:tcPr>
            <w:tcW w:w="1640" w:type="dxa"/>
            <w:vAlign w:val="bottom"/>
            <w:tcBorders>
              <w:bottom w:val="single" w:sz="8" w:color="4395D4"/>
            </w:tcBorders>
          </w:tcPr>
          <w:p>
            <w:pPr>
              <w:jc w:val="right"/>
              <w:ind w:right="252"/>
              <w:spacing w:after="0"/>
              <w:rPr>
                <w:sz w:val="20"/>
                <w:szCs w:val="20"/>
                <w:color w:val="auto"/>
              </w:rPr>
            </w:pPr>
            <w:r>
              <w:rPr>
                <w:rFonts w:ascii="Arial" w:cs="Arial" w:eastAsia="Arial" w:hAnsi="Arial"/>
                <w:sz w:val="14"/>
                <w:szCs w:val="14"/>
                <w:color w:val="455986"/>
              </w:rPr>
              <w:t>$</w:t>
            </w:r>
          </w:p>
        </w:tc>
        <w:tc>
          <w:tcPr>
            <w:tcW w:w="1380" w:type="dxa"/>
            <w:vAlign w:val="bottom"/>
            <w:tcBorders>
              <w:bottom w:val="single" w:sz="8" w:color="4395D4"/>
            </w:tcBorders>
          </w:tcPr>
          <w:p>
            <w:pPr>
              <w:jc w:val="right"/>
              <w:ind w:right="272"/>
              <w:spacing w:after="0"/>
              <w:rPr>
                <w:sz w:val="20"/>
                <w:szCs w:val="20"/>
                <w:color w:val="auto"/>
              </w:rPr>
            </w:pPr>
            <w:r>
              <w:rPr>
                <w:rFonts w:ascii="Arial" w:cs="Arial" w:eastAsia="Arial" w:hAnsi="Arial"/>
                <w:sz w:val="14"/>
                <w:szCs w:val="14"/>
                <w:color w:val="455986"/>
              </w:rPr>
              <w:t>$</w:t>
            </w:r>
          </w:p>
        </w:tc>
        <w:tc>
          <w:tcPr>
            <w:tcW w:w="1380" w:type="dxa"/>
            <w:vAlign w:val="bottom"/>
            <w:tcBorders>
              <w:bottom w:val="single" w:sz="8" w:color="4395D4"/>
            </w:tcBorders>
          </w:tcPr>
          <w:p>
            <w:pPr>
              <w:jc w:val="right"/>
              <w:ind w:right="312"/>
              <w:spacing w:after="0"/>
              <w:rPr>
                <w:sz w:val="20"/>
                <w:szCs w:val="20"/>
                <w:color w:val="auto"/>
              </w:rPr>
            </w:pPr>
            <w:r>
              <w:rPr>
                <w:rFonts w:ascii="Arial" w:cs="Arial" w:eastAsia="Arial" w:hAnsi="Arial"/>
                <w:sz w:val="14"/>
                <w:szCs w:val="14"/>
                <w:color w:val="455986"/>
              </w:rPr>
              <w:t>$</w:t>
            </w:r>
          </w:p>
        </w:tc>
        <w:tc>
          <w:tcPr>
            <w:tcW w:w="1340" w:type="dxa"/>
            <w:vAlign w:val="bottom"/>
            <w:tcBorders>
              <w:bottom w:val="single" w:sz="8" w:color="4395D4"/>
            </w:tcBorders>
          </w:tcPr>
          <w:p>
            <w:pPr>
              <w:jc w:val="right"/>
              <w:ind w:right="312"/>
              <w:spacing w:after="0"/>
              <w:rPr>
                <w:sz w:val="20"/>
                <w:szCs w:val="20"/>
                <w:color w:val="auto"/>
              </w:rPr>
            </w:pPr>
            <w:r>
              <w:rPr>
                <w:rFonts w:ascii="Arial" w:cs="Arial" w:eastAsia="Arial" w:hAnsi="Arial"/>
                <w:sz w:val="14"/>
                <w:szCs w:val="14"/>
                <w:color w:val="455986"/>
              </w:rPr>
              <w:t>$</w:t>
            </w:r>
          </w:p>
        </w:tc>
        <w:tc>
          <w:tcPr>
            <w:tcW w:w="960" w:type="dxa"/>
            <w:vAlign w:val="bottom"/>
            <w:tcBorders>
              <w:bottom w:val="single" w:sz="8" w:color="4395D4"/>
            </w:tcBorders>
          </w:tcPr>
          <w:p>
            <w:pPr>
              <w:jc w:val="right"/>
              <w:spacing w:after="0"/>
              <w:rPr>
                <w:sz w:val="20"/>
                <w:szCs w:val="20"/>
                <w:color w:val="auto"/>
              </w:rPr>
            </w:pPr>
            <w:r>
              <w:rPr>
                <w:rFonts w:ascii="Arial" w:cs="Arial" w:eastAsia="Arial" w:hAnsi="Arial"/>
                <w:sz w:val="14"/>
                <w:szCs w:val="14"/>
                <w:color w:val="455986"/>
              </w:rPr>
              <w:t>$</w:t>
            </w:r>
          </w:p>
        </w:tc>
      </w:tr>
      <w:tr>
        <w:trPr>
          <w:trHeight w:val="200"/>
        </w:trPr>
        <w:tc>
          <w:tcPr>
            <w:tcW w:w="4540" w:type="dxa"/>
            <w:vAlign w:val="bottom"/>
            <w:tcBorders>
              <w:bottom w:val="single" w:sz="8" w:color="231F20"/>
            </w:tcBorders>
          </w:tcPr>
          <w:p>
            <w:pPr>
              <w:spacing w:after="0"/>
              <w:rPr>
                <w:sz w:val="20"/>
                <w:szCs w:val="20"/>
                <w:color w:val="auto"/>
              </w:rPr>
            </w:pPr>
            <w:r>
              <w:rPr>
                <w:rFonts w:ascii="Arial" w:cs="Arial" w:eastAsia="Arial" w:hAnsi="Arial"/>
                <w:sz w:val="14"/>
                <w:szCs w:val="14"/>
                <w:b w:val="1"/>
                <w:bCs w:val="1"/>
                <w:color w:val="455986"/>
              </w:rPr>
              <w:t>Triggered Payments and Benefits</w:t>
            </w:r>
          </w:p>
        </w:tc>
        <w:tc>
          <w:tcPr>
            <w:tcW w:w="1640" w:type="dxa"/>
            <w:vAlign w:val="bottom"/>
            <w:tcBorders>
              <w:bottom w:val="single" w:sz="8" w:color="231F20"/>
            </w:tcBorders>
          </w:tcPr>
          <w:p>
            <w:pPr>
              <w:spacing w:after="0"/>
              <w:rPr>
                <w:sz w:val="17"/>
                <w:szCs w:val="17"/>
                <w:color w:val="auto"/>
              </w:rPr>
            </w:pPr>
          </w:p>
        </w:tc>
        <w:tc>
          <w:tcPr>
            <w:tcW w:w="1380" w:type="dxa"/>
            <w:vAlign w:val="bottom"/>
            <w:tcBorders>
              <w:bottom w:val="single" w:sz="8" w:color="231F20"/>
            </w:tcBorders>
          </w:tcPr>
          <w:p>
            <w:pPr>
              <w:spacing w:after="0"/>
              <w:rPr>
                <w:sz w:val="17"/>
                <w:szCs w:val="17"/>
                <w:color w:val="auto"/>
              </w:rPr>
            </w:pPr>
          </w:p>
        </w:tc>
        <w:tc>
          <w:tcPr>
            <w:tcW w:w="1380" w:type="dxa"/>
            <w:vAlign w:val="bottom"/>
            <w:tcBorders>
              <w:bottom w:val="single" w:sz="8" w:color="231F20"/>
            </w:tcBorders>
          </w:tcPr>
          <w:p>
            <w:pPr>
              <w:spacing w:after="0"/>
              <w:rPr>
                <w:sz w:val="17"/>
                <w:szCs w:val="17"/>
                <w:color w:val="auto"/>
              </w:rPr>
            </w:pPr>
          </w:p>
        </w:tc>
        <w:tc>
          <w:tcPr>
            <w:tcW w:w="1340" w:type="dxa"/>
            <w:vAlign w:val="bottom"/>
            <w:tcBorders>
              <w:bottom w:val="single" w:sz="8" w:color="231F20"/>
            </w:tcBorders>
          </w:tcPr>
          <w:p>
            <w:pPr>
              <w:spacing w:after="0"/>
              <w:rPr>
                <w:sz w:val="17"/>
                <w:szCs w:val="17"/>
                <w:color w:val="auto"/>
              </w:rPr>
            </w:pPr>
          </w:p>
        </w:tc>
        <w:tc>
          <w:tcPr>
            <w:tcW w:w="960" w:type="dxa"/>
            <w:vAlign w:val="bottom"/>
            <w:tcBorders>
              <w:bottom w:val="single" w:sz="8" w:color="231F20"/>
            </w:tcBorders>
          </w:tcPr>
          <w:p>
            <w:pPr>
              <w:spacing w:after="0"/>
              <w:rPr>
                <w:sz w:val="17"/>
                <w:szCs w:val="17"/>
                <w:color w:val="auto"/>
              </w:rPr>
            </w:pPr>
          </w:p>
        </w:tc>
      </w:tr>
      <w:tr>
        <w:trPr>
          <w:trHeight w:val="194"/>
        </w:trPr>
        <w:tc>
          <w:tcPr>
            <w:tcW w:w="4540" w:type="dxa"/>
            <w:vAlign w:val="bottom"/>
            <w:tcBorders>
              <w:bottom w:val="single" w:sz="8" w:color="231F20"/>
            </w:tcBorders>
          </w:tcPr>
          <w:p>
            <w:pPr>
              <w:ind w:left="100"/>
              <w:spacing w:after="0"/>
              <w:rPr>
                <w:sz w:val="20"/>
                <w:szCs w:val="20"/>
                <w:color w:val="auto"/>
              </w:rPr>
            </w:pPr>
            <w:r>
              <w:rPr>
                <w:rFonts w:ascii="Arial" w:cs="Arial" w:eastAsia="Arial" w:hAnsi="Arial"/>
                <w:sz w:val="14"/>
                <w:szCs w:val="14"/>
                <w:color w:val="231F20"/>
              </w:rPr>
              <w:t>Severance Payment</w:t>
            </w:r>
          </w:p>
        </w:tc>
        <w:tc>
          <w:tcPr>
            <w:tcW w:w="1640" w:type="dxa"/>
            <w:vAlign w:val="bottom"/>
            <w:tcBorders>
              <w:bottom w:val="single" w:sz="8" w:color="231F20"/>
            </w:tcBorders>
          </w:tcPr>
          <w:p>
            <w:pPr>
              <w:jc w:val="right"/>
              <w:ind w:right="252"/>
              <w:spacing w:after="0"/>
              <w:rPr>
                <w:sz w:val="20"/>
                <w:szCs w:val="20"/>
                <w:color w:val="auto"/>
              </w:rPr>
            </w:pPr>
            <w:r>
              <w:rPr>
                <w:rFonts w:ascii="Arial" w:cs="Arial" w:eastAsia="Arial" w:hAnsi="Arial"/>
                <w:sz w:val="14"/>
                <w:szCs w:val="14"/>
                <w:color w:val="231F20"/>
              </w:rPr>
              <w:t>1,424,404</w:t>
            </w:r>
          </w:p>
        </w:tc>
        <w:tc>
          <w:tcPr>
            <w:tcW w:w="1380" w:type="dxa"/>
            <w:vAlign w:val="bottom"/>
            <w:tcBorders>
              <w:bottom w:val="single" w:sz="8" w:color="231F20"/>
            </w:tcBorders>
          </w:tcPr>
          <w:p>
            <w:pPr>
              <w:jc w:val="right"/>
              <w:ind w:right="272"/>
              <w:spacing w:after="0"/>
              <w:rPr>
                <w:sz w:val="20"/>
                <w:szCs w:val="20"/>
                <w:color w:val="auto"/>
              </w:rPr>
            </w:pPr>
            <w:r>
              <w:rPr>
                <w:rFonts w:ascii="Arial" w:cs="Arial" w:eastAsia="Arial" w:hAnsi="Arial"/>
                <w:sz w:val="14"/>
                <w:szCs w:val="14"/>
                <w:color w:val="231F20"/>
              </w:rPr>
              <w:t>617,093</w:t>
            </w:r>
          </w:p>
        </w:tc>
        <w:tc>
          <w:tcPr>
            <w:tcW w:w="1380" w:type="dxa"/>
            <w:vAlign w:val="bottom"/>
            <w:tcBorders>
              <w:bottom w:val="single" w:sz="8" w:color="231F20"/>
            </w:tcBorders>
          </w:tcPr>
          <w:p>
            <w:pPr>
              <w:jc w:val="right"/>
              <w:ind w:right="312"/>
              <w:spacing w:after="0"/>
              <w:rPr>
                <w:sz w:val="20"/>
                <w:szCs w:val="20"/>
                <w:color w:val="auto"/>
              </w:rPr>
            </w:pPr>
            <w:r>
              <w:rPr>
                <w:rFonts w:ascii="Arial" w:cs="Arial" w:eastAsia="Arial" w:hAnsi="Arial"/>
                <w:sz w:val="14"/>
                <w:szCs w:val="14"/>
                <w:color w:val="231F20"/>
              </w:rPr>
              <w:t>—</w:t>
            </w:r>
          </w:p>
        </w:tc>
        <w:tc>
          <w:tcPr>
            <w:tcW w:w="1340" w:type="dxa"/>
            <w:vAlign w:val="bottom"/>
            <w:tcBorders>
              <w:bottom w:val="single" w:sz="8" w:color="231F20"/>
            </w:tcBorders>
          </w:tcPr>
          <w:p>
            <w:pPr>
              <w:jc w:val="right"/>
              <w:ind w:right="312"/>
              <w:spacing w:after="0"/>
              <w:rPr>
                <w:sz w:val="20"/>
                <w:szCs w:val="20"/>
                <w:color w:val="auto"/>
              </w:rPr>
            </w:pPr>
            <w:r>
              <w:rPr>
                <w:rFonts w:ascii="Arial" w:cs="Arial" w:eastAsia="Arial" w:hAnsi="Arial"/>
                <w:sz w:val="14"/>
                <w:szCs w:val="14"/>
                <w:color w:val="231F20"/>
              </w:rPr>
              <w:t>—</w:t>
            </w:r>
          </w:p>
        </w:tc>
        <w:tc>
          <w:tcPr>
            <w:tcW w:w="960" w:type="dxa"/>
            <w:vAlign w:val="bottom"/>
            <w:tcBorders>
              <w:bottom w:val="single" w:sz="8" w:color="231F20"/>
            </w:tcBorders>
          </w:tcPr>
          <w:p>
            <w:pPr>
              <w:jc w:val="right"/>
              <w:spacing w:after="0"/>
              <w:rPr>
                <w:sz w:val="20"/>
                <w:szCs w:val="20"/>
                <w:color w:val="auto"/>
              </w:rPr>
            </w:pPr>
            <w:r>
              <w:rPr>
                <w:rFonts w:ascii="Arial" w:cs="Arial" w:eastAsia="Arial" w:hAnsi="Arial"/>
                <w:sz w:val="14"/>
                <w:szCs w:val="14"/>
                <w:color w:val="231F20"/>
              </w:rPr>
              <w:t>—</w:t>
            </w:r>
          </w:p>
        </w:tc>
      </w:tr>
      <w:tr>
        <w:trPr>
          <w:trHeight w:val="197"/>
        </w:trPr>
        <w:tc>
          <w:tcPr>
            <w:tcW w:w="4540" w:type="dxa"/>
            <w:vAlign w:val="bottom"/>
            <w:tcBorders>
              <w:bottom w:val="single" w:sz="8" w:color="231F20"/>
            </w:tcBorders>
          </w:tcPr>
          <w:p>
            <w:pPr>
              <w:ind w:left="100"/>
              <w:spacing w:after="0"/>
              <w:rPr>
                <w:sz w:val="20"/>
                <w:szCs w:val="20"/>
                <w:color w:val="auto"/>
              </w:rPr>
            </w:pPr>
            <w:r>
              <w:rPr>
                <w:rFonts w:ascii="Arial" w:cs="Arial" w:eastAsia="Arial" w:hAnsi="Arial"/>
                <w:sz w:val="14"/>
                <w:szCs w:val="14"/>
                <w:color w:val="231F20"/>
              </w:rPr>
              <w:t>Prorated current year bonus</w:t>
            </w:r>
          </w:p>
        </w:tc>
        <w:tc>
          <w:tcPr>
            <w:tcW w:w="1640" w:type="dxa"/>
            <w:vAlign w:val="bottom"/>
            <w:tcBorders>
              <w:bottom w:val="single" w:sz="8" w:color="231F20"/>
            </w:tcBorders>
          </w:tcPr>
          <w:p>
            <w:pPr>
              <w:jc w:val="right"/>
              <w:ind w:right="252"/>
              <w:spacing w:after="0"/>
              <w:rPr>
                <w:sz w:val="20"/>
                <w:szCs w:val="20"/>
                <w:color w:val="auto"/>
              </w:rPr>
            </w:pPr>
            <w:r>
              <w:rPr>
                <w:rFonts w:ascii="Arial" w:cs="Arial" w:eastAsia="Arial" w:hAnsi="Arial"/>
                <w:sz w:val="14"/>
                <w:szCs w:val="14"/>
                <w:color w:val="231F20"/>
              </w:rPr>
              <w:t>231,410</w:t>
            </w:r>
          </w:p>
        </w:tc>
        <w:tc>
          <w:tcPr>
            <w:tcW w:w="1380" w:type="dxa"/>
            <w:vAlign w:val="bottom"/>
            <w:tcBorders>
              <w:bottom w:val="single" w:sz="8" w:color="231F20"/>
            </w:tcBorders>
          </w:tcPr>
          <w:p>
            <w:pPr>
              <w:jc w:val="right"/>
              <w:ind w:right="272"/>
              <w:spacing w:after="0"/>
              <w:rPr>
                <w:sz w:val="20"/>
                <w:szCs w:val="20"/>
                <w:color w:val="auto"/>
              </w:rPr>
            </w:pPr>
            <w:r>
              <w:rPr>
                <w:rFonts w:ascii="Arial" w:cs="Arial" w:eastAsia="Arial" w:hAnsi="Arial"/>
                <w:sz w:val="14"/>
                <w:szCs w:val="14"/>
                <w:color w:val="231F20"/>
              </w:rPr>
              <w:t>231,410</w:t>
            </w:r>
          </w:p>
        </w:tc>
        <w:tc>
          <w:tcPr>
            <w:tcW w:w="1380" w:type="dxa"/>
            <w:vAlign w:val="bottom"/>
            <w:tcBorders>
              <w:bottom w:val="single" w:sz="8" w:color="231F20"/>
            </w:tcBorders>
          </w:tcPr>
          <w:p>
            <w:pPr>
              <w:jc w:val="right"/>
              <w:ind w:right="312"/>
              <w:spacing w:after="0"/>
              <w:rPr>
                <w:sz w:val="20"/>
                <w:szCs w:val="20"/>
                <w:color w:val="auto"/>
              </w:rPr>
            </w:pPr>
            <w:r>
              <w:rPr>
                <w:rFonts w:ascii="Arial" w:cs="Arial" w:eastAsia="Arial" w:hAnsi="Arial"/>
                <w:sz w:val="14"/>
                <w:szCs w:val="14"/>
                <w:color w:val="231F20"/>
              </w:rPr>
              <w:t>231,410</w:t>
            </w:r>
          </w:p>
        </w:tc>
        <w:tc>
          <w:tcPr>
            <w:tcW w:w="1340" w:type="dxa"/>
            <w:vAlign w:val="bottom"/>
            <w:tcBorders>
              <w:bottom w:val="single" w:sz="8" w:color="231F20"/>
            </w:tcBorders>
          </w:tcPr>
          <w:p>
            <w:pPr>
              <w:jc w:val="right"/>
              <w:ind w:right="312"/>
              <w:spacing w:after="0"/>
              <w:rPr>
                <w:sz w:val="20"/>
                <w:szCs w:val="20"/>
                <w:color w:val="auto"/>
              </w:rPr>
            </w:pPr>
            <w:r>
              <w:rPr>
                <w:rFonts w:ascii="Arial" w:cs="Arial" w:eastAsia="Arial" w:hAnsi="Arial"/>
                <w:sz w:val="14"/>
                <w:szCs w:val="14"/>
                <w:color w:val="231F20"/>
              </w:rPr>
              <w:t>231,410</w:t>
            </w:r>
          </w:p>
        </w:tc>
        <w:tc>
          <w:tcPr>
            <w:tcW w:w="960" w:type="dxa"/>
            <w:vAlign w:val="bottom"/>
            <w:tcBorders>
              <w:bottom w:val="single" w:sz="8" w:color="231F20"/>
            </w:tcBorders>
          </w:tcPr>
          <w:p>
            <w:pPr>
              <w:jc w:val="right"/>
              <w:spacing w:after="0"/>
              <w:rPr>
                <w:sz w:val="20"/>
                <w:szCs w:val="20"/>
                <w:color w:val="auto"/>
              </w:rPr>
            </w:pPr>
            <w:r>
              <w:rPr>
                <w:rFonts w:ascii="Arial" w:cs="Arial" w:eastAsia="Arial" w:hAnsi="Arial"/>
                <w:sz w:val="14"/>
                <w:szCs w:val="14"/>
                <w:color w:val="231F20"/>
              </w:rPr>
              <w:t>231,410</w:t>
            </w:r>
          </w:p>
        </w:tc>
      </w:tr>
      <w:tr>
        <w:trPr>
          <w:trHeight w:val="197"/>
        </w:trPr>
        <w:tc>
          <w:tcPr>
            <w:tcW w:w="4540" w:type="dxa"/>
            <w:vAlign w:val="bottom"/>
            <w:tcBorders>
              <w:bottom w:val="single" w:sz="8" w:color="231F20"/>
            </w:tcBorders>
          </w:tcPr>
          <w:p>
            <w:pPr>
              <w:ind w:left="100"/>
              <w:spacing w:after="0"/>
              <w:rPr>
                <w:sz w:val="20"/>
                <w:szCs w:val="20"/>
                <w:color w:val="auto"/>
              </w:rPr>
            </w:pPr>
            <w:r>
              <w:rPr>
                <w:rFonts w:ascii="Arial" w:cs="Arial" w:eastAsia="Arial" w:hAnsi="Arial"/>
                <w:sz w:val="14"/>
                <w:szCs w:val="14"/>
                <w:color w:val="231F20"/>
              </w:rPr>
              <w:t>Payment of accrued dividend equivalents</w:t>
            </w:r>
          </w:p>
        </w:tc>
        <w:tc>
          <w:tcPr>
            <w:tcW w:w="1640" w:type="dxa"/>
            <w:vAlign w:val="bottom"/>
            <w:tcBorders>
              <w:bottom w:val="single" w:sz="8" w:color="231F20"/>
            </w:tcBorders>
          </w:tcPr>
          <w:p>
            <w:pPr>
              <w:jc w:val="right"/>
              <w:ind w:right="252"/>
              <w:spacing w:after="0"/>
              <w:rPr>
                <w:sz w:val="20"/>
                <w:szCs w:val="20"/>
                <w:color w:val="auto"/>
              </w:rPr>
            </w:pPr>
            <w:r>
              <w:rPr>
                <w:rFonts w:ascii="Arial" w:cs="Arial" w:eastAsia="Arial" w:hAnsi="Arial"/>
                <w:sz w:val="14"/>
                <w:szCs w:val="14"/>
                <w:color w:val="231F20"/>
              </w:rPr>
              <w:t>37,032</w:t>
            </w:r>
          </w:p>
        </w:tc>
        <w:tc>
          <w:tcPr>
            <w:tcW w:w="1380" w:type="dxa"/>
            <w:vAlign w:val="bottom"/>
            <w:tcBorders>
              <w:bottom w:val="single" w:sz="8" w:color="231F20"/>
            </w:tcBorders>
          </w:tcPr>
          <w:p>
            <w:pPr>
              <w:jc w:val="right"/>
              <w:ind w:right="272"/>
              <w:spacing w:after="0"/>
              <w:rPr>
                <w:sz w:val="20"/>
                <w:szCs w:val="20"/>
                <w:color w:val="auto"/>
              </w:rPr>
            </w:pPr>
            <w:r>
              <w:rPr>
                <w:rFonts w:ascii="Arial" w:cs="Arial" w:eastAsia="Arial" w:hAnsi="Arial"/>
                <w:sz w:val="14"/>
                <w:szCs w:val="14"/>
                <w:color w:val="231F20"/>
              </w:rPr>
              <w:t>—</w:t>
            </w:r>
          </w:p>
        </w:tc>
        <w:tc>
          <w:tcPr>
            <w:tcW w:w="1380" w:type="dxa"/>
            <w:vAlign w:val="bottom"/>
            <w:tcBorders>
              <w:bottom w:val="single" w:sz="8" w:color="231F20"/>
            </w:tcBorders>
          </w:tcPr>
          <w:p>
            <w:pPr>
              <w:jc w:val="right"/>
              <w:ind w:right="312"/>
              <w:spacing w:after="0"/>
              <w:rPr>
                <w:sz w:val="20"/>
                <w:szCs w:val="20"/>
                <w:color w:val="auto"/>
              </w:rPr>
            </w:pPr>
            <w:r>
              <w:rPr>
                <w:rFonts w:ascii="Arial" w:cs="Arial" w:eastAsia="Arial" w:hAnsi="Arial"/>
                <w:sz w:val="14"/>
                <w:szCs w:val="14"/>
                <w:color w:val="231F20"/>
              </w:rPr>
              <w:t>27,636</w:t>
            </w:r>
          </w:p>
        </w:tc>
        <w:tc>
          <w:tcPr>
            <w:tcW w:w="1340" w:type="dxa"/>
            <w:vAlign w:val="bottom"/>
            <w:tcBorders>
              <w:bottom w:val="single" w:sz="8" w:color="231F20"/>
            </w:tcBorders>
          </w:tcPr>
          <w:p>
            <w:pPr>
              <w:jc w:val="right"/>
              <w:ind w:right="312"/>
              <w:spacing w:after="0"/>
              <w:rPr>
                <w:sz w:val="20"/>
                <w:szCs w:val="20"/>
                <w:color w:val="auto"/>
              </w:rPr>
            </w:pPr>
            <w:r>
              <w:rPr>
                <w:rFonts w:ascii="Arial" w:cs="Arial" w:eastAsia="Arial" w:hAnsi="Arial"/>
                <w:sz w:val="14"/>
                <w:szCs w:val="14"/>
                <w:color w:val="231F20"/>
              </w:rPr>
              <w:t>37,032</w:t>
            </w:r>
          </w:p>
        </w:tc>
        <w:tc>
          <w:tcPr>
            <w:tcW w:w="960" w:type="dxa"/>
            <w:vAlign w:val="bottom"/>
            <w:tcBorders>
              <w:bottom w:val="single" w:sz="8" w:color="231F20"/>
            </w:tcBorders>
          </w:tcPr>
          <w:p>
            <w:pPr>
              <w:jc w:val="right"/>
              <w:spacing w:after="0"/>
              <w:rPr>
                <w:sz w:val="20"/>
                <w:szCs w:val="20"/>
                <w:color w:val="auto"/>
              </w:rPr>
            </w:pPr>
            <w:r>
              <w:rPr>
                <w:rFonts w:ascii="Arial" w:cs="Arial" w:eastAsia="Arial" w:hAnsi="Arial"/>
                <w:sz w:val="14"/>
                <w:szCs w:val="14"/>
                <w:color w:val="231F20"/>
              </w:rPr>
              <w:t>37,032</w:t>
            </w:r>
          </w:p>
        </w:tc>
      </w:tr>
      <w:tr>
        <w:trPr>
          <w:trHeight w:val="197"/>
        </w:trPr>
        <w:tc>
          <w:tcPr>
            <w:tcW w:w="4540" w:type="dxa"/>
            <w:vAlign w:val="bottom"/>
            <w:tcBorders>
              <w:bottom w:val="single" w:sz="8" w:color="231F20"/>
            </w:tcBorders>
          </w:tcPr>
          <w:p>
            <w:pPr>
              <w:ind w:left="100"/>
              <w:spacing w:after="0"/>
              <w:rPr>
                <w:sz w:val="20"/>
                <w:szCs w:val="20"/>
                <w:color w:val="auto"/>
              </w:rPr>
            </w:pPr>
            <w:r>
              <w:rPr>
                <w:rFonts w:ascii="Arial" w:cs="Arial" w:eastAsia="Arial" w:hAnsi="Arial"/>
                <w:sz w:val="14"/>
                <w:szCs w:val="14"/>
                <w:color w:val="231F20"/>
              </w:rPr>
              <w:t>Vesting of restricted stock</w:t>
            </w:r>
          </w:p>
        </w:tc>
        <w:tc>
          <w:tcPr>
            <w:tcW w:w="1640" w:type="dxa"/>
            <w:vAlign w:val="bottom"/>
            <w:tcBorders>
              <w:bottom w:val="single" w:sz="8" w:color="231F20"/>
            </w:tcBorders>
          </w:tcPr>
          <w:p>
            <w:pPr>
              <w:jc w:val="right"/>
              <w:ind w:right="252"/>
              <w:spacing w:after="0"/>
              <w:rPr>
                <w:sz w:val="20"/>
                <w:szCs w:val="20"/>
                <w:color w:val="auto"/>
              </w:rPr>
            </w:pPr>
            <w:r>
              <w:rPr>
                <w:rFonts w:ascii="Arial" w:cs="Arial" w:eastAsia="Arial" w:hAnsi="Arial"/>
                <w:sz w:val="14"/>
                <w:szCs w:val="14"/>
                <w:color w:val="231F20"/>
              </w:rPr>
              <w:t>141,303</w:t>
            </w:r>
          </w:p>
        </w:tc>
        <w:tc>
          <w:tcPr>
            <w:tcW w:w="1380" w:type="dxa"/>
            <w:vAlign w:val="bottom"/>
            <w:tcBorders>
              <w:bottom w:val="single" w:sz="8" w:color="231F20"/>
            </w:tcBorders>
          </w:tcPr>
          <w:p>
            <w:pPr>
              <w:jc w:val="right"/>
              <w:ind w:right="272"/>
              <w:spacing w:after="0"/>
              <w:rPr>
                <w:sz w:val="20"/>
                <w:szCs w:val="20"/>
                <w:color w:val="auto"/>
              </w:rPr>
            </w:pPr>
            <w:r>
              <w:rPr>
                <w:rFonts w:ascii="Arial" w:cs="Arial" w:eastAsia="Arial" w:hAnsi="Arial"/>
                <w:sz w:val="14"/>
                <w:szCs w:val="14"/>
                <w:color w:val="231F20"/>
              </w:rPr>
              <w:t>—</w:t>
            </w:r>
          </w:p>
        </w:tc>
        <w:tc>
          <w:tcPr>
            <w:tcW w:w="1380" w:type="dxa"/>
            <w:vAlign w:val="bottom"/>
            <w:tcBorders>
              <w:bottom w:val="single" w:sz="8" w:color="231F20"/>
            </w:tcBorders>
          </w:tcPr>
          <w:p>
            <w:pPr>
              <w:jc w:val="right"/>
              <w:ind w:right="312"/>
              <w:spacing w:after="0"/>
              <w:rPr>
                <w:sz w:val="20"/>
                <w:szCs w:val="20"/>
                <w:color w:val="auto"/>
              </w:rPr>
            </w:pPr>
            <w:r>
              <w:rPr>
                <w:rFonts w:ascii="Arial" w:cs="Arial" w:eastAsia="Arial" w:hAnsi="Arial"/>
                <w:sz w:val="14"/>
                <w:szCs w:val="14"/>
                <w:color w:val="231F20"/>
              </w:rPr>
              <w:t>117,752</w:t>
            </w:r>
          </w:p>
        </w:tc>
        <w:tc>
          <w:tcPr>
            <w:tcW w:w="1340" w:type="dxa"/>
            <w:vAlign w:val="bottom"/>
            <w:tcBorders>
              <w:bottom w:val="single" w:sz="8" w:color="231F20"/>
            </w:tcBorders>
          </w:tcPr>
          <w:p>
            <w:pPr>
              <w:jc w:val="right"/>
              <w:ind w:right="312"/>
              <w:spacing w:after="0"/>
              <w:rPr>
                <w:sz w:val="20"/>
                <w:szCs w:val="20"/>
                <w:color w:val="auto"/>
              </w:rPr>
            </w:pPr>
            <w:r>
              <w:rPr>
                <w:rFonts w:ascii="Arial" w:cs="Arial" w:eastAsia="Arial" w:hAnsi="Arial"/>
                <w:sz w:val="14"/>
                <w:szCs w:val="14"/>
                <w:color w:val="231F20"/>
              </w:rPr>
              <w:t>141,303</w:t>
            </w:r>
          </w:p>
        </w:tc>
        <w:tc>
          <w:tcPr>
            <w:tcW w:w="960" w:type="dxa"/>
            <w:vAlign w:val="bottom"/>
            <w:tcBorders>
              <w:bottom w:val="single" w:sz="8" w:color="231F20"/>
            </w:tcBorders>
          </w:tcPr>
          <w:p>
            <w:pPr>
              <w:jc w:val="right"/>
              <w:spacing w:after="0"/>
              <w:rPr>
                <w:sz w:val="20"/>
                <w:szCs w:val="20"/>
                <w:color w:val="auto"/>
              </w:rPr>
            </w:pPr>
            <w:r>
              <w:rPr>
                <w:rFonts w:ascii="Arial" w:cs="Arial" w:eastAsia="Arial" w:hAnsi="Arial"/>
                <w:sz w:val="14"/>
                <w:szCs w:val="14"/>
                <w:color w:val="231F20"/>
              </w:rPr>
              <w:t>141,303</w:t>
            </w:r>
          </w:p>
        </w:tc>
      </w:tr>
      <w:tr>
        <w:trPr>
          <w:trHeight w:val="197"/>
        </w:trPr>
        <w:tc>
          <w:tcPr>
            <w:tcW w:w="4540" w:type="dxa"/>
            <w:vAlign w:val="bottom"/>
            <w:tcBorders>
              <w:bottom w:val="single" w:sz="8" w:color="231F20"/>
            </w:tcBorders>
          </w:tcPr>
          <w:p>
            <w:pPr>
              <w:ind w:left="100"/>
              <w:spacing w:after="0"/>
              <w:rPr>
                <w:sz w:val="20"/>
                <w:szCs w:val="20"/>
                <w:color w:val="auto"/>
              </w:rPr>
            </w:pPr>
            <w:r>
              <w:rPr>
                <w:rFonts w:ascii="Arial" w:cs="Arial" w:eastAsia="Arial" w:hAnsi="Arial"/>
                <w:sz w:val="14"/>
                <w:szCs w:val="14"/>
                <w:color w:val="231F20"/>
              </w:rPr>
              <w:t>Vesting of restricted share units</w:t>
            </w:r>
          </w:p>
        </w:tc>
        <w:tc>
          <w:tcPr>
            <w:tcW w:w="1640" w:type="dxa"/>
            <w:vAlign w:val="bottom"/>
            <w:tcBorders>
              <w:bottom w:val="single" w:sz="8" w:color="231F20"/>
            </w:tcBorders>
          </w:tcPr>
          <w:p>
            <w:pPr>
              <w:jc w:val="right"/>
              <w:ind w:right="252"/>
              <w:spacing w:after="0"/>
              <w:rPr>
                <w:sz w:val="20"/>
                <w:szCs w:val="20"/>
                <w:color w:val="auto"/>
              </w:rPr>
            </w:pPr>
            <w:r>
              <w:rPr>
                <w:rFonts w:ascii="Arial" w:cs="Arial" w:eastAsia="Arial" w:hAnsi="Arial"/>
                <w:sz w:val="14"/>
                <w:szCs w:val="14"/>
                <w:color w:val="231F20"/>
              </w:rPr>
              <w:t>377,138</w:t>
            </w:r>
          </w:p>
        </w:tc>
        <w:tc>
          <w:tcPr>
            <w:tcW w:w="1380" w:type="dxa"/>
            <w:vAlign w:val="bottom"/>
            <w:tcBorders>
              <w:bottom w:val="single" w:sz="8" w:color="231F20"/>
            </w:tcBorders>
          </w:tcPr>
          <w:p>
            <w:pPr>
              <w:jc w:val="right"/>
              <w:ind w:right="272"/>
              <w:spacing w:after="0"/>
              <w:rPr>
                <w:sz w:val="20"/>
                <w:szCs w:val="20"/>
                <w:color w:val="auto"/>
              </w:rPr>
            </w:pPr>
            <w:r>
              <w:rPr>
                <w:rFonts w:ascii="Arial" w:cs="Arial" w:eastAsia="Arial" w:hAnsi="Arial"/>
                <w:sz w:val="14"/>
                <w:szCs w:val="14"/>
                <w:color w:val="231F20"/>
              </w:rPr>
              <w:t>—</w:t>
            </w:r>
          </w:p>
        </w:tc>
        <w:tc>
          <w:tcPr>
            <w:tcW w:w="1380" w:type="dxa"/>
            <w:vAlign w:val="bottom"/>
            <w:tcBorders>
              <w:bottom w:val="single" w:sz="8" w:color="231F20"/>
            </w:tcBorders>
          </w:tcPr>
          <w:p>
            <w:pPr>
              <w:jc w:val="right"/>
              <w:ind w:right="312"/>
              <w:spacing w:after="0"/>
              <w:rPr>
                <w:sz w:val="20"/>
                <w:szCs w:val="20"/>
                <w:color w:val="auto"/>
              </w:rPr>
            </w:pPr>
            <w:r>
              <w:rPr>
                <w:rFonts w:ascii="Arial" w:cs="Arial" w:eastAsia="Arial" w:hAnsi="Arial"/>
                <w:sz w:val="14"/>
                <w:szCs w:val="14"/>
                <w:color w:val="231F20"/>
              </w:rPr>
              <w:t>227,399</w:t>
            </w:r>
          </w:p>
        </w:tc>
        <w:tc>
          <w:tcPr>
            <w:tcW w:w="1340" w:type="dxa"/>
            <w:vAlign w:val="bottom"/>
            <w:tcBorders>
              <w:bottom w:val="single" w:sz="8" w:color="231F20"/>
            </w:tcBorders>
          </w:tcPr>
          <w:p>
            <w:pPr>
              <w:jc w:val="right"/>
              <w:ind w:right="312"/>
              <w:spacing w:after="0"/>
              <w:rPr>
                <w:sz w:val="20"/>
                <w:szCs w:val="20"/>
                <w:color w:val="auto"/>
              </w:rPr>
            </w:pPr>
            <w:r>
              <w:rPr>
                <w:rFonts w:ascii="Arial" w:cs="Arial" w:eastAsia="Arial" w:hAnsi="Arial"/>
                <w:sz w:val="14"/>
                <w:szCs w:val="14"/>
                <w:color w:val="231F20"/>
              </w:rPr>
              <w:t>377,138</w:t>
            </w:r>
          </w:p>
        </w:tc>
        <w:tc>
          <w:tcPr>
            <w:tcW w:w="960" w:type="dxa"/>
            <w:vAlign w:val="bottom"/>
            <w:tcBorders>
              <w:bottom w:val="single" w:sz="8" w:color="231F20"/>
            </w:tcBorders>
          </w:tcPr>
          <w:p>
            <w:pPr>
              <w:jc w:val="right"/>
              <w:spacing w:after="0"/>
              <w:rPr>
                <w:sz w:val="20"/>
                <w:szCs w:val="20"/>
                <w:color w:val="auto"/>
              </w:rPr>
            </w:pPr>
            <w:r>
              <w:rPr>
                <w:rFonts w:ascii="Arial" w:cs="Arial" w:eastAsia="Arial" w:hAnsi="Arial"/>
                <w:sz w:val="14"/>
                <w:szCs w:val="14"/>
                <w:color w:val="231F20"/>
              </w:rPr>
              <w:t>377,138</w:t>
            </w:r>
          </w:p>
        </w:tc>
      </w:tr>
      <w:tr>
        <w:trPr>
          <w:trHeight w:val="197"/>
        </w:trPr>
        <w:tc>
          <w:tcPr>
            <w:tcW w:w="4540" w:type="dxa"/>
            <w:vAlign w:val="bottom"/>
            <w:tcBorders>
              <w:bottom w:val="single" w:sz="8" w:color="231F20"/>
            </w:tcBorders>
          </w:tcPr>
          <w:p>
            <w:pPr>
              <w:ind w:left="100"/>
              <w:spacing w:after="0"/>
              <w:rPr>
                <w:sz w:val="20"/>
                <w:szCs w:val="20"/>
                <w:color w:val="auto"/>
              </w:rPr>
            </w:pPr>
            <w:r>
              <w:rPr>
                <w:rFonts w:ascii="Arial" w:cs="Arial" w:eastAsia="Arial" w:hAnsi="Arial"/>
                <w:sz w:val="14"/>
                <w:szCs w:val="14"/>
                <w:color w:val="231F20"/>
              </w:rPr>
              <w:t>Vesting of performance share units</w:t>
            </w:r>
          </w:p>
        </w:tc>
        <w:tc>
          <w:tcPr>
            <w:tcW w:w="1640" w:type="dxa"/>
            <w:vAlign w:val="bottom"/>
            <w:tcBorders>
              <w:bottom w:val="single" w:sz="8" w:color="231F20"/>
            </w:tcBorders>
          </w:tcPr>
          <w:p>
            <w:pPr>
              <w:jc w:val="right"/>
              <w:ind w:right="252"/>
              <w:spacing w:after="0"/>
              <w:rPr>
                <w:sz w:val="20"/>
                <w:szCs w:val="20"/>
                <w:color w:val="auto"/>
              </w:rPr>
            </w:pPr>
            <w:r>
              <w:rPr>
                <w:rFonts w:ascii="Arial" w:cs="Arial" w:eastAsia="Arial" w:hAnsi="Arial"/>
                <w:sz w:val="14"/>
                <w:szCs w:val="14"/>
                <w:color w:val="231F20"/>
              </w:rPr>
              <w:t>764,076</w:t>
            </w:r>
          </w:p>
        </w:tc>
        <w:tc>
          <w:tcPr>
            <w:tcW w:w="1380" w:type="dxa"/>
            <w:vAlign w:val="bottom"/>
            <w:tcBorders>
              <w:bottom w:val="single" w:sz="8" w:color="231F20"/>
            </w:tcBorders>
          </w:tcPr>
          <w:p>
            <w:pPr>
              <w:jc w:val="right"/>
              <w:ind w:right="272"/>
              <w:spacing w:after="0"/>
              <w:rPr>
                <w:sz w:val="20"/>
                <w:szCs w:val="20"/>
                <w:color w:val="auto"/>
              </w:rPr>
            </w:pPr>
            <w:r>
              <w:rPr>
                <w:rFonts w:ascii="Arial" w:cs="Arial" w:eastAsia="Arial" w:hAnsi="Arial"/>
                <w:sz w:val="14"/>
                <w:szCs w:val="14"/>
                <w:color w:val="231F20"/>
              </w:rPr>
              <w:t>—</w:t>
            </w:r>
          </w:p>
        </w:tc>
        <w:tc>
          <w:tcPr>
            <w:tcW w:w="1380" w:type="dxa"/>
            <w:vAlign w:val="bottom"/>
            <w:tcBorders>
              <w:bottom w:val="single" w:sz="8" w:color="231F20"/>
            </w:tcBorders>
          </w:tcPr>
          <w:p>
            <w:pPr>
              <w:jc w:val="right"/>
              <w:ind w:right="312"/>
              <w:spacing w:after="0"/>
              <w:rPr>
                <w:sz w:val="20"/>
                <w:szCs w:val="20"/>
                <w:color w:val="auto"/>
              </w:rPr>
            </w:pPr>
            <w:r>
              <w:rPr>
                <w:rFonts w:ascii="Arial" w:cs="Arial" w:eastAsia="Arial" w:hAnsi="Arial"/>
                <w:sz w:val="14"/>
                <w:szCs w:val="14"/>
                <w:color w:val="231F20"/>
              </w:rPr>
              <w:t>320,628</w:t>
            </w:r>
          </w:p>
        </w:tc>
        <w:tc>
          <w:tcPr>
            <w:tcW w:w="1340" w:type="dxa"/>
            <w:vAlign w:val="bottom"/>
            <w:tcBorders>
              <w:bottom w:val="single" w:sz="8" w:color="231F20"/>
            </w:tcBorders>
          </w:tcPr>
          <w:p>
            <w:pPr>
              <w:jc w:val="right"/>
              <w:ind w:right="312"/>
              <w:spacing w:after="0"/>
              <w:rPr>
                <w:sz w:val="20"/>
                <w:szCs w:val="20"/>
                <w:color w:val="auto"/>
              </w:rPr>
            </w:pPr>
            <w:r>
              <w:rPr>
                <w:rFonts w:ascii="Arial" w:cs="Arial" w:eastAsia="Arial" w:hAnsi="Arial"/>
                <w:sz w:val="14"/>
                <w:szCs w:val="14"/>
                <w:color w:val="231F20"/>
              </w:rPr>
              <w:t>764,076</w:t>
            </w:r>
          </w:p>
        </w:tc>
        <w:tc>
          <w:tcPr>
            <w:tcW w:w="960" w:type="dxa"/>
            <w:vAlign w:val="bottom"/>
            <w:tcBorders>
              <w:bottom w:val="single" w:sz="8" w:color="231F20"/>
            </w:tcBorders>
          </w:tcPr>
          <w:p>
            <w:pPr>
              <w:jc w:val="right"/>
              <w:spacing w:after="0"/>
              <w:rPr>
                <w:sz w:val="20"/>
                <w:szCs w:val="20"/>
                <w:color w:val="auto"/>
              </w:rPr>
            </w:pPr>
            <w:r>
              <w:rPr>
                <w:rFonts w:ascii="Arial" w:cs="Arial" w:eastAsia="Arial" w:hAnsi="Arial"/>
                <w:sz w:val="14"/>
                <w:szCs w:val="14"/>
                <w:color w:val="231F20"/>
              </w:rPr>
              <w:t>764,076</w:t>
            </w:r>
          </w:p>
        </w:tc>
      </w:tr>
      <w:tr>
        <w:trPr>
          <w:trHeight w:val="197"/>
        </w:trPr>
        <w:tc>
          <w:tcPr>
            <w:tcW w:w="4540" w:type="dxa"/>
            <w:vAlign w:val="bottom"/>
            <w:tcBorders>
              <w:bottom w:val="single" w:sz="8" w:color="231F20"/>
            </w:tcBorders>
          </w:tcPr>
          <w:p>
            <w:pPr>
              <w:ind w:left="100"/>
              <w:spacing w:after="0"/>
              <w:rPr>
                <w:sz w:val="20"/>
                <w:szCs w:val="20"/>
                <w:color w:val="auto"/>
              </w:rPr>
            </w:pPr>
            <w:r>
              <w:rPr>
                <w:rFonts w:ascii="Arial" w:cs="Arial" w:eastAsia="Arial" w:hAnsi="Arial"/>
                <w:sz w:val="14"/>
                <w:szCs w:val="14"/>
                <w:color w:val="231F20"/>
              </w:rPr>
              <w:t>Vesting of stock options</w:t>
            </w:r>
          </w:p>
        </w:tc>
        <w:tc>
          <w:tcPr>
            <w:tcW w:w="1640" w:type="dxa"/>
            <w:vAlign w:val="bottom"/>
            <w:tcBorders>
              <w:bottom w:val="single" w:sz="8" w:color="231F20"/>
            </w:tcBorders>
          </w:tcPr>
          <w:p>
            <w:pPr>
              <w:jc w:val="right"/>
              <w:ind w:right="252"/>
              <w:spacing w:after="0"/>
              <w:rPr>
                <w:sz w:val="20"/>
                <w:szCs w:val="20"/>
                <w:color w:val="auto"/>
              </w:rPr>
            </w:pPr>
            <w:r>
              <w:rPr>
                <w:rFonts w:ascii="Arial" w:cs="Arial" w:eastAsia="Arial" w:hAnsi="Arial"/>
                <w:sz w:val="14"/>
                <w:szCs w:val="14"/>
                <w:color w:val="231F20"/>
              </w:rPr>
              <w:t>536,072</w:t>
            </w:r>
          </w:p>
        </w:tc>
        <w:tc>
          <w:tcPr>
            <w:tcW w:w="1380" w:type="dxa"/>
            <w:vAlign w:val="bottom"/>
            <w:tcBorders>
              <w:bottom w:val="single" w:sz="8" w:color="231F20"/>
            </w:tcBorders>
          </w:tcPr>
          <w:p>
            <w:pPr>
              <w:jc w:val="right"/>
              <w:ind w:right="272"/>
              <w:spacing w:after="0"/>
              <w:rPr>
                <w:sz w:val="20"/>
                <w:szCs w:val="20"/>
                <w:color w:val="auto"/>
              </w:rPr>
            </w:pPr>
            <w:r>
              <w:rPr>
                <w:rFonts w:ascii="Arial" w:cs="Arial" w:eastAsia="Arial" w:hAnsi="Arial"/>
                <w:sz w:val="14"/>
                <w:szCs w:val="14"/>
                <w:color w:val="231F20"/>
              </w:rPr>
              <w:t>—</w:t>
            </w:r>
          </w:p>
        </w:tc>
        <w:tc>
          <w:tcPr>
            <w:tcW w:w="1380" w:type="dxa"/>
            <w:vAlign w:val="bottom"/>
            <w:tcBorders>
              <w:bottom w:val="single" w:sz="8" w:color="231F20"/>
            </w:tcBorders>
          </w:tcPr>
          <w:p>
            <w:pPr>
              <w:jc w:val="right"/>
              <w:ind w:right="312"/>
              <w:spacing w:after="0"/>
              <w:rPr>
                <w:sz w:val="20"/>
                <w:szCs w:val="20"/>
                <w:color w:val="auto"/>
              </w:rPr>
            </w:pPr>
            <w:r>
              <w:rPr>
                <w:rFonts w:ascii="Arial" w:cs="Arial" w:eastAsia="Arial" w:hAnsi="Arial"/>
                <w:sz w:val="14"/>
                <w:szCs w:val="14"/>
                <w:color w:val="231F20"/>
              </w:rPr>
              <w:t>358,336</w:t>
            </w:r>
          </w:p>
        </w:tc>
        <w:tc>
          <w:tcPr>
            <w:tcW w:w="1340" w:type="dxa"/>
            <w:vAlign w:val="bottom"/>
            <w:tcBorders>
              <w:bottom w:val="single" w:sz="8" w:color="231F20"/>
            </w:tcBorders>
          </w:tcPr>
          <w:p>
            <w:pPr>
              <w:jc w:val="right"/>
              <w:ind w:right="312"/>
              <w:spacing w:after="0"/>
              <w:rPr>
                <w:sz w:val="20"/>
                <w:szCs w:val="20"/>
                <w:color w:val="auto"/>
              </w:rPr>
            </w:pPr>
            <w:r>
              <w:rPr>
                <w:rFonts w:ascii="Arial" w:cs="Arial" w:eastAsia="Arial" w:hAnsi="Arial"/>
                <w:sz w:val="14"/>
                <w:szCs w:val="14"/>
                <w:color w:val="231F20"/>
              </w:rPr>
              <w:t>536,072</w:t>
            </w:r>
          </w:p>
        </w:tc>
        <w:tc>
          <w:tcPr>
            <w:tcW w:w="960" w:type="dxa"/>
            <w:vAlign w:val="bottom"/>
            <w:tcBorders>
              <w:bottom w:val="single" w:sz="8" w:color="231F20"/>
            </w:tcBorders>
          </w:tcPr>
          <w:p>
            <w:pPr>
              <w:jc w:val="right"/>
              <w:spacing w:after="0"/>
              <w:rPr>
                <w:sz w:val="20"/>
                <w:szCs w:val="20"/>
                <w:color w:val="auto"/>
              </w:rPr>
            </w:pPr>
            <w:r>
              <w:rPr>
                <w:rFonts w:ascii="Arial" w:cs="Arial" w:eastAsia="Arial" w:hAnsi="Arial"/>
                <w:sz w:val="14"/>
                <w:szCs w:val="14"/>
                <w:color w:val="231F20"/>
              </w:rPr>
              <w:t>536,072</w:t>
            </w:r>
          </w:p>
        </w:tc>
      </w:tr>
      <w:tr>
        <w:trPr>
          <w:trHeight w:val="197"/>
        </w:trPr>
        <w:tc>
          <w:tcPr>
            <w:tcW w:w="4540" w:type="dxa"/>
            <w:vAlign w:val="bottom"/>
            <w:tcBorders>
              <w:bottom w:val="single" w:sz="8" w:color="231F20"/>
            </w:tcBorders>
          </w:tcPr>
          <w:p>
            <w:pPr>
              <w:ind w:left="100"/>
              <w:spacing w:after="0"/>
              <w:rPr>
                <w:sz w:val="20"/>
                <w:szCs w:val="20"/>
                <w:color w:val="auto"/>
              </w:rPr>
            </w:pPr>
            <w:r>
              <w:rPr>
                <w:rFonts w:ascii="Arial" w:cs="Arial" w:eastAsia="Arial" w:hAnsi="Arial"/>
                <w:sz w:val="14"/>
                <w:szCs w:val="14"/>
                <w:color w:val="231F20"/>
              </w:rPr>
              <w:t>Continuation of welfare benefits</w:t>
            </w:r>
          </w:p>
        </w:tc>
        <w:tc>
          <w:tcPr>
            <w:tcW w:w="1640" w:type="dxa"/>
            <w:vAlign w:val="bottom"/>
            <w:tcBorders>
              <w:bottom w:val="single" w:sz="8" w:color="231F20"/>
            </w:tcBorders>
          </w:tcPr>
          <w:p>
            <w:pPr>
              <w:jc w:val="right"/>
              <w:ind w:right="252"/>
              <w:spacing w:after="0"/>
              <w:rPr>
                <w:sz w:val="20"/>
                <w:szCs w:val="20"/>
                <w:color w:val="auto"/>
              </w:rPr>
            </w:pPr>
            <w:r>
              <w:rPr>
                <w:rFonts w:ascii="Arial" w:cs="Arial" w:eastAsia="Arial" w:hAnsi="Arial"/>
                <w:sz w:val="14"/>
                <w:szCs w:val="14"/>
                <w:color w:val="231F20"/>
              </w:rPr>
              <w:t>59,220</w:t>
            </w:r>
          </w:p>
        </w:tc>
        <w:tc>
          <w:tcPr>
            <w:tcW w:w="1380" w:type="dxa"/>
            <w:vAlign w:val="bottom"/>
            <w:tcBorders>
              <w:bottom w:val="single" w:sz="8" w:color="231F20"/>
            </w:tcBorders>
          </w:tcPr>
          <w:p>
            <w:pPr>
              <w:jc w:val="right"/>
              <w:ind w:right="272"/>
              <w:spacing w:after="0"/>
              <w:rPr>
                <w:sz w:val="20"/>
                <w:szCs w:val="20"/>
                <w:color w:val="auto"/>
              </w:rPr>
            </w:pPr>
            <w:r>
              <w:rPr>
                <w:rFonts w:ascii="Arial" w:cs="Arial" w:eastAsia="Arial" w:hAnsi="Arial"/>
                <w:sz w:val="14"/>
                <w:szCs w:val="14"/>
                <w:color w:val="231F20"/>
              </w:rPr>
              <w:t>14,444</w:t>
            </w:r>
          </w:p>
        </w:tc>
        <w:tc>
          <w:tcPr>
            <w:tcW w:w="1380" w:type="dxa"/>
            <w:vAlign w:val="bottom"/>
            <w:tcBorders>
              <w:bottom w:val="single" w:sz="8" w:color="231F20"/>
            </w:tcBorders>
          </w:tcPr>
          <w:p>
            <w:pPr>
              <w:jc w:val="right"/>
              <w:ind w:right="312"/>
              <w:spacing w:after="0"/>
              <w:rPr>
                <w:sz w:val="20"/>
                <w:szCs w:val="20"/>
                <w:color w:val="auto"/>
              </w:rPr>
            </w:pPr>
            <w:r>
              <w:rPr>
                <w:rFonts w:ascii="Arial" w:cs="Arial" w:eastAsia="Arial" w:hAnsi="Arial"/>
                <w:sz w:val="14"/>
                <w:szCs w:val="14"/>
                <w:color w:val="231F20"/>
              </w:rPr>
              <w:t>—</w:t>
            </w:r>
          </w:p>
        </w:tc>
        <w:tc>
          <w:tcPr>
            <w:tcW w:w="1340" w:type="dxa"/>
            <w:vAlign w:val="bottom"/>
            <w:tcBorders>
              <w:bottom w:val="single" w:sz="8" w:color="231F20"/>
            </w:tcBorders>
          </w:tcPr>
          <w:p>
            <w:pPr>
              <w:jc w:val="right"/>
              <w:ind w:right="312"/>
              <w:spacing w:after="0"/>
              <w:rPr>
                <w:sz w:val="20"/>
                <w:szCs w:val="20"/>
                <w:color w:val="auto"/>
              </w:rPr>
            </w:pPr>
            <w:r>
              <w:rPr>
                <w:rFonts w:ascii="Arial" w:cs="Arial" w:eastAsia="Arial" w:hAnsi="Arial"/>
                <w:sz w:val="14"/>
                <w:szCs w:val="14"/>
                <w:color w:val="231F20"/>
              </w:rPr>
              <w:t>—</w:t>
            </w:r>
          </w:p>
        </w:tc>
        <w:tc>
          <w:tcPr>
            <w:tcW w:w="960" w:type="dxa"/>
            <w:vAlign w:val="bottom"/>
            <w:tcBorders>
              <w:bottom w:val="single" w:sz="8" w:color="231F20"/>
            </w:tcBorders>
          </w:tcPr>
          <w:p>
            <w:pPr>
              <w:jc w:val="right"/>
              <w:spacing w:after="0"/>
              <w:rPr>
                <w:sz w:val="20"/>
                <w:szCs w:val="20"/>
                <w:color w:val="auto"/>
              </w:rPr>
            </w:pPr>
            <w:r>
              <w:rPr>
                <w:rFonts w:ascii="Arial" w:cs="Arial" w:eastAsia="Arial" w:hAnsi="Arial"/>
                <w:sz w:val="14"/>
                <w:szCs w:val="14"/>
                <w:color w:val="231F20"/>
              </w:rPr>
              <w:t>—</w:t>
            </w:r>
          </w:p>
        </w:tc>
      </w:tr>
      <w:tr>
        <w:trPr>
          <w:trHeight w:val="200"/>
        </w:trPr>
        <w:tc>
          <w:tcPr>
            <w:tcW w:w="4540" w:type="dxa"/>
            <w:vAlign w:val="bottom"/>
            <w:tcBorders>
              <w:bottom w:val="single" w:sz="8" w:color="231F20"/>
            </w:tcBorders>
          </w:tcPr>
          <w:p>
            <w:pPr>
              <w:spacing w:after="0"/>
              <w:rPr>
                <w:sz w:val="20"/>
                <w:szCs w:val="20"/>
                <w:color w:val="auto"/>
              </w:rPr>
            </w:pPr>
            <w:r>
              <w:rPr>
                <w:rFonts w:ascii="Arial" w:cs="Arial" w:eastAsia="Arial" w:hAnsi="Arial"/>
                <w:sz w:val="14"/>
                <w:szCs w:val="14"/>
                <w:b w:val="1"/>
                <w:bCs w:val="1"/>
                <w:color w:val="455986"/>
              </w:rPr>
              <w:t>Outplacement services</w:t>
            </w:r>
          </w:p>
        </w:tc>
        <w:tc>
          <w:tcPr>
            <w:tcW w:w="1640" w:type="dxa"/>
            <w:vAlign w:val="bottom"/>
            <w:tcBorders>
              <w:bottom w:val="single" w:sz="8" w:color="231F20"/>
            </w:tcBorders>
          </w:tcPr>
          <w:p>
            <w:pPr>
              <w:jc w:val="right"/>
              <w:ind w:right="252"/>
              <w:spacing w:after="0"/>
              <w:rPr>
                <w:sz w:val="20"/>
                <w:szCs w:val="20"/>
                <w:color w:val="auto"/>
              </w:rPr>
            </w:pPr>
            <w:r>
              <w:rPr>
                <w:rFonts w:ascii="Arial" w:cs="Arial" w:eastAsia="Arial" w:hAnsi="Arial"/>
                <w:sz w:val="14"/>
                <w:szCs w:val="14"/>
                <w:color w:val="231F20"/>
              </w:rPr>
              <w:t>20,000</w:t>
            </w:r>
          </w:p>
        </w:tc>
        <w:tc>
          <w:tcPr>
            <w:tcW w:w="1380" w:type="dxa"/>
            <w:vAlign w:val="bottom"/>
            <w:tcBorders>
              <w:bottom w:val="single" w:sz="8" w:color="231F20"/>
            </w:tcBorders>
          </w:tcPr>
          <w:p>
            <w:pPr>
              <w:jc w:val="right"/>
              <w:ind w:right="272"/>
              <w:spacing w:after="0"/>
              <w:rPr>
                <w:sz w:val="20"/>
                <w:szCs w:val="20"/>
                <w:color w:val="auto"/>
              </w:rPr>
            </w:pPr>
            <w:r>
              <w:rPr>
                <w:rFonts w:ascii="Arial" w:cs="Arial" w:eastAsia="Arial" w:hAnsi="Arial"/>
                <w:sz w:val="14"/>
                <w:szCs w:val="14"/>
                <w:color w:val="231F20"/>
              </w:rPr>
              <w:t>—</w:t>
            </w:r>
          </w:p>
        </w:tc>
        <w:tc>
          <w:tcPr>
            <w:tcW w:w="1380" w:type="dxa"/>
            <w:vAlign w:val="bottom"/>
            <w:tcBorders>
              <w:bottom w:val="single" w:sz="8" w:color="231F20"/>
            </w:tcBorders>
          </w:tcPr>
          <w:p>
            <w:pPr>
              <w:jc w:val="right"/>
              <w:ind w:right="312"/>
              <w:spacing w:after="0"/>
              <w:rPr>
                <w:sz w:val="20"/>
                <w:szCs w:val="20"/>
                <w:color w:val="auto"/>
              </w:rPr>
            </w:pPr>
            <w:r>
              <w:rPr>
                <w:rFonts w:ascii="Arial" w:cs="Arial" w:eastAsia="Arial" w:hAnsi="Arial"/>
                <w:sz w:val="14"/>
                <w:szCs w:val="14"/>
                <w:color w:val="231F20"/>
              </w:rPr>
              <w:t>—</w:t>
            </w:r>
          </w:p>
        </w:tc>
        <w:tc>
          <w:tcPr>
            <w:tcW w:w="1340" w:type="dxa"/>
            <w:vAlign w:val="bottom"/>
            <w:tcBorders>
              <w:bottom w:val="single" w:sz="8" w:color="231F20"/>
            </w:tcBorders>
          </w:tcPr>
          <w:p>
            <w:pPr>
              <w:jc w:val="right"/>
              <w:ind w:right="312"/>
              <w:spacing w:after="0"/>
              <w:rPr>
                <w:sz w:val="20"/>
                <w:szCs w:val="20"/>
                <w:color w:val="auto"/>
              </w:rPr>
            </w:pPr>
            <w:r>
              <w:rPr>
                <w:rFonts w:ascii="Arial" w:cs="Arial" w:eastAsia="Arial" w:hAnsi="Arial"/>
                <w:sz w:val="14"/>
                <w:szCs w:val="14"/>
                <w:color w:val="231F20"/>
              </w:rPr>
              <w:t>—</w:t>
            </w:r>
          </w:p>
        </w:tc>
        <w:tc>
          <w:tcPr>
            <w:tcW w:w="960" w:type="dxa"/>
            <w:vAlign w:val="bottom"/>
            <w:tcBorders>
              <w:bottom w:val="single" w:sz="8" w:color="231F20"/>
            </w:tcBorders>
          </w:tcPr>
          <w:p>
            <w:pPr>
              <w:jc w:val="right"/>
              <w:spacing w:after="0"/>
              <w:rPr>
                <w:sz w:val="20"/>
                <w:szCs w:val="20"/>
                <w:color w:val="auto"/>
              </w:rPr>
            </w:pPr>
            <w:r>
              <w:rPr>
                <w:rFonts w:ascii="Arial" w:cs="Arial" w:eastAsia="Arial" w:hAnsi="Arial"/>
                <w:sz w:val="14"/>
                <w:szCs w:val="14"/>
                <w:color w:val="231F20"/>
              </w:rPr>
              <w:t>—</w:t>
            </w:r>
          </w:p>
        </w:tc>
      </w:tr>
      <w:tr>
        <w:trPr>
          <w:trHeight w:val="197"/>
        </w:trPr>
        <w:tc>
          <w:tcPr>
            <w:tcW w:w="4540" w:type="dxa"/>
            <w:vAlign w:val="bottom"/>
            <w:tcBorders>
              <w:bottom w:val="single" w:sz="8" w:color="231F20"/>
            </w:tcBorders>
          </w:tcPr>
          <w:p>
            <w:pPr>
              <w:spacing w:after="0"/>
              <w:rPr>
                <w:sz w:val="20"/>
                <w:szCs w:val="20"/>
                <w:color w:val="auto"/>
              </w:rPr>
            </w:pPr>
            <w:r>
              <w:rPr>
                <w:rFonts w:ascii="Arial" w:cs="Arial" w:eastAsia="Arial" w:hAnsi="Arial"/>
                <w:sz w:val="14"/>
                <w:szCs w:val="14"/>
                <w:b w:val="1"/>
                <w:bCs w:val="1"/>
                <w:color w:val="455986"/>
              </w:rPr>
              <w:t>Vested Retirement Benefits</w:t>
            </w:r>
          </w:p>
        </w:tc>
        <w:tc>
          <w:tcPr>
            <w:tcW w:w="1640" w:type="dxa"/>
            <w:vAlign w:val="bottom"/>
            <w:tcBorders>
              <w:bottom w:val="single" w:sz="8" w:color="231F20"/>
            </w:tcBorders>
          </w:tcPr>
          <w:p>
            <w:pPr>
              <w:spacing w:after="0"/>
              <w:rPr>
                <w:sz w:val="17"/>
                <w:szCs w:val="17"/>
                <w:color w:val="auto"/>
              </w:rPr>
            </w:pPr>
          </w:p>
        </w:tc>
        <w:tc>
          <w:tcPr>
            <w:tcW w:w="1380" w:type="dxa"/>
            <w:vAlign w:val="bottom"/>
            <w:tcBorders>
              <w:bottom w:val="single" w:sz="8" w:color="231F20"/>
            </w:tcBorders>
          </w:tcPr>
          <w:p>
            <w:pPr>
              <w:spacing w:after="0"/>
              <w:rPr>
                <w:sz w:val="17"/>
                <w:szCs w:val="17"/>
                <w:color w:val="auto"/>
              </w:rPr>
            </w:pPr>
          </w:p>
        </w:tc>
        <w:tc>
          <w:tcPr>
            <w:tcW w:w="1380" w:type="dxa"/>
            <w:vAlign w:val="bottom"/>
            <w:tcBorders>
              <w:bottom w:val="single" w:sz="8" w:color="231F20"/>
            </w:tcBorders>
          </w:tcPr>
          <w:p>
            <w:pPr>
              <w:spacing w:after="0"/>
              <w:rPr>
                <w:sz w:val="17"/>
                <w:szCs w:val="17"/>
                <w:color w:val="auto"/>
              </w:rPr>
            </w:pPr>
          </w:p>
        </w:tc>
        <w:tc>
          <w:tcPr>
            <w:tcW w:w="1340" w:type="dxa"/>
            <w:vAlign w:val="bottom"/>
            <w:tcBorders>
              <w:bottom w:val="single" w:sz="8" w:color="231F20"/>
            </w:tcBorders>
          </w:tcPr>
          <w:p>
            <w:pPr>
              <w:spacing w:after="0"/>
              <w:rPr>
                <w:sz w:val="17"/>
                <w:szCs w:val="17"/>
                <w:color w:val="auto"/>
              </w:rPr>
            </w:pPr>
          </w:p>
        </w:tc>
        <w:tc>
          <w:tcPr>
            <w:tcW w:w="960" w:type="dxa"/>
            <w:vAlign w:val="bottom"/>
            <w:tcBorders>
              <w:bottom w:val="single" w:sz="8" w:color="231F20"/>
            </w:tcBorders>
          </w:tcPr>
          <w:p>
            <w:pPr>
              <w:spacing w:after="0"/>
              <w:rPr>
                <w:sz w:val="17"/>
                <w:szCs w:val="17"/>
                <w:color w:val="auto"/>
              </w:rPr>
            </w:pPr>
          </w:p>
        </w:tc>
      </w:tr>
      <w:tr>
        <w:trPr>
          <w:trHeight w:val="160"/>
        </w:trPr>
        <w:tc>
          <w:tcPr>
            <w:tcW w:w="4540" w:type="dxa"/>
            <w:vAlign w:val="bottom"/>
          </w:tcPr>
          <w:p>
            <w:pPr>
              <w:ind w:left="100"/>
              <w:spacing w:after="0"/>
              <w:rPr>
                <w:sz w:val="20"/>
                <w:szCs w:val="20"/>
                <w:color w:val="auto"/>
              </w:rPr>
            </w:pPr>
            <w:r>
              <w:rPr>
                <w:rFonts w:ascii="Arial" w:cs="Arial" w:eastAsia="Arial" w:hAnsi="Arial"/>
                <w:sz w:val="14"/>
                <w:szCs w:val="14"/>
                <w:color w:val="231F20"/>
              </w:rPr>
              <w:t>Incremental pension value above that included in the Pension Benefits</w:t>
            </w:r>
          </w:p>
        </w:tc>
        <w:tc>
          <w:tcPr>
            <w:tcW w:w="1640" w:type="dxa"/>
            <w:vAlign w:val="bottom"/>
          </w:tcPr>
          <w:p>
            <w:pPr>
              <w:jc w:val="right"/>
              <w:ind w:right="252"/>
              <w:spacing w:after="0"/>
              <w:rPr>
                <w:sz w:val="20"/>
                <w:szCs w:val="20"/>
                <w:color w:val="auto"/>
              </w:rPr>
            </w:pPr>
            <w:r>
              <w:rPr>
                <w:rFonts w:ascii="Arial" w:cs="Arial" w:eastAsia="Arial" w:hAnsi="Arial"/>
                <w:sz w:val="14"/>
                <w:szCs w:val="14"/>
                <w:color w:val="231F20"/>
              </w:rPr>
              <w:t>221,278</w:t>
            </w:r>
          </w:p>
        </w:tc>
        <w:tc>
          <w:tcPr>
            <w:tcW w:w="1380" w:type="dxa"/>
            <w:vAlign w:val="bottom"/>
          </w:tcPr>
          <w:p>
            <w:pPr>
              <w:jc w:val="right"/>
              <w:ind w:right="272"/>
              <w:spacing w:after="0"/>
              <w:rPr>
                <w:sz w:val="20"/>
                <w:szCs w:val="20"/>
                <w:color w:val="auto"/>
              </w:rPr>
            </w:pPr>
            <w:r>
              <w:rPr>
                <w:rFonts w:ascii="Arial" w:cs="Arial" w:eastAsia="Arial" w:hAnsi="Arial"/>
                <w:sz w:val="14"/>
                <w:szCs w:val="14"/>
                <w:color w:val="231F20"/>
              </w:rPr>
              <w:t>221,278</w:t>
            </w:r>
          </w:p>
        </w:tc>
        <w:tc>
          <w:tcPr>
            <w:tcW w:w="1380" w:type="dxa"/>
            <w:vAlign w:val="bottom"/>
          </w:tcPr>
          <w:p>
            <w:pPr>
              <w:jc w:val="right"/>
              <w:ind w:right="312"/>
              <w:spacing w:after="0"/>
              <w:rPr>
                <w:sz w:val="20"/>
                <w:szCs w:val="20"/>
                <w:color w:val="auto"/>
              </w:rPr>
            </w:pPr>
            <w:r>
              <w:rPr>
                <w:rFonts w:ascii="Arial" w:cs="Arial" w:eastAsia="Arial" w:hAnsi="Arial"/>
                <w:sz w:val="14"/>
                <w:szCs w:val="14"/>
                <w:color w:val="231F20"/>
              </w:rPr>
              <w:t>—</w:t>
            </w:r>
          </w:p>
        </w:tc>
        <w:tc>
          <w:tcPr>
            <w:tcW w:w="1340" w:type="dxa"/>
            <w:vAlign w:val="bottom"/>
          </w:tcPr>
          <w:p>
            <w:pPr>
              <w:jc w:val="right"/>
              <w:ind w:right="312"/>
              <w:spacing w:after="0"/>
              <w:rPr>
                <w:sz w:val="20"/>
                <w:szCs w:val="20"/>
                <w:color w:val="auto"/>
              </w:rPr>
            </w:pPr>
            <w:r>
              <w:rPr>
                <w:rFonts w:ascii="Arial" w:cs="Arial" w:eastAsia="Arial" w:hAnsi="Arial"/>
                <w:sz w:val="14"/>
                <w:szCs w:val="14"/>
                <w:color w:val="231F20"/>
              </w:rPr>
              <w:t>—</w:t>
            </w:r>
          </w:p>
        </w:tc>
        <w:tc>
          <w:tcPr>
            <w:tcW w:w="960" w:type="dxa"/>
            <w:vAlign w:val="bottom"/>
          </w:tcPr>
          <w:p>
            <w:pPr>
              <w:jc w:val="right"/>
              <w:spacing w:after="0"/>
              <w:rPr>
                <w:sz w:val="20"/>
                <w:szCs w:val="20"/>
                <w:color w:val="auto"/>
              </w:rPr>
            </w:pPr>
            <w:r>
              <w:rPr>
                <w:rFonts w:ascii="Arial" w:cs="Arial" w:eastAsia="Arial" w:hAnsi="Arial"/>
                <w:sz w:val="14"/>
                <w:szCs w:val="14"/>
                <w:color w:val="231F20"/>
              </w:rPr>
              <w:t>1,314,441</w:t>
            </w:r>
          </w:p>
        </w:tc>
      </w:tr>
      <w:tr>
        <w:trPr>
          <w:trHeight w:val="187"/>
        </w:trPr>
        <w:tc>
          <w:tcPr>
            <w:tcW w:w="4540" w:type="dxa"/>
            <w:vAlign w:val="bottom"/>
            <w:tcBorders>
              <w:bottom w:val="single" w:sz="8" w:color="231F20"/>
            </w:tcBorders>
          </w:tcPr>
          <w:p>
            <w:pPr>
              <w:ind w:left="300"/>
              <w:spacing w:after="0"/>
              <w:rPr>
                <w:sz w:val="20"/>
                <w:szCs w:val="20"/>
                <w:color w:val="auto"/>
              </w:rPr>
            </w:pPr>
            <w:r>
              <w:rPr>
                <w:rFonts w:ascii="Arial" w:cs="Arial" w:eastAsia="Arial" w:hAnsi="Arial"/>
                <w:sz w:val="14"/>
                <w:szCs w:val="14"/>
                <w:color w:val="231F20"/>
              </w:rPr>
              <w:t>Table</w:t>
            </w:r>
          </w:p>
        </w:tc>
        <w:tc>
          <w:tcPr>
            <w:tcW w:w="1640" w:type="dxa"/>
            <w:vAlign w:val="bottom"/>
            <w:tcBorders>
              <w:bottom w:val="single" w:sz="8" w:color="231F20"/>
            </w:tcBorders>
          </w:tcPr>
          <w:p>
            <w:pPr>
              <w:spacing w:after="0"/>
              <w:rPr>
                <w:sz w:val="16"/>
                <w:szCs w:val="16"/>
                <w:color w:val="auto"/>
              </w:rPr>
            </w:pPr>
          </w:p>
        </w:tc>
        <w:tc>
          <w:tcPr>
            <w:tcW w:w="1380" w:type="dxa"/>
            <w:vAlign w:val="bottom"/>
            <w:tcBorders>
              <w:bottom w:val="single" w:sz="8" w:color="231F20"/>
            </w:tcBorders>
          </w:tcPr>
          <w:p>
            <w:pPr>
              <w:spacing w:after="0"/>
              <w:rPr>
                <w:sz w:val="16"/>
                <w:szCs w:val="16"/>
                <w:color w:val="auto"/>
              </w:rPr>
            </w:pPr>
          </w:p>
        </w:tc>
        <w:tc>
          <w:tcPr>
            <w:tcW w:w="1380" w:type="dxa"/>
            <w:vAlign w:val="bottom"/>
            <w:tcBorders>
              <w:bottom w:val="single" w:sz="8" w:color="231F20"/>
            </w:tcBorders>
          </w:tcPr>
          <w:p>
            <w:pPr>
              <w:spacing w:after="0"/>
              <w:rPr>
                <w:sz w:val="16"/>
                <w:szCs w:val="16"/>
                <w:color w:val="auto"/>
              </w:rPr>
            </w:pPr>
          </w:p>
        </w:tc>
        <w:tc>
          <w:tcPr>
            <w:tcW w:w="1340" w:type="dxa"/>
            <w:vAlign w:val="bottom"/>
            <w:tcBorders>
              <w:bottom w:val="single" w:sz="8" w:color="231F20"/>
            </w:tcBorders>
          </w:tcPr>
          <w:p>
            <w:pPr>
              <w:spacing w:after="0"/>
              <w:rPr>
                <w:sz w:val="16"/>
                <w:szCs w:val="16"/>
                <w:color w:val="auto"/>
              </w:rPr>
            </w:pPr>
          </w:p>
        </w:tc>
        <w:tc>
          <w:tcPr>
            <w:tcW w:w="960" w:type="dxa"/>
            <w:vAlign w:val="bottom"/>
            <w:tcBorders>
              <w:bottom w:val="single" w:sz="8" w:color="231F20"/>
            </w:tcBorders>
          </w:tcPr>
          <w:p>
            <w:pPr>
              <w:spacing w:after="0"/>
              <w:rPr>
                <w:sz w:val="16"/>
                <w:szCs w:val="16"/>
                <w:color w:val="auto"/>
              </w:rPr>
            </w:pPr>
          </w:p>
        </w:tc>
      </w:tr>
      <w:tr>
        <w:trPr>
          <w:trHeight w:val="197"/>
        </w:trPr>
        <w:tc>
          <w:tcPr>
            <w:tcW w:w="4540" w:type="dxa"/>
            <w:vAlign w:val="bottom"/>
            <w:tcBorders>
              <w:bottom w:val="single" w:sz="8" w:color="231F20"/>
            </w:tcBorders>
          </w:tcPr>
          <w:p>
            <w:pPr>
              <w:ind w:left="100"/>
              <w:spacing w:after="0"/>
              <w:rPr>
                <w:sz w:val="20"/>
                <w:szCs w:val="20"/>
                <w:color w:val="auto"/>
              </w:rPr>
            </w:pPr>
            <w:r>
              <w:rPr>
                <w:rFonts w:ascii="Arial" w:cs="Arial" w:eastAsia="Arial" w:hAnsi="Arial"/>
                <w:sz w:val="14"/>
                <w:szCs w:val="14"/>
                <w:color w:val="231F20"/>
              </w:rPr>
              <w:t>Present value of retiree medical benefits</w:t>
            </w:r>
          </w:p>
        </w:tc>
        <w:tc>
          <w:tcPr>
            <w:tcW w:w="1640" w:type="dxa"/>
            <w:vAlign w:val="bottom"/>
            <w:tcBorders>
              <w:bottom w:val="single" w:sz="8" w:color="231F20"/>
            </w:tcBorders>
          </w:tcPr>
          <w:p>
            <w:pPr>
              <w:jc w:val="right"/>
              <w:ind w:right="252"/>
              <w:spacing w:after="0"/>
              <w:rPr>
                <w:sz w:val="20"/>
                <w:szCs w:val="20"/>
                <w:color w:val="auto"/>
              </w:rPr>
            </w:pPr>
            <w:r>
              <w:rPr>
                <w:rFonts w:ascii="Arial" w:cs="Arial" w:eastAsia="Arial" w:hAnsi="Arial"/>
                <w:sz w:val="14"/>
                <w:szCs w:val="14"/>
                <w:color w:val="231F20"/>
              </w:rPr>
              <w:t>—</w:t>
            </w:r>
          </w:p>
        </w:tc>
        <w:tc>
          <w:tcPr>
            <w:tcW w:w="1380" w:type="dxa"/>
            <w:vAlign w:val="bottom"/>
            <w:tcBorders>
              <w:bottom w:val="single" w:sz="8" w:color="231F20"/>
            </w:tcBorders>
          </w:tcPr>
          <w:p>
            <w:pPr>
              <w:jc w:val="right"/>
              <w:ind w:right="272"/>
              <w:spacing w:after="0"/>
              <w:rPr>
                <w:sz w:val="20"/>
                <w:szCs w:val="20"/>
                <w:color w:val="auto"/>
              </w:rPr>
            </w:pPr>
            <w:r>
              <w:rPr>
                <w:rFonts w:ascii="Arial" w:cs="Arial" w:eastAsia="Arial" w:hAnsi="Arial"/>
                <w:sz w:val="14"/>
                <w:szCs w:val="14"/>
                <w:color w:val="231F20"/>
              </w:rPr>
              <w:t>—</w:t>
            </w:r>
          </w:p>
        </w:tc>
        <w:tc>
          <w:tcPr>
            <w:tcW w:w="1380" w:type="dxa"/>
            <w:vAlign w:val="bottom"/>
            <w:tcBorders>
              <w:bottom w:val="single" w:sz="8" w:color="231F20"/>
            </w:tcBorders>
          </w:tcPr>
          <w:p>
            <w:pPr>
              <w:jc w:val="right"/>
              <w:ind w:right="312"/>
              <w:spacing w:after="0"/>
              <w:rPr>
                <w:sz w:val="20"/>
                <w:szCs w:val="20"/>
                <w:color w:val="auto"/>
              </w:rPr>
            </w:pPr>
            <w:r>
              <w:rPr>
                <w:rFonts w:ascii="Arial" w:cs="Arial" w:eastAsia="Arial" w:hAnsi="Arial"/>
                <w:sz w:val="14"/>
                <w:szCs w:val="14"/>
                <w:color w:val="231F20"/>
              </w:rPr>
              <w:t>—</w:t>
            </w:r>
          </w:p>
        </w:tc>
        <w:tc>
          <w:tcPr>
            <w:tcW w:w="1340" w:type="dxa"/>
            <w:vAlign w:val="bottom"/>
            <w:tcBorders>
              <w:bottom w:val="single" w:sz="8" w:color="231F20"/>
            </w:tcBorders>
          </w:tcPr>
          <w:p>
            <w:pPr>
              <w:jc w:val="right"/>
              <w:ind w:right="312"/>
              <w:spacing w:after="0"/>
              <w:rPr>
                <w:sz w:val="20"/>
                <w:szCs w:val="20"/>
                <w:color w:val="auto"/>
              </w:rPr>
            </w:pPr>
            <w:r>
              <w:rPr>
                <w:rFonts w:ascii="Arial" w:cs="Arial" w:eastAsia="Arial" w:hAnsi="Arial"/>
                <w:sz w:val="14"/>
                <w:szCs w:val="14"/>
                <w:color w:val="231F20"/>
              </w:rPr>
              <w:t>—</w:t>
            </w:r>
          </w:p>
        </w:tc>
        <w:tc>
          <w:tcPr>
            <w:tcW w:w="960" w:type="dxa"/>
            <w:vAlign w:val="bottom"/>
            <w:tcBorders>
              <w:bottom w:val="single" w:sz="8" w:color="231F20"/>
            </w:tcBorders>
          </w:tcPr>
          <w:p>
            <w:pPr>
              <w:jc w:val="right"/>
              <w:spacing w:after="0"/>
              <w:rPr>
                <w:sz w:val="20"/>
                <w:szCs w:val="20"/>
                <w:color w:val="auto"/>
              </w:rPr>
            </w:pPr>
            <w:r>
              <w:rPr>
                <w:rFonts w:ascii="Arial" w:cs="Arial" w:eastAsia="Arial" w:hAnsi="Arial"/>
                <w:sz w:val="14"/>
                <w:szCs w:val="14"/>
                <w:color w:val="231F20"/>
              </w:rPr>
              <w:t>—</w:t>
            </w:r>
          </w:p>
        </w:tc>
      </w:tr>
      <w:tr>
        <w:trPr>
          <w:trHeight w:val="200"/>
        </w:trPr>
        <w:tc>
          <w:tcPr>
            <w:tcW w:w="4540" w:type="dxa"/>
            <w:vAlign w:val="bottom"/>
            <w:tcBorders>
              <w:bottom w:val="single" w:sz="8" w:color="231F20"/>
            </w:tcBorders>
          </w:tcPr>
          <w:p>
            <w:pPr>
              <w:spacing w:after="0"/>
              <w:rPr>
                <w:sz w:val="20"/>
                <w:szCs w:val="20"/>
                <w:color w:val="auto"/>
              </w:rPr>
            </w:pPr>
            <w:r>
              <w:rPr>
                <w:rFonts w:ascii="Arial" w:cs="Arial" w:eastAsia="Arial" w:hAnsi="Arial"/>
                <w:sz w:val="14"/>
                <w:szCs w:val="14"/>
                <w:b w:val="1"/>
                <w:bCs w:val="1"/>
                <w:color w:val="455986"/>
              </w:rPr>
              <w:t>Total</w:t>
            </w:r>
          </w:p>
        </w:tc>
        <w:tc>
          <w:tcPr>
            <w:tcW w:w="1640" w:type="dxa"/>
            <w:vAlign w:val="bottom"/>
            <w:tcBorders>
              <w:bottom w:val="single" w:sz="8" w:color="231F20"/>
            </w:tcBorders>
          </w:tcPr>
          <w:p>
            <w:pPr>
              <w:jc w:val="right"/>
              <w:ind w:right="252"/>
              <w:spacing w:after="0"/>
              <w:rPr>
                <w:sz w:val="20"/>
                <w:szCs w:val="20"/>
                <w:color w:val="auto"/>
              </w:rPr>
            </w:pPr>
            <w:r>
              <w:rPr>
                <w:rFonts w:ascii="Arial" w:cs="Arial" w:eastAsia="Arial" w:hAnsi="Arial"/>
                <w:sz w:val="14"/>
                <w:szCs w:val="14"/>
                <w:color w:val="231F20"/>
              </w:rPr>
              <w:t>3,811,933</w:t>
            </w:r>
          </w:p>
        </w:tc>
        <w:tc>
          <w:tcPr>
            <w:tcW w:w="1380" w:type="dxa"/>
            <w:vAlign w:val="bottom"/>
            <w:tcBorders>
              <w:bottom w:val="single" w:sz="8" w:color="231F20"/>
            </w:tcBorders>
          </w:tcPr>
          <w:p>
            <w:pPr>
              <w:jc w:val="right"/>
              <w:ind w:right="272"/>
              <w:spacing w:after="0"/>
              <w:rPr>
                <w:sz w:val="20"/>
                <w:szCs w:val="20"/>
                <w:color w:val="auto"/>
              </w:rPr>
            </w:pPr>
            <w:r>
              <w:rPr>
                <w:rFonts w:ascii="Arial" w:cs="Arial" w:eastAsia="Arial" w:hAnsi="Arial"/>
                <w:sz w:val="14"/>
                <w:szCs w:val="14"/>
                <w:color w:val="231F20"/>
              </w:rPr>
              <w:t>1,084,225</w:t>
            </w:r>
          </w:p>
        </w:tc>
        <w:tc>
          <w:tcPr>
            <w:tcW w:w="1380" w:type="dxa"/>
            <w:vAlign w:val="bottom"/>
            <w:tcBorders>
              <w:bottom w:val="single" w:sz="8" w:color="231F20"/>
            </w:tcBorders>
          </w:tcPr>
          <w:p>
            <w:pPr>
              <w:jc w:val="right"/>
              <w:ind w:right="312"/>
              <w:spacing w:after="0"/>
              <w:rPr>
                <w:sz w:val="20"/>
                <w:szCs w:val="20"/>
                <w:color w:val="auto"/>
              </w:rPr>
            </w:pPr>
            <w:r>
              <w:rPr>
                <w:rFonts w:ascii="Arial" w:cs="Arial" w:eastAsia="Arial" w:hAnsi="Arial"/>
                <w:sz w:val="14"/>
                <w:szCs w:val="14"/>
                <w:color w:val="231F20"/>
              </w:rPr>
              <w:t>1,283,161</w:t>
            </w:r>
          </w:p>
        </w:tc>
        <w:tc>
          <w:tcPr>
            <w:tcW w:w="1340" w:type="dxa"/>
            <w:vAlign w:val="bottom"/>
            <w:tcBorders>
              <w:bottom w:val="single" w:sz="8" w:color="231F20"/>
            </w:tcBorders>
          </w:tcPr>
          <w:p>
            <w:pPr>
              <w:jc w:val="right"/>
              <w:ind w:right="312"/>
              <w:spacing w:after="0"/>
              <w:rPr>
                <w:sz w:val="20"/>
                <w:szCs w:val="20"/>
                <w:color w:val="auto"/>
              </w:rPr>
            </w:pPr>
            <w:r>
              <w:rPr>
                <w:rFonts w:ascii="Arial" w:cs="Arial" w:eastAsia="Arial" w:hAnsi="Arial"/>
                <w:sz w:val="14"/>
                <w:szCs w:val="14"/>
                <w:color w:val="231F20"/>
              </w:rPr>
              <w:t>2,087,031</w:t>
            </w:r>
          </w:p>
        </w:tc>
        <w:tc>
          <w:tcPr>
            <w:tcW w:w="960" w:type="dxa"/>
            <w:vAlign w:val="bottom"/>
            <w:tcBorders>
              <w:bottom w:val="single" w:sz="8" w:color="231F20"/>
            </w:tcBorders>
          </w:tcPr>
          <w:p>
            <w:pPr>
              <w:jc w:val="right"/>
              <w:spacing w:after="0"/>
              <w:rPr>
                <w:sz w:val="20"/>
                <w:szCs w:val="20"/>
                <w:color w:val="auto"/>
              </w:rPr>
            </w:pPr>
            <w:r>
              <w:rPr>
                <w:rFonts w:ascii="Arial" w:cs="Arial" w:eastAsia="Arial" w:hAnsi="Arial"/>
                <w:sz w:val="14"/>
                <w:szCs w:val="14"/>
                <w:color w:val="231F20"/>
              </w:rPr>
              <w:t>3,401,472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113665</wp:posOffset>
            </wp:positionV>
            <wp:extent cx="7139940" cy="825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7139940" cy="8255"/>
                    </a:xfrm>
                    <a:prstGeom prst="rect">
                      <a:avLst/>
                    </a:prstGeom>
                    <a:noFill/>
                  </pic:spPr>
                </pic:pic>
              </a:graphicData>
            </a:graphic>
          </wp:anchor>
        </w:drawing>
      </w:r>
    </w:p>
    <w:p>
      <w:pPr>
        <w:spacing w:after="0" w:line="228" w:lineRule="exact"/>
        <w:rPr>
          <w:sz w:val="20"/>
          <w:szCs w:val="20"/>
          <w:color w:val="auto"/>
        </w:rPr>
      </w:pPr>
    </w:p>
    <w:p>
      <w:pPr>
        <w:ind w:left="300" w:hanging="298"/>
        <w:spacing w:after="0"/>
        <w:tabs>
          <w:tab w:leader="none" w:pos="300" w:val="left"/>
        </w:tabs>
        <w:numPr>
          <w:ilvl w:val="0"/>
          <w:numId w:val="149"/>
        </w:numPr>
        <w:rPr>
          <w:rFonts w:ascii="Arial" w:cs="Arial" w:eastAsia="Arial" w:hAnsi="Arial"/>
          <w:sz w:val="15"/>
          <w:szCs w:val="15"/>
          <w:color w:val="455986"/>
        </w:rPr>
      </w:pPr>
      <w:r>
        <w:rPr>
          <w:rFonts w:ascii="Arial" w:cs="Arial" w:eastAsia="Arial" w:hAnsi="Arial"/>
          <w:sz w:val="12"/>
          <w:szCs w:val="12"/>
          <w:color w:val="4395D4"/>
        </w:rPr>
        <w:t xml:space="preserve">ESSENTIAL UTILITIES, INC. </w:t>
      </w:r>
      <w:r>
        <w:rPr>
          <w:rFonts w:ascii="Arial" w:cs="Arial" w:eastAsia="Arial" w:hAnsi="Arial"/>
          <w:sz w:val="12"/>
          <w:szCs w:val="12"/>
          <w:color w:val="455986"/>
        </w:rPr>
        <w:t>2021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316230</wp:posOffset>
            </wp:positionV>
            <wp:extent cx="7139940" cy="24130"/>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7139940" cy="24130"/>
                    </a:xfrm>
                    <a:prstGeom prst="rect">
                      <a:avLst/>
                    </a:prstGeom>
                    <a:noFill/>
                  </pic:spPr>
                </pic:pic>
              </a:graphicData>
            </a:graphic>
          </wp:anchor>
        </w:drawing>
      </w:r>
    </w:p>
    <w:p>
      <w:pPr>
        <w:sectPr>
          <w:pgSz w:w="11900" w:h="16838" w:orient="portrait"/>
          <w:cols w:equalWidth="0" w:num="1">
            <w:col w:w="11240"/>
          </w:cols>
          <w:pgMar w:left="320" w:top="636" w:right="339" w:bottom="1440" w:gutter="0" w:footer="0" w:header="0"/>
        </w:sectPr>
      </w:pPr>
    </w:p>
    <w:bookmarkStart w:id="87" w:name="page88"/>
    <w:bookmarkEnd w:id="87"/>
    <w:p>
      <w:pPr>
        <w:spacing w:after="0"/>
        <w:rPr>
          <w:sz w:val="20"/>
          <w:szCs w:val="20"/>
          <w:color w:val="auto"/>
        </w:rPr>
      </w:pPr>
      <w:r>
        <w:rPr>
          <w:rFonts w:ascii="Arial" w:cs="Arial" w:eastAsia="Arial" w:hAnsi="Arial"/>
          <w:sz w:val="34"/>
          <w:szCs w:val="34"/>
          <w:b w:val="1"/>
          <w:bCs w:val="1"/>
          <w:color w:val="4395D4"/>
        </w:rPr>
        <w:t>Proposal 4:</w:t>
      </w:r>
    </w:p>
    <w:p>
      <w:pPr>
        <w:spacing w:after="0" w:line="58" w:lineRule="exact"/>
        <w:rPr>
          <w:sz w:val="20"/>
          <w:szCs w:val="20"/>
          <w:color w:val="auto"/>
        </w:rPr>
      </w:pPr>
    </w:p>
    <w:p>
      <w:pPr>
        <w:ind w:right="780"/>
        <w:spacing w:after="0" w:line="263" w:lineRule="auto"/>
        <w:rPr>
          <w:sz w:val="20"/>
          <w:szCs w:val="20"/>
          <w:color w:val="auto"/>
        </w:rPr>
      </w:pPr>
      <w:r>
        <w:rPr>
          <w:rFonts w:ascii="Arial" w:cs="Arial" w:eastAsia="Arial" w:hAnsi="Arial"/>
          <w:sz w:val="31"/>
          <w:szCs w:val="31"/>
          <w:b w:val="1"/>
          <w:bCs w:val="1"/>
          <w:color w:val="455986"/>
        </w:rPr>
        <w:t>Ratification of an Amendment to the Bylaws Establishing a Standard for Shareholder Access to our Proxy Statement</w:t>
      </w:r>
    </w:p>
    <w:p>
      <w:pPr>
        <w:spacing w:after="0" w:line="62" w:lineRule="exact"/>
        <w:rPr>
          <w:sz w:val="20"/>
          <w:szCs w:val="20"/>
          <w:color w:val="auto"/>
        </w:rPr>
      </w:pPr>
    </w:p>
    <w:p>
      <w:pPr>
        <w:ind w:right="320"/>
        <w:spacing w:after="0" w:line="278" w:lineRule="auto"/>
        <w:rPr>
          <w:sz w:val="20"/>
          <w:szCs w:val="20"/>
          <w:color w:val="auto"/>
        </w:rPr>
      </w:pPr>
      <w:r>
        <w:rPr>
          <w:rFonts w:ascii="Arial" w:cs="Arial" w:eastAsia="Arial" w:hAnsi="Arial"/>
          <w:sz w:val="14"/>
          <w:szCs w:val="14"/>
          <w:color w:val="231F20"/>
        </w:rPr>
        <w:t>At the 2021 Annual Meeting, shareholders are being asked to ratify the Board of Directors’ approval of an amendment to the Company’s Bylaws establishing a standard for Shareholders to access our future proxy statements.</w:t>
      </w:r>
    </w:p>
    <w:p>
      <w:pPr>
        <w:spacing w:after="0" w:line="84" w:lineRule="exact"/>
        <w:rPr>
          <w:sz w:val="20"/>
          <w:szCs w:val="20"/>
          <w:color w:val="auto"/>
        </w:rPr>
      </w:pPr>
    </w:p>
    <w:p>
      <w:pPr>
        <w:spacing w:after="0"/>
        <w:rPr>
          <w:sz w:val="20"/>
          <w:szCs w:val="20"/>
          <w:color w:val="auto"/>
        </w:rPr>
      </w:pPr>
      <w:r>
        <w:rPr>
          <w:rFonts w:ascii="Arial" w:cs="Arial" w:eastAsia="Arial" w:hAnsi="Arial"/>
          <w:sz w:val="14"/>
          <w:szCs w:val="14"/>
          <w:b w:val="1"/>
          <w:bCs w:val="1"/>
          <w:color w:val="455986"/>
        </w:rPr>
        <w:t>Why you should vote to ratify this Amendment</w:t>
      </w:r>
    </w:p>
    <w:p>
      <w:pPr>
        <w:spacing w:after="0" w:line="147" w:lineRule="exact"/>
        <w:rPr>
          <w:sz w:val="20"/>
          <w:szCs w:val="20"/>
          <w:color w:val="auto"/>
        </w:rPr>
      </w:pPr>
    </w:p>
    <w:p>
      <w:pPr>
        <w:ind w:right="140"/>
        <w:spacing w:after="0" w:line="245" w:lineRule="auto"/>
        <w:rPr>
          <w:sz w:val="20"/>
          <w:szCs w:val="20"/>
          <w:color w:val="auto"/>
        </w:rPr>
      </w:pPr>
      <w:r>
        <w:rPr>
          <w:rFonts w:ascii="Arial" w:cs="Arial" w:eastAsia="Arial" w:hAnsi="Arial"/>
          <w:sz w:val="14"/>
          <w:szCs w:val="14"/>
          <w:color w:val="231F20"/>
        </w:rPr>
        <w:t>On December 23, 2020, upon the recommendation of the Corporate Governance Committee, the Board of Directors amended and restated the Company’s Amended and Restated Bylaws to add a Bylaw setting forth the process by which shareholders can include their director nominees in the Company’s annual meeting proxy materials (the Proxy Access Bylaw). The Board recommends ratifying this Proxy Access Bylaw which acknowledges shareholder concern about access to the Proxy materials to nominate a certain number of directors.</w:t>
      </w:r>
    </w:p>
    <w:p>
      <w:pPr>
        <w:spacing w:after="0" w:line="108" w:lineRule="exact"/>
        <w:rPr>
          <w:sz w:val="20"/>
          <w:szCs w:val="20"/>
          <w:color w:val="auto"/>
        </w:rPr>
      </w:pPr>
    </w:p>
    <w:p>
      <w:pPr>
        <w:ind w:right="80"/>
        <w:spacing w:after="0" w:line="278" w:lineRule="auto"/>
        <w:rPr>
          <w:sz w:val="20"/>
          <w:szCs w:val="20"/>
          <w:color w:val="auto"/>
        </w:rPr>
      </w:pPr>
      <w:r>
        <w:rPr>
          <w:rFonts w:ascii="Arial" w:cs="Arial" w:eastAsia="Arial" w:hAnsi="Arial"/>
          <w:sz w:val="14"/>
          <w:szCs w:val="14"/>
          <w:color w:val="231F20"/>
        </w:rPr>
        <w:t>Because this Proposal 4 provides only a summary of the Proxy Access Bylaw, it may not contain all of the information that is important to you. You should read the Appendix C containing Section 4.15 with the Proxy Access Bylaw carefully before you decide how to vote.</w:t>
      </w:r>
    </w:p>
    <w:p>
      <w:pPr>
        <w:spacing w:after="0" w:line="83" w:lineRule="exact"/>
        <w:rPr>
          <w:sz w:val="20"/>
          <w:szCs w:val="20"/>
          <w:color w:val="auto"/>
        </w:rPr>
      </w:pPr>
    </w:p>
    <w:p>
      <w:pPr>
        <w:spacing w:after="0"/>
        <w:rPr>
          <w:sz w:val="20"/>
          <w:szCs w:val="20"/>
          <w:color w:val="auto"/>
        </w:rPr>
      </w:pPr>
      <w:r>
        <w:rPr>
          <w:rFonts w:ascii="Arial" w:cs="Arial" w:eastAsia="Arial" w:hAnsi="Arial"/>
          <w:sz w:val="17"/>
          <w:szCs w:val="17"/>
          <w:b w:val="1"/>
          <w:bCs w:val="1"/>
          <w:color w:val="4395D4"/>
        </w:rPr>
        <w:t>Background</w:t>
      </w:r>
    </w:p>
    <w:p>
      <w:pPr>
        <w:spacing w:after="0" w:line="153" w:lineRule="exact"/>
        <w:rPr>
          <w:sz w:val="20"/>
          <w:szCs w:val="20"/>
          <w:color w:val="auto"/>
        </w:rPr>
      </w:pPr>
    </w:p>
    <w:p>
      <w:pPr>
        <w:ind w:right="20"/>
        <w:spacing w:after="0" w:line="253" w:lineRule="auto"/>
        <w:rPr>
          <w:sz w:val="20"/>
          <w:szCs w:val="20"/>
          <w:color w:val="auto"/>
        </w:rPr>
      </w:pPr>
      <w:r>
        <w:rPr>
          <w:rFonts w:ascii="Arial" w:cs="Arial" w:eastAsia="Arial" w:hAnsi="Arial"/>
          <w:sz w:val="14"/>
          <w:szCs w:val="14"/>
          <w:color w:val="231F20"/>
        </w:rPr>
        <w:t>Our Board of Directors regularly reviews our corporate governance practices to ensure that such practices, including the procedures for nominating directors, remain in the best interests of the Company and its shareholders. After carefully and thoroughly considering the issue, and based on shareholder feedback, the Board of Directors amended the Bylaws to add a standard for shareholders to access the Company’s proxy statement.</w:t>
      </w:r>
    </w:p>
    <w:p>
      <w:pPr>
        <w:spacing w:after="0" w:line="100" w:lineRule="exact"/>
        <w:rPr>
          <w:sz w:val="20"/>
          <w:szCs w:val="20"/>
          <w:color w:val="auto"/>
        </w:rPr>
      </w:pPr>
    </w:p>
    <w:p>
      <w:pPr>
        <w:spacing w:after="0"/>
        <w:rPr>
          <w:sz w:val="20"/>
          <w:szCs w:val="20"/>
          <w:color w:val="auto"/>
        </w:rPr>
      </w:pPr>
      <w:r>
        <w:rPr>
          <w:rFonts w:ascii="Arial" w:cs="Arial" w:eastAsia="Arial" w:hAnsi="Arial"/>
          <w:sz w:val="17"/>
          <w:szCs w:val="17"/>
          <w:b w:val="1"/>
          <w:bCs w:val="1"/>
          <w:color w:val="4395D4"/>
        </w:rPr>
        <w:t>Summary of Amendment for Ratification</w:t>
      </w:r>
    </w:p>
    <w:p>
      <w:pPr>
        <w:spacing w:after="0" w:line="153" w:lineRule="exact"/>
        <w:rPr>
          <w:sz w:val="20"/>
          <w:szCs w:val="20"/>
          <w:color w:val="auto"/>
        </w:rPr>
      </w:pPr>
    </w:p>
    <w:p>
      <w:pPr>
        <w:ind w:right="160"/>
        <w:spacing w:after="0" w:line="245" w:lineRule="auto"/>
        <w:rPr>
          <w:sz w:val="20"/>
          <w:szCs w:val="20"/>
          <w:color w:val="auto"/>
        </w:rPr>
      </w:pPr>
      <w:r>
        <w:rPr>
          <w:rFonts w:ascii="Arial" w:cs="Arial" w:eastAsia="Arial" w:hAnsi="Arial"/>
          <w:sz w:val="14"/>
          <w:szCs w:val="14"/>
          <w:color w:val="231F20"/>
        </w:rPr>
        <w:t>Under the Proxy Access Bylaw, any eligible shareholder, or eligible group of up to 20 shareholders, owning 3% or more of the Company’s common stock continuously for a three-year period and through the date of the next annual meeting of shareholders may, subject to certain limitations and conditions, nominate and include in the Company’s proxy materials for such annual meeting of shareholders a number of director nominees not to exceed the greater of (a) one director and (b) 20% of the directors then serving on the Board (rounded down to the nearest whole number).</w:t>
      </w:r>
    </w:p>
    <w:p>
      <w:pPr>
        <w:spacing w:after="0" w:line="108" w:lineRule="exact"/>
        <w:rPr>
          <w:sz w:val="20"/>
          <w:szCs w:val="20"/>
          <w:color w:val="auto"/>
        </w:rPr>
      </w:pPr>
    </w:p>
    <w:p>
      <w:pPr>
        <w:ind w:right="120"/>
        <w:spacing w:after="0" w:line="245" w:lineRule="auto"/>
        <w:rPr>
          <w:sz w:val="20"/>
          <w:szCs w:val="20"/>
          <w:color w:val="auto"/>
        </w:rPr>
      </w:pPr>
      <w:r>
        <w:rPr>
          <w:rFonts w:ascii="Arial" w:cs="Arial" w:eastAsia="Arial" w:hAnsi="Arial"/>
          <w:sz w:val="14"/>
          <w:szCs w:val="14"/>
          <w:color w:val="231F20"/>
        </w:rPr>
        <w:t>As a condition to the use of the Proxy Access Bylaw, the eligible shareholder or eligible group of shareholders and each director nominee must satisfy all of the requirements specified in the Proxy Access Bylaw, including the requirement that notice of a nomination be provided to the Company’s Secretary at the principal executive offices of the Company not less than 120 days nor more than 150 days prior to the first anniversary of the date of the definitive proxy statement sent in connection with the preceding year’s annual meeting of shareholders.</w:t>
      </w:r>
    </w:p>
    <w:p>
      <w:pPr>
        <w:spacing w:after="0" w:line="108" w:lineRule="exact"/>
        <w:rPr>
          <w:sz w:val="20"/>
          <w:szCs w:val="20"/>
          <w:color w:val="auto"/>
        </w:rPr>
      </w:pPr>
    </w:p>
    <w:p>
      <w:pPr>
        <w:spacing w:after="0"/>
        <w:rPr>
          <w:sz w:val="20"/>
          <w:szCs w:val="20"/>
          <w:color w:val="auto"/>
        </w:rPr>
      </w:pPr>
      <w:r>
        <w:rPr>
          <w:rFonts w:ascii="Arial" w:cs="Arial" w:eastAsia="Arial" w:hAnsi="Arial"/>
          <w:sz w:val="14"/>
          <w:szCs w:val="14"/>
          <w:color w:val="231F20"/>
        </w:rPr>
        <w:t>The Proxy Access Bylaw took effect upon adoption and the process will be first available to shareholders beginning with the Company’s 2022 annual meeting of shareholders.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924560</wp:posOffset>
            </wp:positionV>
            <wp:extent cx="7139940" cy="825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7139940" cy="825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106045</wp:posOffset>
            </wp:positionV>
            <wp:extent cx="5948680" cy="68897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5948680" cy="6889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right"/>
        <w:spacing w:after="0"/>
        <w:tabs>
          <w:tab w:leader="none" w:pos="140" w:val="left"/>
        </w:tabs>
        <w:rPr>
          <w:sz w:val="20"/>
          <w:szCs w:val="20"/>
          <w:color w:val="auto"/>
        </w:rPr>
      </w:pPr>
      <w:r>
        <w:rPr>
          <w:rFonts w:ascii="Arial" w:cs="Arial" w:eastAsia="Arial" w:hAnsi="Arial"/>
          <w:sz w:val="12"/>
          <w:szCs w:val="12"/>
          <w:color w:val="4395D4"/>
        </w:rPr>
        <w:t xml:space="preserve">ESSENTIAL UTILITIES, INC. </w:t>
      </w:r>
      <w:r>
        <w:rPr>
          <w:rFonts w:ascii="Arial" w:cs="Arial" w:eastAsia="Arial" w:hAnsi="Arial"/>
          <w:sz w:val="12"/>
          <w:szCs w:val="12"/>
          <w:color w:val="455986"/>
        </w:rPr>
        <w:t>2021 PROXY STATEMENT</w:t>
      </w:r>
      <w:r>
        <w:rPr>
          <w:sz w:val="20"/>
          <w:szCs w:val="20"/>
          <w:color w:val="auto"/>
        </w:rPr>
        <w:tab/>
      </w:r>
      <w:r>
        <w:rPr>
          <w:rFonts w:ascii="Arial" w:cs="Arial" w:eastAsia="Arial" w:hAnsi="Arial"/>
          <w:sz w:val="14"/>
          <w:szCs w:val="14"/>
          <w:color w:val="455986"/>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346710</wp:posOffset>
            </wp:positionV>
            <wp:extent cx="7139940" cy="24130"/>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7139940" cy="24130"/>
                    </a:xfrm>
                    <a:prstGeom prst="rect">
                      <a:avLst/>
                    </a:prstGeom>
                    <a:noFill/>
                  </pic:spPr>
                </pic:pic>
              </a:graphicData>
            </a:graphic>
          </wp:anchor>
        </w:drawing>
      </w:r>
    </w:p>
    <w:p>
      <w:pPr>
        <w:sectPr>
          <w:pgSz w:w="11900" w:h="16838" w:orient="portrait"/>
          <w:cols w:equalWidth="0" w:num="1">
            <w:col w:w="11240"/>
          </w:cols>
          <w:pgMar w:left="320" w:top="600" w:right="339" w:bottom="1440" w:gutter="0" w:footer="0" w:header="0"/>
        </w:sectPr>
      </w:pPr>
    </w:p>
    <w:bookmarkStart w:id="88" w:name="page89"/>
    <w:bookmarkEnd w:id="88"/>
    <w:p>
      <w:pPr>
        <w:spacing w:after="0"/>
        <w:rPr>
          <w:sz w:val="20"/>
          <w:szCs w:val="20"/>
          <w:color w:val="auto"/>
        </w:rPr>
      </w:pPr>
      <w:r>
        <w:rPr>
          <w:rFonts w:ascii="Arial" w:cs="Arial" w:eastAsia="Arial" w:hAnsi="Arial"/>
          <w:sz w:val="47"/>
          <w:szCs w:val="47"/>
          <w:b w:val="1"/>
          <w:bCs w:val="1"/>
          <w:color w:val="455986"/>
        </w:rPr>
        <w:t>Annual Meeting Information</w:t>
      </w:r>
    </w:p>
    <w:p>
      <w:pPr>
        <w:spacing w:after="0" w:line="194" w:lineRule="exact"/>
        <w:rPr>
          <w:sz w:val="20"/>
          <w:szCs w:val="20"/>
          <w:color w:val="auto"/>
        </w:rPr>
      </w:pPr>
    </w:p>
    <w:p>
      <w:pPr>
        <w:spacing w:after="0"/>
        <w:rPr>
          <w:sz w:val="20"/>
          <w:szCs w:val="20"/>
          <w:color w:val="auto"/>
        </w:rPr>
      </w:pPr>
      <w:r>
        <w:rPr>
          <w:rFonts w:ascii="Arial" w:cs="Arial" w:eastAsia="Arial" w:hAnsi="Arial"/>
          <w:sz w:val="23"/>
          <w:szCs w:val="23"/>
          <w:b w:val="1"/>
          <w:bCs w:val="1"/>
          <w:color w:val="455986"/>
        </w:rPr>
        <w:t>Questions and Answers About the 2021 Annual Meeting</w:t>
      </w:r>
    </w:p>
    <w:p>
      <w:pPr>
        <w:sectPr>
          <w:pgSz w:w="11900" w:h="16838" w:orient="portrait"/>
          <w:cols w:equalWidth="0" w:num="1">
            <w:col w:w="11240"/>
          </w:cols>
          <w:pgMar w:left="320" w:top="585" w:right="339" w:bottom="1440" w:gutter="0" w:footer="0" w:header="0"/>
        </w:sectPr>
      </w:pPr>
    </w:p>
    <w:p>
      <w:pPr>
        <w:spacing w:after="0" w:line="190" w:lineRule="exact"/>
        <w:rPr>
          <w:sz w:val="20"/>
          <w:szCs w:val="20"/>
          <w:color w:val="auto"/>
        </w:rPr>
      </w:pPr>
    </w:p>
    <w:p>
      <w:pPr>
        <w:spacing w:after="0"/>
        <w:rPr>
          <w:sz w:val="20"/>
          <w:szCs w:val="20"/>
          <w:color w:val="auto"/>
        </w:rPr>
      </w:pPr>
      <w:r>
        <w:rPr>
          <w:rFonts w:ascii="Arial" w:cs="Arial" w:eastAsia="Arial" w:hAnsi="Arial"/>
          <w:sz w:val="17"/>
          <w:szCs w:val="17"/>
          <w:b w:val="1"/>
          <w:bCs w:val="1"/>
          <w:color w:val="4395D4"/>
        </w:rPr>
        <w:t>What is the proxy?</w:t>
      </w:r>
    </w:p>
    <w:p>
      <w:pPr>
        <w:spacing w:after="0" w:line="153" w:lineRule="exact"/>
        <w:rPr>
          <w:sz w:val="20"/>
          <w:szCs w:val="20"/>
          <w:color w:val="auto"/>
        </w:rPr>
      </w:pPr>
    </w:p>
    <w:p>
      <w:pPr>
        <w:ind w:right="140"/>
        <w:spacing w:after="0" w:line="238" w:lineRule="auto"/>
        <w:rPr>
          <w:sz w:val="20"/>
          <w:szCs w:val="20"/>
          <w:color w:val="auto"/>
        </w:rPr>
      </w:pPr>
      <w:r>
        <w:rPr>
          <w:rFonts w:ascii="Arial" w:cs="Arial" w:eastAsia="Arial" w:hAnsi="Arial"/>
          <w:sz w:val="14"/>
          <w:szCs w:val="14"/>
          <w:color w:val="231F20"/>
        </w:rPr>
        <w:t>The proxy card or electronic proxy that you are being asked to give is a means by which a shareholder may authorize the voting of his or her shares at the meeting if he or she is unable to attend in person. The individuals to whom you are giving a proxy to vote your shares are Christopher P. Luning, our Executive Vice President, General Counsel and Secretary, and Daniel J. Schuller, our Executive Vice President and Chief Financial Officer.</w:t>
      </w:r>
    </w:p>
    <w:p>
      <w:pPr>
        <w:spacing w:after="0" w:line="114" w:lineRule="exact"/>
        <w:rPr>
          <w:sz w:val="20"/>
          <w:szCs w:val="20"/>
          <w:color w:val="auto"/>
        </w:rPr>
      </w:pPr>
    </w:p>
    <w:p>
      <w:pPr>
        <w:spacing w:after="0" w:line="235" w:lineRule="auto"/>
        <w:rPr>
          <w:sz w:val="20"/>
          <w:szCs w:val="20"/>
          <w:color w:val="auto"/>
        </w:rPr>
      </w:pPr>
      <w:r>
        <w:rPr>
          <w:rFonts w:ascii="Arial" w:cs="Arial" w:eastAsia="Arial" w:hAnsi="Arial"/>
          <w:sz w:val="14"/>
          <w:szCs w:val="14"/>
          <w:color w:val="231F20"/>
        </w:rPr>
        <w:t>The shares of common stock represented by each properly executed proxy card or electronic proxy will be voted at the meeting in accordance with each shareholder’s direction. Shareholders are urged to specify their choices by marking the appropriate boxes on the proxy card or electronic proxy, or voting via telephone. If the proxy card or electronic proxy is signed, but no choice has been specified, the shares will be voted as recommended by the Board of Directors. If any other matters are properly presented at the meeting or any adjournment or postponement thereof for action, the proxy holders will vote the proxies (which confer discretionary authority to vote on such matters) in accordance with their judgment.</w:t>
      </w:r>
    </w:p>
    <w:p>
      <w:pPr>
        <w:spacing w:after="0" w:line="109" w:lineRule="exact"/>
        <w:rPr>
          <w:sz w:val="20"/>
          <w:szCs w:val="20"/>
          <w:color w:val="auto"/>
        </w:rPr>
      </w:pPr>
    </w:p>
    <w:p>
      <w:pPr>
        <w:spacing w:after="0"/>
        <w:rPr>
          <w:sz w:val="20"/>
          <w:szCs w:val="20"/>
          <w:color w:val="auto"/>
        </w:rPr>
      </w:pPr>
      <w:r>
        <w:rPr>
          <w:rFonts w:ascii="Arial" w:cs="Arial" w:eastAsia="Arial" w:hAnsi="Arial"/>
          <w:sz w:val="17"/>
          <w:szCs w:val="17"/>
          <w:b w:val="1"/>
          <w:bCs w:val="1"/>
          <w:color w:val="4395D4"/>
        </w:rPr>
        <w:t>Why am I receiving a Notice of Availability over the Internet?</w:t>
      </w:r>
    </w:p>
    <w:p>
      <w:pPr>
        <w:spacing w:after="0" w:line="153" w:lineRule="exact"/>
        <w:rPr>
          <w:sz w:val="20"/>
          <w:szCs w:val="20"/>
          <w:color w:val="auto"/>
        </w:rPr>
      </w:pPr>
    </w:p>
    <w:p>
      <w:pPr>
        <w:spacing w:after="0" w:line="236" w:lineRule="auto"/>
        <w:rPr>
          <w:sz w:val="20"/>
          <w:szCs w:val="20"/>
          <w:color w:val="auto"/>
        </w:rPr>
      </w:pPr>
      <w:r>
        <w:rPr>
          <w:rFonts w:ascii="Arial" w:cs="Arial" w:eastAsia="Arial" w:hAnsi="Arial"/>
          <w:sz w:val="14"/>
          <w:szCs w:val="14"/>
          <w:color w:val="231F20"/>
        </w:rPr>
        <w:t>Under SEC rules, the Company is furnishing proxy materials to many of its shareholders via the Internet, rather than mailing printed copies of those materials to each shareholder. If you received a notice of availability over the Internet of the proxy materials (Notice) by mail, you will not receive a printed copy of the proxy materials unless you request one. Instead, the Notice will instruct you as to how you may access and review the proxy materials on the Internet. If you received a Notice by mail and would like to receive a printed copy of our proxy materials, please follow the instructions included in the Notice.</w:t>
      </w:r>
    </w:p>
    <w:p>
      <w:pPr>
        <w:spacing w:after="0" w:line="20" w:lineRule="exact"/>
        <w:rPr>
          <w:sz w:val="20"/>
          <w:szCs w:val="20"/>
          <w:color w:val="auto"/>
        </w:rPr>
      </w:pPr>
      <w:r>
        <w:rPr>
          <w:sz w:val="20"/>
          <w:szCs w:val="20"/>
          <w:color w:val="auto"/>
        </w:rPr>
        <w:br w:type="column"/>
      </w:r>
    </w:p>
    <w:p>
      <w:pPr>
        <w:spacing w:after="0" w:line="174" w:lineRule="exact"/>
        <w:rPr>
          <w:sz w:val="20"/>
          <w:szCs w:val="20"/>
          <w:color w:val="auto"/>
        </w:rPr>
      </w:pPr>
    </w:p>
    <w:p>
      <w:pPr>
        <w:spacing w:after="0" w:line="236" w:lineRule="auto"/>
        <w:rPr>
          <w:sz w:val="20"/>
          <w:szCs w:val="20"/>
          <w:color w:val="auto"/>
        </w:rPr>
      </w:pPr>
      <w:r>
        <w:rPr>
          <w:rFonts w:ascii="Arial" w:cs="Arial" w:eastAsia="Arial" w:hAnsi="Arial"/>
          <w:sz w:val="14"/>
          <w:szCs w:val="14"/>
          <w:color w:val="231F20"/>
        </w:rPr>
        <w:t>houses, nominees, custodians and fiduciaries for the forwarding of proxy materials to the beneficial owners of shares held of record. In addition, the Company has retained Alliance Advisors LLC to assist in the solicitation of proxies from (i) brokers, bank nominees and other institutional holders, and (ii) individual holders of record. The fee paid to Alliance Advisors LLC for normal proxy solicitation does not exceed $6,000 plus expenses, which will be paid by the Company. Directors, officers and regular employees of the Company may solicit proxies, although no compensation will be paid by the Company for such efforts.</w:t>
      </w:r>
    </w:p>
    <w:p>
      <w:pPr>
        <w:spacing w:after="0" w:line="108" w:lineRule="exact"/>
        <w:rPr>
          <w:sz w:val="20"/>
          <w:szCs w:val="20"/>
          <w:color w:val="auto"/>
        </w:rPr>
      </w:pPr>
    </w:p>
    <w:p>
      <w:pPr>
        <w:spacing w:after="0"/>
        <w:rPr>
          <w:sz w:val="20"/>
          <w:szCs w:val="20"/>
          <w:color w:val="auto"/>
        </w:rPr>
      </w:pPr>
      <w:r>
        <w:rPr>
          <w:rFonts w:ascii="Arial" w:cs="Arial" w:eastAsia="Arial" w:hAnsi="Arial"/>
          <w:sz w:val="17"/>
          <w:szCs w:val="17"/>
          <w:b w:val="1"/>
          <w:bCs w:val="1"/>
          <w:color w:val="4395D4"/>
        </w:rPr>
        <w:t>Who is entitled to vote?</w:t>
      </w:r>
    </w:p>
    <w:p>
      <w:pPr>
        <w:spacing w:after="0" w:line="153" w:lineRule="exact"/>
        <w:rPr>
          <w:sz w:val="20"/>
          <w:szCs w:val="20"/>
          <w:color w:val="auto"/>
        </w:rPr>
      </w:pPr>
    </w:p>
    <w:p>
      <w:pPr>
        <w:ind w:right="100"/>
        <w:spacing w:after="0"/>
        <w:rPr>
          <w:sz w:val="20"/>
          <w:szCs w:val="20"/>
          <w:color w:val="auto"/>
        </w:rPr>
      </w:pPr>
      <w:r>
        <w:rPr>
          <w:rFonts w:ascii="Arial" w:cs="Arial" w:eastAsia="Arial" w:hAnsi="Arial"/>
          <w:sz w:val="14"/>
          <w:szCs w:val="14"/>
          <w:color w:val="231F20"/>
        </w:rPr>
        <w:t>Holders of shares of the Company’s common stock (the Common Stock) of record at the close of business on March 8, 2021 are entitled to vote at the meeting. Each shareholder entitled to vote shall have the right to one vote on each matter presented at the meeting for each share of Common Stock outstanding in such shareholder’s name.</w:t>
      </w:r>
    </w:p>
    <w:p>
      <w:pPr>
        <w:spacing w:after="0" w:line="110" w:lineRule="exact"/>
        <w:rPr>
          <w:sz w:val="20"/>
          <w:szCs w:val="20"/>
          <w:color w:val="auto"/>
        </w:rPr>
      </w:pPr>
    </w:p>
    <w:p>
      <w:pPr>
        <w:spacing w:after="0"/>
        <w:rPr>
          <w:sz w:val="20"/>
          <w:szCs w:val="20"/>
          <w:color w:val="auto"/>
        </w:rPr>
      </w:pPr>
      <w:r>
        <w:rPr>
          <w:rFonts w:ascii="Arial" w:cs="Arial" w:eastAsia="Arial" w:hAnsi="Arial"/>
          <w:sz w:val="17"/>
          <w:szCs w:val="17"/>
          <w:b w:val="1"/>
          <w:bCs w:val="1"/>
          <w:color w:val="4395D4"/>
        </w:rPr>
        <w:t>How many shares can vote?</w:t>
      </w:r>
    </w:p>
    <w:p>
      <w:pPr>
        <w:spacing w:after="0" w:line="153" w:lineRule="exact"/>
        <w:rPr>
          <w:sz w:val="20"/>
          <w:szCs w:val="20"/>
          <w:color w:val="auto"/>
        </w:rPr>
      </w:pPr>
    </w:p>
    <w:p>
      <w:pPr>
        <w:ind w:right="20"/>
        <w:spacing w:after="0" w:line="253" w:lineRule="auto"/>
        <w:rPr>
          <w:sz w:val="20"/>
          <w:szCs w:val="20"/>
          <w:color w:val="auto"/>
        </w:rPr>
      </w:pPr>
      <w:r>
        <w:rPr>
          <w:rFonts w:ascii="Arial" w:cs="Arial" w:eastAsia="Arial" w:hAnsi="Arial"/>
          <w:sz w:val="14"/>
          <w:szCs w:val="14"/>
          <w:color w:val="231F20"/>
        </w:rPr>
        <w:t>As of March 8, 2021, there were 245,614,099 shares of Common Stock outstanding and entitled to be voted at the meeting. Shares can be voted in the following way according to the instructions set out in the proxy materials:</w:t>
      </w:r>
    </w:p>
    <w:p>
      <w:pPr>
        <w:spacing w:after="0" w:line="103" w:lineRule="exact"/>
        <w:rPr>
          <w:sz w:val="20"/>
          <w:szCs w:val="20"/>
          <w:color w:val="auto"/>
        </w:rPr>
      </w:pPr>
    </w:p>
    <w:p>
      <w:pPr>
        <w:ind w:left="180" w:right="20" w:hanging="180"/>
        <w:spacing w:after="0" w:line="278" w:lineRule="auto"/>
        <w:tabs>
          <w:tab w:leader="none" w:pos="181" w:val="left"/>
        </w:tabs>
        <w:numPr>
          <w:ilvl w:val="0"/>
          <w:numId w:val="150"/>
        </w:numPr>
        <w:rPr>
          <w:rFonts w:ascii="Arial" w:cs="Arial" w:eastAsia="Arial" w:hAnsi="Arial"/>
          <w:sz w:val="14"/>
          <w:szCs w:val="14"/>
          <w:color w:val="4395D4"/>
        </w:rPr>
      </w:pPr>
      <w:r>
        <w:rPr>
          <w:rFonts w:ascii="Arial" w:cs="Arial" w:eastAsia="Arial" w:hAnsi="Arial"/>
          <w:sz w:val="14"/>
          <w:szCs w:val="14"/>
          <w:color w:val="231F20"/>
        </w:rPr>
        <w:t>Electronically via the internet before the meeting at www.proxyvote.com or during the meeting at www. virtualshareholdermeeting.com/WTRG2021;</w:t>
      </w:r>
    </w:p>
    <w:p>
      <w:pPr>
        <w:spacing w:after="0" w:line="22" w:lineRule="exact"/>
        <w:rPr>
          <w:rFonts w:ascii="Arial" w:cs="Arial" w:eastAsia="Arial" w:hAnsi="Arial"/>
          <w:sz w:val="14"/>
          <w:szCs w:val="14"/>
          <w:color w:val="4395D4"/>
        </w:rPr>
      </w:pPr>
    </w:p>
    <w:p>
      <w:pPr>
        <w:ind w:left="180" w:hanging="180"/>
        <w:spacing w:after="0"/>
        <w:tabs>
          <w:tab w:leader="none" w:pos="180" w:val="left"/>
        </w:tabs>
        <w:numPr>
          <w:ilvl w:val="0"/>
          <w:numId w:val="150"/>
        </w:numPr>
        <w:rPr>
          <w:rFonts w:ascii="Arial" w:cs="Arial" w:eastAsia="Arial" w:hAnsi="Arial"/>
          <w:sz w:val="14"/>
          <w:szCs w:val="14"/>
          <w:color w:val="4395D4"/>
        </w:rPr>
      </w:pPr>
      <w:r>
        <w:rPr>
          <w:rFonts w:ascii="Arial" w:cs="Arial" w:eastAsia="Arial" w:hAnsi="Arial"/>
          <w:sz w:val="14"/>
          <w:szCs w:val="14"/>
          <w:color w:val="231F20"/>
        </w:rPr>
        <w:t>By telephone before the meeting; or</w:t>
      </w:r>
    </w:p>
    <w:p>
      <w:pPr>
        <w:spacing w:after="0" w:line="81" w:lineRule="exact"/>
        <w:rPr>
          <w:rFonts w:ascii="Arial" w:cs="Arial" w:eastAsia="Arial" w:hAnsi="Arial"/>
          <w:sz w:val="14"/>
          <w:szCs w:val="14"/>
          <w:color w:val="4395D4"/>
        </w:rPr>
      </w:pPr>
    </w:p>
    <w:p>
      <w:pPr>
        <w:ind w:left="180" w:hanging="180"/>
        <w:spacing w:after="0"/>
        <w:tabs>
          <w:tab w:leader="none" w:pos="180" w:val="left"/>
        </w:tabs>
        <w:numPr>
          <w:ilvl w:val="0"/>
          <w:numId w:val="150"/>
        </w:numPr>
        <w:rPr>
          <w:rFonts w:ascii="Arial" w:cs="Arial" w:eastAsia="Arial" w:hAnsi="Arial"/>
          <w:sz w:val="14"/>
          <w:szCs w:val="14"/>
          <w:color w:val="4395D4"/>
        </w:rPr>
      </w:pPr>
      <w:r>
        <w:rPr>
          <w:rFonts w:ascii="Arial" w:cs="Arial" w:eastAsia="Arial" w:hAnsi="Arial"/>
          <w:sz w:val="14"/>
          <w:szCs w:val="14"/>
          <w:color w:val="231F20"/>
        </w:rPr>
        <w:t>By mail.</w:t>
      </w:r>
    </w:p>
    <w:p>
      <w:pPr>
        <w:spacing w:after="0" w:line="162" w:lineRule="exact"/>
        <w:rPr>
          <w:sz w:val="20"/>
          <w:szCs w:val="20"/>
          <w:color w:val="auto"/>
        </w:rPr>
      </w:pPr>
    </w:p>
    <w:p>
      <w:pPr>
        <w:sectPr>
          <w:pgSz w:w="11900" w:h="16838" w:orient="portrait"/>
          <w:cols w:equalWidth="0" w:num="2">
            <w:col w:w="5400" w:space="460"/>
            <w:col w:w="5380"/>
          </w:cols>
          <w:pgMar w:left="320" w:top="585" w:right="339" w:bottom="1440" w:gutter="0" w:footer="0" w:header="0"/>
          <w:type w:val="continuous"/>
        </w:sectPr>
      </w:pPr>
    </w:p>
    <w:p>
      <w:pPr>
        <w:spacing w:after="0" w:line="111" w:lineRule="exact"/>
        <w:rPr>
          <w:sz w:val="20"/>
          <w:szCs w:val="20"/>
          <w:color w:val="auto"/>
        </w:rPr>
      </w:pPr>
    </w:p>
    <w:p>
      <w:pPr>
        <w:spacing w:after="0"/>
        <w:rPr>
          <w:sz w:val="20"/>
          <w:szCs w:val="20"/>
          <w:color w:val="auto"/>
        </w:rPr>
      </w:pPr>
      <w:r>
        <w:rPr>
          <w:rFonts w:ascii="Arial" w:cs="Arial" w:eastAsia="Arial" w:hAnsi="Arial"/>
          <w:sz w:val="14"/>
          <w:szCs w:val="14"/>
          <w:color w:val="231F20"/>
        </w:rPr>
        <w:t>The Notice is being sent to shareholders of record as of March 8, 2021 on or about March 22, 2021. Proxy materials, which include the Notice of Annual Meeting of Shareholders, this proxy statement and the Annual Report to Shareholders for the year ended December 31, 2020, including financial statements and other information about the Company and its subsidiaries (the Annual Report), are first being made available to shareholders of record as of March 8, 2021, on or about March 22, 2021.</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b w:val="1"/>
          <w:bCs w:val="1"/>
          <w:color w:val="4395D4"/>
        </w:rPr>
        <w:t>What is the deadline for voting?</w:t>
      </w:r>
    </w:p>
    <w:p>
      <w:pPr>
        <w:spacing w:after="0" w:line="131" w:lineRule="exact"/>
        <w:rPr>
          <w:sz w:val="20"/>
          <w:szCs w:val="20"/>
          <w:color w:val="auto"/>
        </w:rPr>
      </w:pPr>
    </w:p>
    <w:p>
      <w:pPr>
        <w:ind w:right="200"/>
        <w:spacing w:after="0" w:line="244" w:lineRule="auto"/>
        <w:rPr>
          <w:sz w:val="20"/>
          <w:szCs w:val="20"/>
          <w:color w:val="auto"/>
        </w:rPr>
      </w:pPr>
      <w:r>
        <w:rPr>
          <w:rFonts w:ascii="Arial" w:cs="Arial" w:eastAsia="Arial" w:hAnsi="Arial"/>
          <w:sz w:val="14"/>
          <w:szCs w:val="14"/>
          <w:b w:val="1"/>
          <w:bCs w:val="1"/>
          <w:color w:val="231F20"/>
        </w:rPr>
        <w:t>If you vote by proxy, we must receive the proxy by 11:59 P.M. ET on May 4, 2021 in order for your vote to count. If you vote by proxy and are a Plan participant, we must receive the proxy by 11:59 P.M. ET on May 2, 2021 for your vote count. If you vote electronically over the Internet or by telephone, you must do so by 11:59 p.m. ET on May 4, 2021.</w:t>
      </w:r>
    </w:p>
    <w:p>
      <w:pPr>
        <w:spacing w:after="0" w:line="99" w:lineRule="exact"/>
        <w:rPr>
          <w:sz w:val="20"/>
          <w:szCs w:val="20"/>
          <w:color w:val="auto"/>
        </w:rPr>
      </w:pPr>
    </w:p>
    <w:p>
      <w:pPr>
        <w:sectPr>
          <w:pgSz w:w="11900" w:h="16838" w:orient="portrait"/>
          <w:cols w:equalWidth="0" w:num="2">
            <w:col w:w="5300" w:space="560"/>
            <w:col w:w="5380"/>
          </w:cols>
          <w:pgMar w:left="320" w:top="585" w:right="339" w:bottom="1440" w:gutter="0" w:footer="0" w:header="0"/>
          <w:type w:val="continuous"/>
        </w:sectPr>
      </w:pPr>
    </w:p>
    <w:p>
      <w:pPr>
        <w:spacing w:after="0" w:line="89" w:lineRule="exact"/>
        <w:rPr>
          <w:sz w:val="20"/>
          <w:szCs w:val="20"/>
          <w:color w:val="auto"/>
        </w:rPr>
      </w:pPr>
    </w:p>
    <w:p>
      <w:pPr>
        <w:spacing w:after="0"/>
        <w:rPr>
          <w:sz w:val="20"/>
          <w:szCs w:val="20"/>
          <w:color w:val="auto"/>
        </w:rPr>
      </w:pPr>
      <w:r>
        <w:rPr>
          <w:rFonts w:ascii="Arial" w:cs="Arial" w:eastAsia="Arial" w:hAnsi="Arial"/>
          <w:sz w:val="17"/>
          <w:szCs w:val="17"/>
          <w:b w:val="1"/>
          <w:bCs w:val="1"/>
          <w:color w:val="4395D4"/>
        </w:rPr>
        <w:t>Who pays for the cost of soliciting proxies?</w:t>
      </w:r>
    </w:p>
    <w:p>
      <w:pPr>
        <w:spacing w:after="0" w:line="153" w:lineRule="exact"/>
        <w:rPr>
          <w:sz w:val="20"/>
          <w:szCs w:val="20"/>
          <w:color w:val="auto"/>
        </w:rPr>
      </w:pPr>
    </w:p>
    <w:p>
      <w:pPr>
        <w:spacing w:after="0" w:line="253" w:lineRule="auto"/>
        <w:rPr>
          <w:sz w:val="20"/>
          <w:szCs w:val="20"/>
          <w:color w:val="auto"/>
        </w:rPr>
      </w:pPr>
      <w:r>
        <w:rPr>
          <w:rFonts w:ascii="Arial" w:cs="Arial" w:eastAsia="Arial" w:hAnsi="Arial"/>
          <w:sz w:val="14"/>
          <w:szCs w:val="14"/>
          <w:color w:val="231F20"/>
        </w:rPr>
        <w:t>The cost of soliciting proxies will be paid by the Company, which has arranged for reimbursement at the rate suggested by the New York Stock Exchange (the NYSE) of brokerage</w:t>
      </w:r>
    </w:p>
    <w:p>
      <w:pPr>
        <w:spacing w:after="0" w:line="20" w:lineRule="exact"/>
        <w:rPr>
          <w:sz w:val="20"/>
          <w:szCs w:val="20"/>
          <w:color w:val="auto"/>
        </w:rPr>
      </w:pPr>
      <w:r>
        <w:rPr>
          <w:sz w:val="20"/>
          <w:szCs w:val="20"/>
          <w:color w:val="auto"/>
        </w:rPr>
        <w:br w:type="column"/>
      </w:r>
    </w:p>
    <w:p>
      <w:pPr>
        <w:spacing w:after="0" w:line="289" w:lineRule="auto"/>
        <w:rPr>
          <w:sz w:val="20"/>
          <w:szCs w:val="20"/>
          <w:color w:val="auto"/>
        </w:rPr>
      </w:pPr>
      <w:r>
        <w:rPr>
          <w:rFonts w:ascii="Arial" w:cs="Arial" w:eastAsia="Arial" w:hAnsi="Arial"/>
          <w:sz w:val="17"/>
          <w:szCs w:val="17"/>
          <w:b w:val="1"/>
          <w:bCs w:val="1"/>
          <w:color w:val="4395D4"/>
        </w:rPr>
        <w:t>If a proxy is executed, can a shareholder still attend the meeting in person?</w:t>
      </w:r>
    </w:p>
    <w:p>
      <w:pPr>
        <w:spacing w:after="0" w:line="69" w:lineRule="exact"/>
        <w:rPr>
          <w:sz w:val="20"/>
          <w:szCs w:val="20"/>
          <w:color w:val="auto"/>
        </w:rPr>
      </w:pPr>
    </w:p>
    <w:p>
      <w:pPr>
        <w:ind w:right="60"/>
        <w:spacing w:after="0" w:line="245" w:lineRule="auto"/>
        <w:rPr>
          <w:sz w:val="20"/>
          <w:szCs w:val="20"/>
          <w:color w:val="auto"/>
        </w:rPr>
      </w:pPr>
      <w:r>
        <w:rPr>
          <w:rFonts w:ascii="Arial" w:cs="Arial" w:eastAsia="Arial" w:hAnsi="Arial"/>
          <w:sz w:val="14"/>
          <w:szCs w:val="14"/>
          <w:color w:val="231F20"/>
        </w:rPr>
        <w:t>Yes, execution of the accompanying proxy or voting through an electronic proxy or voting by telephone will not affect a shareholder’s right to attend the meeting and, if desired, vote during the meeting. You can submit a proxy and still attend the meeting without voting during the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-3719195</wp:posOffset>
            </wp:positionH>
            <wp:positionV relativeFrom="paragraph">
              <wp:posOffset>90170</wp:posOffset>
            </wp:positionV>
            <wp:extent cx="7139940" cy="825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7139940"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300" w:space="560"/>
            <w:col w:w="5380"/>
          </w:cols>
          <w:pgMar w:left="320" w:top="585" w:right="339" w:bottom="1440" w:gutter="0" w:footer="0" w:header="0"/>
          <w:type w:val="continuous"/>
        </w:sectPr>
      </w:pPr>
    </w:p>
    <w:p>
      <w:pPr>
        <w:spacing w:after="0" w:line="24" w:lineRule="exact"/>
        <w:rPr>
          <w:sz w:val="20"/>
          <w:szCs w:val="20"/>
          <w:color w:val="auto"/>
        </w:rPr>
      </w:pPr>
    </w:p>
    <w:p>
      <w:pPr>
        <w:ind w:left="300" w:hanging="298"/>
        <w:spacing w:after="0"/>
        <w:tabs>
          <w:tab w:leader="none" w:pos="300" w:val="left"/>
        </w:tabs>
        <w:numPr>
          <w:ilvl w:val="0"/>
          <w:numId w:val="151"/>
        </w:numPr>
        <w:rPr>
          <w:rFonts w:ascii="Arial" w:cs="Arial" w:eastAsia="Arial" w:hAnsi="Arial"/>
          <w:sz w:val="14"/>
          <w:szCs w:val="14"/>
          <w:color w:val="455986"/>
        </w:rPr>
      </w:pPr>
      <w:r>
        <w:rPr>
          <w:rFonts w:ascii="Arial" w:cs="Arial" w:eastAsia="Arial" w:hAnsi="Arial"/>
          <w:sz w:val="11"/>
          <w:szCs w:val="11"/>
          <w:color w:val="4395D4"/>
        </w:rPr>
        <w:t xml:space="preserve">ESSENTIAL UTILITIES, INC. </w:t>
      </w:r>
      <w:r>
        <w:rPr>
          <w:rFonts w:ascii="Arial" w:cs="Arial" w:eastAsia="Arial" w:hAnsi="Arial"/>
          <w:sz w:val="11"/>
          <w:szCs w:val="11"/>
          <w:color w:val="455986"/>
        </w:rPr>
        <w:t>2021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324485</wp:posOffset>
            </wp:positionV>
            <wp:extent cx="7139940" cy="24130"/>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7139940" cy="24130"/>
                    </a:xfrm>
                    <a:prstGeom prst="rect">
                      <a:avLst/>
                    </a:prstGeom>
                    <a:noFill/>
                  </pic:spPr>
                </pic:pic>
              </a:graphicData>
            </a:graphic>
          </wp:anchor>
        </w:drawing>
      </w:r>
    </w:p>
    <w:p>
      <w:pPr>
        <w:sectPr>
          <w:pgSz w:w="11900" w:h="16838" w:orient="portrait"/>
          <w:cols w:equalWidth="0" w:num="1">
            <w:col w:w="11240"/>
          </w:cols>
          <w:pgMar w:left="320" w:top="585" w:right="339" w:bottom="1440" w:gutter="0" w:footer="0" w:header="0"/>
          <w:type w:val="continuous"/>
        </w:sectPr>
      </w:pPr>
    </w:p>
    <w:bookmarkStart w:id="89" w:name="page90"/>
    <w:bookmarkEnd w:id="89"/>
    <w:p>
      <w:pPr>
        <w:spacing w:after="0"/>
        <w:rPr>
          <w:sz w:val="20"/>
          <w:szCs w:val="20"/>
          <w:color w:val="auto"/>
        </w:rPr>
      </w:pPr>
      <w:r>
        <w:rPr>
          <w:rFonts w:ascii="Arial" w:cs="Arial" w:eastAsia="Arial" w:hAnsi="Arial"/>
          <w:sz w:val="14"/>
          <w:szCs w:val="14"/>
          <w:b w:val="1"/>
          <w:bCs w:val="1"/>
          <w:color w:val="455986"/>
        </w:rPr>
        <w:t>Annual Meeting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27940</wp:posOffset>
            </wp:positionV>
            <wp:extent cx="7139940" cy="825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7139940" cy="8255"/>
                    </a:xfrm>
                    <a:prstGeom prst="rect">
                      <a:avLst/>
                    </a:prstGeom>
                    <a:noFill/>
                  </pic:spPr>
                </pic:pic>
              </a:graphicData>
            </a:graphic>
          </wp:anchor>
        </w:drawing>
      </w:r>
    </w:p>
    <w:p>
      <w:pPr>
        <w:spacing w:after="0" w:line="76" w:lineRule="exact"/>
        <w:rPr>
          <w:sz w:val="20"/>
          <w:szCs w:val="20"/>
          <w:color w:val="auto"/>
        </w:rPr>
      </w:pPr>
    </w:p>
    <w:p>
      <w:pPr>
        <w:spacing w:after="0"/>
        <w:rPr>
          <w:sz w:val="20"/>
          <w:szCs w:val="20"/>
          <w:color w:val="auto"/>
        </w:rPr>
      </w:pPr>
      <w:r>
        <w:rPr>
          <w:rFonts w:ascii="Arial" w:cs="Arial" w:eastAsia="Arial" w:hAnsi="Arial"/>
          <w:sz w:val="12"/>
          <w:szCs w:val="12"/>
          <w:color w:val="231F20"/>
        </w:rPr>
        <w:t>Questions and Answers About the 2021 Annual Meeting</w:t>
      </w:r>
    </w:p>
    <w:p>
      <w:pPr>
        <w:sectPr>
          <w:pgSz w:w="11900" w:h="16838" w:orient="portrait"/>
          <w:cols w:equalWidth="0" w:num="1">
            <w:col w:w="11240"/>
          </w:cols>
          <w:pgMar w:left="320" w:top="636" w:right="339" w:bottom="1440" w:gutter="0" w:footer="0" w:header="0"/>
        </w:sectPr>
      </w:pPr>
    </w:p>
    <w:p>
      <w:pPr>
        <w:spacing w:after="0" w:line="193" w:lineRule="exact"/>
        <w:rPr>
          <w:sz w:val="20"/>
          <w:szCs w:val="20"/>
          <w:color w:val="auto"/>
        </w:rPr>
      </w:pPr>
    </w:p>
    <w:p>
      <w:pPr>
        <w:spacing w:after="0"/>
        <w:rPr>
          <w:sz w:val="20"/>
          <w:szCs w:val="20"/>
          <w:color w:val="auto"/>
        </w:rPr>
      </w:pPr>
      <w:r>
        <w:rPr>
          <w:rFonts w:ascii="Arial" w:cs="Arial" w:eastAsia="Arial" w:hAnsi="Arial"/>
          <w:sz w:val="17"/>
          <w:szCs w:val="17"/>
          <w:b w:val="1"/>
          <w:bCs w:val="1"/>
          <w:color w:val="4395D4"/>
        </w:rPr>
        <w:t>How do I participate in the virtual Annual Meeting?</w:t>
      </w:r>
    </w:p>
    <w:p>
      <w:pPr>
        <w:spacing w:after="0" w:line="153" w:lineRule="exact"/>
        <w:rPr>
          <w:sz w:val="20"/>
          <w:szCs w:val="20"/>
          <w:color w:val="auto"/>
        </w:rPr>
      </w:pPr>
    </w:p>
    <w:p>
      <w:pPr>
        <w:ind w:right="620"/>
        <w:spacing w:after="0" w:line="278" w:lineRule="auto"/>
        <w:rPr>
          <w:sz w:val="20"/>
          <w:szCs w:val="20"/>
          <w:color w:val="auto"/>
        </w:rPr>
      </w:pPr>
      <w:r>
        <w:rPr>
          <w:rFonts w:ascii="Arial" w:cs="Arial" w:eastAsia="Arial" w:hAnsi="Arial"/>
          <w:sz w:val="14"/>
          <w:szCs w:val="14"/>
          <w:color w:val="231F20"/>
        </w:rPr>
        <w:t>All shareholders as of the record date, or their duly appointed proxies, may participate in the virtual 2021 Annual Meeting.</w:t>
      </w:r>
    </w:p>
    <w:p>
      <w:pPr>
        <w:spacing w:after="0" w:line="84" w:lineRule="exact"/>
        <w:rPr>
          <w:sz w:val="20"/>
          <w:szCs w:val="20"/>
          <w:color w:val="auto"/>
        </w:rPr>
      </w:pPr>
    </w:p>
    <w:p>
      <w:pPr>
        <w:ind w:left="180" w:right="60" w:hanging="178"/>
        <w:spacing w:after="0" w:line="239" w:lineRule="auto"/>
        <w:tabs>
          <w:tab w:leader="none" w:pos="176" w:val="left"/>
        </w:tabs>
        <w:numPr>
          <w:ilvl w:val="0"/>
          <w:numId w:val="152"/>
        </w:numPr>
        <w:rPr>
          <w:rFonts w:ascii="Arial" w:cs="Arial" w:eastAsia="Arial" w:hAnsi="Arial"/>
          <w:sz w:val="14"/>
          <w:szCs w:val="14"/>
          <w:b w:val="1"/>
          <w:bCs w:val="1"/>
          <w:color w:val="4395D4"/>
        </w:rPr>
      </w:pPr>
      <w:r>
        <w:rPr>
          <w:rFonts w:ascii="Arial" w:cs="Arial" w:eastAsia="Arial" w:hAnsi="Arial"/>
          <w:sz w:val="14"/>
          <w:szCs w:val="14"/>
          <w:b w:val="1"/>
          <w:bCs w:val="1"/>
          <w:color w:val="4395D4"/>
        </w:rPr>
        <w:t>Access to the Audio Webcast of the Annual Meeting</w:t>
      </w:r>
      <w:r>
        <w:rPr>
          <w:rFonts w:ascii="Arial" w:cs="Arial" w:eastAsia="Arial" w:hAnsi="Arial"/>
          <w:sz w:val="14"/>
          <w:szCs w:val="14"/>
          <w:color w:val="231F20"/>
        </w:rPr>
        <w:t>. The live audio webcast</w:t>
      </w:r>
      <w:r>
        <w:rPr>
          <w:rFonts w:ascii="Arial" w:cs="Arial" w:eastAsia="Arial" w:hAnsi="Arial"/>
          <w:sz w:val="14"/>
          <w:szCs w:val="14"/>
          <w:b w:val="1"/>
          <w:bCs w:val="1"/>
          <w:color w:val="4395D4"/>
        </w:rPr>
        <w:t xml:space="preserve"> </w:t>
      </w:r>
      <w:r>
        <w:rPr>
          <w:rFonts w:ascii="Arial" w:cs="Arial" w:eastAsia="Arial" w:hAnsi="Arial"/>
          <w:sz w:val="14"/>
          <w:szCs w:val="14"/>
          <w:color w:val="231F20"/>
        </w:rPr>
        <w:t>of the 2021 Annual Meeting will begin promptly at 8:00 a.m., Eastern Time on May 5, 2021. Online access to the audio webcast will open approximately thirty minutes prior to the start of the Annual Meeting to allow time for you to log in and test the computer audio system. We encourage our shareholders to access the meeting prior to the start time.</w:t>
      </w:r>
    </w:p>
    <w:p>
      <w:pPr>
        <w:spacing w:after="0" w:line="33" w:lineRule="exact"/>
        <w:rPr>
          <w:rFonts w:ascii="Arial" w:cs="Arial" w:eastAsia="Arial" w:hAnsi="Arial"/>
          <w:sz w:val="14"/>
          <w:szCs w:val="14"/>
          <w:b w:val="1"/>
          <w:bCs w:val="1"/>
          <w:color w:val="4395D4"/>
        </w:rPr>
      </w:pPr>
    </w:p>
    <w:p>
      <w:pPr>
        <w:ind w:left="180" w:right="20" w:hanging="178"/>
        <w:spacing w:after="0" w:line="237" w:lineRule="auto"/>
        <w:tabs>
          <w:tab w:leader="none" w:pos="181" w:val="left"/>
        </w:tabs>
        <w:numPr>
          <w:ilvl w:val="0"/>
          <w:numId w:val="152"/>
        </w:numPr>
        <w:rPr>
          <w:rFonts w:ascii="Arial" w:cs="Arial" w:eastAsia="Arial" w:hAnsi="Arial"/>
          <w:sz w:val="14"/>
          <w:szCs w:val="14"/>
          <w:b w:val="1"/>
          <w:bCs w:val="1"/>
          <w:color w:val="4395D4"/>
        </w:rPr>
      </w:pPr>
      <w:r>
        <w:rPr>
          <w:rFonts w:ascii="Arial" w:cs="Arial" w:eastAsia="Arial" w:hAnsi="Arial"/>
          <w:sz w:val="14"/>
          <w:szCs w:val="14"/>
          <w:b w:val="1"/>
          <w:bCs w:val="1"/>
          <w:color w:val="4395D4"/>
        </w:rPr>
        <w:t>Log in Instructions</w:t>
      </w:r>
      <w:r>
        <w:rPr>
          <w:rFonts w:ascii="Arial" w:cs="Arial" w:eastAsia="Arial" w:hAnsi="Arial"/>
          <w:sz w:val="14"/>
          <w:szCs w:val="14"/>
          <w:color w:val="231F20"/>
        </w:rPr>
        <w:t>. To attend the online Annual Meeting, log in at</w:t>
      </w:r>
      <w:r>
        <w:rPr>
          <w:rFonts w:ascii="Arial" w:cs="Arial" w:eastAsia="Arial" w:hAnsi="Arial"/>
          <w:sz w:val="14"/>
          <w:szCs w:val="14"/>
          <w:b w:val="1"/>
          <w:bCs w:val="1"/>
          <w:color w:val="4395D4"/>
        </w:rPr>
        <w:t xml:space="preserve"> </w:t>
      </w:r>
      <w:r>
        <w:rPr>
          <w:rFonts w:ascii="Arial" w:cs="Arial" w:eastAsia="Arial" w:hAnsi="Arial"/>
          <w:sz w:val="14"/>
          <w:szCs w:val="14"/>
          <w:color w:val="231F20"/>
        </w:rPr>
        <w:t xml:space="preserve">www.virtualshareholdermeeting.com/WTRG2021. Shareholders will need their unique 16-digit control number, which appears on the Notice or proxy card and the instructions that accompanied the proxy materials. In the </w:t>
      </w:r>
      <w:r>
        <w:rPr>
          <w:rFonts w:ascii="Arial" w:cs="Arial" w:eastAsia="Arial" w:hAnsi="Arial"/>
          <w:sz w:val="14"/>
          <w:szCs w:val="14"/>
          <w:color w:val="000000"/>
        </w:rPr>
        <w:t>event that you do</w:t>
      </w:r>
      <w:r>
        <w:rPr>
          <w:rFonts w:ascii="Arial" w:cs="Arial" w:eastAsia="Arial" w:hAnsi="Arial"/>
          <w:sz w:val="14"/>
          <w:szCs w:val="14"/>
          <w:color w:val="231F20"/>
        </w:rPr>
        <w:t xml:space="preserve"> </w:t>
      </w:r>
      <w:r>
        <w:rPr>
          <w:rFonts w:ascii="Arial" w:cs="Arial" w:eastAsia="Arial" w:hAnsi="Arial"/>
          <w:sz w:val="14"/>
          <w:szCs w:val="14"/>
          <w:color w:val="000000"/>
        </w:rPr>
        <w:t>not have a control number, please contact your broker, bank, or other nominee as soon as possible and no later than May 4, 2021, so that you can be provided with a control number and gain access to the meeting.</w:t>
      </w:r>
    </w:p>
    <w:p>
      <w:pPr>
        <w:spacing w:after="0" w:line="48" w:lineRule="exact"/>
        <w:rPr>
          <w:rFonts w:ascii="Arial" w:cs="Arial" w:eastAsia="Arial" w:hAnsi="Arial"/>
          <w:sz w:val="14"/>
          <w:szCs w:val="14"/>
          <w:b w:val="1"/>
          <w:bCs w:val="1"/>
          <w:color w:val="4395D4"/>
        </w:rPr>
      </w:pPr>
    </w:p>
    <w:p>
      <w:pPr>
        <w:ind w:left="180" w:right="20" w:hanging="178"/>
        <w:spacing w:after="0" w:line="236" w:lineRule="auto"/>
        <w:tabs>
          <w:tab w:leader="none" w:pos="181" w:val="left"/>
        </w:tabs>
        <w:numPr>
          <w:ilvl w:val="0"/>
          <w:numId w:val="152"/>
        </w:numPr>
        <w:rPr>
          <w:rFonts w:ascii="Arial" w:cs="Arial" w:eastAsia="Arial" w:hAnsi="Arial"/>
          <w:sz w:val="14"/>
          <w:szCs w:val="14"/>
          <w:b w:val="1"/>
          <w:bCs w:val="1"/>
          <w:color w:val="4395D4"/>
        </w:rPr>
      </w:pPr>
      <w:r>
        <w:rPr>
          <w:rFonts w:ascii="Arial" w:cs="Arial" w:eastAsia="Arial" w:hAnsi="Arial"/>
          <w:sz w:val="14"/>
          <w:szCs w:val="14"/>
          <w:b w:val="1"/>
          <w:bCs w:val="1"/>
          <w:color w:val="4395D4"/>
        </w:rPr>
        <w:t>Submitting Questions at the virtual Annual Meeting</w:t>
      </w:r>
      <w:r>
        <w:rPr>
          <w:rFonts w:ascii="Arial" w:cs="Arial" w:eastAsia="Arial" w:hAnsi="Arial"/>
          <w:sz w:val="14"/>
          <w:szCs w:val="14"/>
          <w:color w:val="231F20"/>
        </w:rPr>
        <w:t>. Shareholders can submit</w:t>
      </w:r>
      <w:r>
        <w:rPr>
          <w:rFonts w:ascii="Arial" w:cs="Arial" w:eastAsia="Arial" w:hAnsi="Arial"/>
          <w:sz w:val="14"/>
          <w:szCs w:val="14"/>
          <w:b w:val="1"/>
          <w:bCs w:val="1"/>
          <w:color w:val="4395D4"/>
        </w:rPr>
        <w:t xml:space="preserve"> </w:t>
      </w:r>
      <w:r>
        <w:rPr>
          <w:rFonts w:ascii="Arial" w:cs="Arial" w:eastAsia="Arial" w:hAnsi="Arial"/>
          <w:sz w:val="14"/>
          <w:szCs w:val="14"/>
          <w:color w:val="231F20"/>
        </w:rPr>
        <w:t xml:space="preserve">their questions during the live event, and there will be a question and answer session in accordance with the Annual Meeting’s Rules of Conduct that are pertinent to the Company and the meeting matters, as time permits. Questions and answers will be grouped by topic and substantially similar questions will be grouped and </w:t>
      </w:r>
      <w:r>
        <w:rPr>
          <w:rFonts w:ascii="Arial" w:cs="Arial" w:eastAsia="Arial" w:hAnsi="Arial"/>
          <w:sz w:val="14"/>
          <w:szCs w:val="14"/>
          <w:color w:val="000000"/>
        </w:rPr>
        <w:t>answered once. To submit a question, once logged in, use the Q&amp;A</w:t>
      </w:r>
      <w:r>
        <w:rPr>
          <w:rFonts w:ascii="Arial" w:cs="Arial" w:eastAsia="Arial" w:hAnsi="Arial"/>
          <w:sz w:val="14"/>
          <w:szCs w:val="14"/>
          <w:color w:val="231F20"/>
        </w:rPr>
        <w:t xml:space="preserve"> </w:t>
      </w:r>
      <w:r>
        <w:rPr>
          <w:rFonts w:ascii="Arial" w:cs="Arial" w:eastAsia="Arial" w:hAnsi="Arial"/>
          <w:sz w:val="14"/>
          <w:szCs w:val="14"/>
          <w:color w:val="000000"/>
        </w:rPr>
        <w:t>button to open the panel, enter a question in the field labeled “Submit a question”, and click submit.</w:t>
      </w:r>
    </w:p>
    <w:p>
      <w:pPr>
        <w:spacing w:after="0" w:line="48" w:lineRule="exact"/>
        <w:rPr>
          <w:rFonts w:ascii="Arial" w:cs="Arial" w:eastAsia="Arial" w:hAnsi="Arial"/>
          <w:sz w:val="14"/>
          <w:szCs w:val="14"/>
          <w:b w:val="1"/>
          <w:bCs w:val="1"/>
          <w:color w:val="4395D4"/>
        </w:rPr>
      </w:pPr>
    </w:p>
    <w:p>
      <w:pPr>
        <w:ind w:left="180" w:right="300" w:hanging="178"/>
        <w:spacing w:after="0" w:line="255" w:lineRule="auto"/>
        <w:tabs>
          <w:tab w:leader="none" w:pos="181" w:val="left"/>
        </w:tabs>
        <w:numPr>
          <w:ilvl w:val="0"/>
          <w:numId w:val="152"/>
        </w:numPr>
        <w:rPr>
          <w:rFonts w:ascii="Arial" w:cs="Arial" w:eastAsia="Arial" w:hAnsi="Arial"/>
          <w:sz w:val="14"/>
          <w:szCs w:val="14"/>
          <w:b w:val="1"/>
          <w:bCs w:val="1"/>
          <w:color w:val="4395D4"/>
        </w:rPr>
      </w:pPr>
      <w:r>
        <w:rPr>
          <w:rFonts w:ascii="Arial" w:cs="Arial" w:eastAsia="Arial" w:hAnsi="Arial"/>
          <w:sz w:val="14"/>
          <w:szCs w:val="14"/>
          <w:b w:val="1"/>
          <w:bCs w:val="1"/>
          <w:color w:val="4395D4"/>
        </w:rPr>
        <w:t xml:space="preserve">The Annual Meeting’s Rules of Conduct </w:t>
      </w:r>
      <w:r>
        <w:rPr>
          <w:rFonts w:ascii="Arial" w:cs="Arial" w:eastAsia="Arial" w:hAnsi="Arial"/>
          <w:sz w:val="14"/>
          <w:szCs w:val="14"/>
          <w:color w:val="231F20"/>
        </w:rPr>
        <w:t>will be posted on</w:t>
      </w:r>
      <w:r>
        <w:rPr>
          <w:rFonts w:ascii="Arial" w:cs="Arial" w:eastAsia="Arial" w:hAnsi="Arial"/>
          <w:sz w:val="14"/>
          <w:szCs w:val="14"/>
          <w:b w:val="1"/>
          <w:bCs w:val="1"/>
          <w:color w:val="4395D4"/>
        </w:rPr>
        <w:t xml:space="preserve"> </w:t>
      </w:r>
      <w:r>
        <w:rPr>
          <w:rFonts w:ascii="Arial" w:cs="Arial" w:eastAsia="Arial" w:hAnsi="Arial"/>
          <w:sz w:val="14"/>
          <w:szCs w:val="14"/>
          <w:color w:val="231F20"/>
        </w:rPr>
        <w:t>https://www.essential.co/investor-relations approximately 2 weeks prior to the date of the Annual Meeting.</w:t>
      </w:r>
    </w:p>
    <w:p>
      <w:pPr>
        <w:spacing w:after="0" w:line="22" w:lineRule="exact"/>
        <w:rPr>
          <w:rFonts w:ascii="Arial" w:cs="Arial" w:eastAsia="Arial" w:hAnsi="Arial"/>
          <w:sz w:val="14"/>
          <w:szCs w:val="14"/>
          <w:b w:val="1"/>
          <w:bCs w:val="1"/>
          <w:color w:val="4395D4"/>
        </w:rPr>
      </w:pPr>
    </w:p>
    <w:p>
      <w:pPr>
        <w:ind w:left="180" w:right="120" w:hanging="178"/>
        <w:spacing w:after="0" w:line="246" w:lineRule="auto"/>
        <w:tabs>
          <w:tab w:leader="none" w:pos="181" w:val="left"/>
        </w:tabs>
        <w:numPr>
          <w:ilvl w:val="0"/>
          <w:numId w:val="152"/>
        </w:numPr>
        <w:rPr>
          <w:rFonts w:ascii="Arial" w:cs="Arial" w:eastAsia="Arial" w:hAnsi="Arial"/>
          <w:sz w:val="14"/>
          <w:szCs w:val="14"/>
          <w:b w:val="1"/>
          <w:bCs w:val="1"/>
          <w:color w:val="4395D4"/>
        </w:rPr>
      </w:pPr>
      <w:r>
        <w:rPr>
          <w:rFonts w:ascii="Arial" w:cs="Arial" w:eastAsia="Arial" w:hAnsi="Arial"/>
          <w:sz w:val="14"/>
          <w:szCs w:val="14"/>
          <w:b w:val="1"/>
          <w:bCs w:val="1"/>
          <w:color w:val="4395D4"/>
        </w:rPr>
        <w:t>Technical Assistance</w:t>
      </w:r>
      <w:r>
        <w:rPr>
          <w:rFonts w:ascii="Arial" w:cs="Arial" w:eastAsia="Arial" w:hAnsi="Arial"/>
          <w:sz w:val="14"/>
          <w:szCs w:val="14"/>
          <w:color w:val="231F20"/>
        </w:rPr>
        <w:t>. Beginning 30 minutes prior to the start of and during the</w:t>
      </w:r>
      <w:r>
        <w:rPr>
          <w:rFonts w:ascii="Arial" w:cs="Arial" w:eastAsia="Arial" w:hAnsi="Arial"/>
          <w:sz w:val="14"/>
          <w:szCs w:val="14"/>
          <w:b w:val="1"/>
          <w:bCs w:val="1"/>
          <w:color w:val="4395D4"/>
        </w:rPr>
        <w:t xml:space="preserve"> </w:t>
      </w:r>
      <w:r>
        <w:rPr>
          <w:rFonts w:ascii="Arial" w:cs="Arial" w:eastAsia="Arial" w:hAnsi="Arial"/>
          <w:sz w:val="14"/>
          <w:szCs w:val="14"/>
          <w:color w:val="231F20"/>
        </w:rPr>
        <w:t>virtual Annual Meeting, we will have support team ready to assist shareholders with any technical difficulties they may have accessing or hearing the virtual meeting.</w:t>
      </w:r>
    </w:p>
    <w:p>
      <w:pPr>
        <w:spacing w:after="0" w:line="44" w:lineRule="exact"/>
        <w:rPr>
          <w:sz w:val="20"/>
          <w:szCs w:val="20"/>
          <w:color w:val="auto"/>
        </w:rPr>
      </w:pPr>
    </w:p>
    <w:p>
      <w:pPr>
        <w:ind w:left="200" w:right="40"/>
        <w:spacing w:after="0" w:line="253" w:lineRule="auto"/>
        <w:rPr>
          <w:sz w:val="20"/>
          <w:szCs w:val="20"/>
          <w:color w:val="auto"/>
        </w:rPr>
      </w:pPr>
      <w:r>
        <w:rPr>
          <w:rFonts w:ascii="Arial" w:cs="Arial" w:eastAsia="Arial" w:hAnsi="Arial"/>
          <w:sz w:val="14"/>
          <w:szCs w:val="14"/>
          <w:color w:val="231F20"/>
        </w:rPr>
        <w:t>If you encounter any difficulties accessing the virtual meeting during the check-in or meeting time, please call the technical support number that will be posted on the Virtual Shareholder Meeting log-in page.</w:t>
      </w:r>
    </w:p>
    <w:p>
      <w:pPr>
        <w:spacing w:after="0" w:line="38" w:lineRule="exact"/>
        <w:rPr>
          <w:sz w:val="20"/>
          <w:szCs w:val="20"/>
          <w:color w:val="auto"/>
        </w:rPr>
      </w:pPr>
    </w:p>
    <w:p>
      <w:pPr>
        <w:ind w:left="180" w:hanging="178"/>
        <w:spacing w:after="0" w:line="255" w:lineRule="auto"/>
        <w:tabs>
          <w:tab w:leader="none" w:pos="176" w:val="left"/>
        </w:tabs>
        <w:numPr>
          <w:ilvl w:val="0"/>
          <w:numId w:val="153"/>
        </w:numPr>
        <w:rPr>
          <w:rFonts w:ascii="Arial" w:cs="Arial" w:eastAsia="Arial" w:hAnsi="Arial"/>
          <w:sz w:val="14"/>
          <w:szCs w:val="14"/>
          <w:b w:val="1"/>
          <w:bCs w:val="1"/>
          <w:color w:val="4395D4"/>
        </w:rPr>
      </w:pPr>
      <w:r>
        <w:rPr>
          <w:rFonts w:ascii="Arial" w:cs="Arial" w:eastAsia="Arial" w:hAnsi="Arial"/>
          <w:sz w:val="14"/>
          <w:szCs w:val="14"/>
          <w:b w:val="1"/>
          <w:bCs w:val="1"/>
          <w:color w:val="4395D4"/>
        </w:rPr>
        <w:t>Availability of live webcast to team members and other constituents</w:t>
      </w:r>
      <w:r>
        <w:rPr>
          <w:rFonts w:ascii="Arial" w:cs="Arial" w:eastAsia="Arial" w:hAnsi="Arial"/>
          <w:sz w:val="14"/>
          <w:szCs w:val="14"/>
          <w:color w:val="231F20"/>
        </w:rPr>
        <w:t>. The</w:t>
      </w:r>
      <w:r>
        <w:rPr>
          <w:rFonts w:ascii="Arial" w:cs="Arial" w:eastAsia="Arial" w:hAnsi="Arial"/>
          <w:sz w:val="14"/>
          <w:szCs w:val="14"/>
          <w:b w:val="1"/>
          <w:bCs w:val="1"/>
          <w:color w:val="4395D4"/>
        </w:rPr>
        <w:t xml:space="preserve"> </w:t>
      </w:r>
      <w:r>
        <w:rPr>
          <w:rFonts w:ascii="Arial" w:cs="Arial" w:eastAsia="Arial" w:hAnsi="Arial"/>
          <w:sz w:val="14"/>
          <w:szCs w:val="14"/>
          <w:color w:val="231F20"/>
        </w:rPr>
        <w:t>live audio webcast will be available to not only our shareholders but also our team members and other constituents.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240030</wp:posOffset>
            </wp:positionV>
            <wp:extent cx="7139940" cy="825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713994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73" w:lineRule="exact"/>
        <w:rPr>
          <w:sz w:val="20"/>
          <w:szCs w:val="20"/>
          <w:color w:val="auto"/>
        </w:rPr>
      </w:pPr>
    </w:p>
    <w:p>
      <w:pPr>
        <w:spacing w:after="0"/>
        <w:rPr>
          <w:sz w:val="20"/>
          <w:szCs w:val="20"/>
          <w:color w:val="auto"/>
        </w:rPr>
      </w:pPr>
      <w:r>
        <w:rPr>
          <w:rFonts w:ascii="Arial" w:cs="Arial" w:eastAsia="Arial" w:hAnsi="Arial"/>
          <w:sz w:val="17"/>
          <w:szCs w:val="17"/>
          <w:b w:val="1"/>
          <w:bCs w:val="1"/>
          <w:color w:val="4395D4"/>
        </w:rPr>
        <w:t>How do I vote at the virtual Annual Meeting?</w:t>
      </w:r>
    </w:p>
    <w:p>
      <w:pPr>
        <w:spacing w:after="0" w:line="153" w:lineRule="exact"/>
        <w:rPr>
          <w:sz w:val="20"/>
          <w:szCs w:val="20"/>
          <w:color w:val="auto"/>
        </w:rPr>
      </w:pPr>
    </w:p>
    <w:p>
      <w:pPr>
        <w:ind w:right="20"/>
        <w:spacing w:after="0" w:line="235" w:lineRule="auto"/>
        <w:rPr>
          <w:sz w:val="20"/>
          <w:szCs w:val="20"/>
          <w:color w:val="auto"/>
        </w:rPr>
      </w:pPr>
      <w:r>
        <w:rPr>
          <w:rFonts w:ascii="Arial" w:cs="Arial" w:eastAsia="Arial" w:hAnsi="Arial"/>
          <w:sz w:val="14"/>
          <w:szCs w:val="14"/>
          <w:color w:val="231F20"/>
        </w:rPr>
        <w:t>If you attend the virtual 2021 Annual Meeting and plan to vote at the meeting, you can vote by logging in to the online virtual 2021 Annual Meeting platform. Once logged in, use the Voting button to open the voting and submit your vote. If you are a shareholder of record, you have the right to vote electronically at the 2021 Annual Meeting. If you are the beneficial owner of shares held in street name, you may also vote electronically at the 2021 Annual Meeting if you follow the instructions from your broker, bank or other nominee to vote those shares. Please note, you must get instructions from your broker, bank or other nominee to vote any shares for which you are the beneficial owner, but not the shareholder of record.</w:t>
      </w:r>
    </w:p>
    <w:p>
      <w:pPr>
        <w:spacing w:after="0" w:line="109" w:lineRule="exact"/>
        <w:rPr>
          <w:sz w:val="20"/>
          <w:szCs w:val="20"/>
          <w:color w:val="auto"/>
        </w:rPr>
      </w:pPr>
    </w:p>
    <w:p>
      <w:pPr>
        <w:spacing w:after="0"/>
        <w:rPr>
          <w:sz w:val="20"/>
          <w:szCs w:val="20"/>
          <w:color w:val="auto"/>
        </w:rPr>
      </w:pPr>
      <w:r>
        <w:rPr>
          <w:rFonts w:ascii="Arial" w:cs="Arial" w:eastAsia="Arial" w:hAnsi="Arial"/>
          <w:sz w:val="17"/>
          <w:szCs w:val="17"/>
          <w:b w:val="1"/>
          <w:bCs w:val="1"/>
          <w:color w:val="4395D4"/>
        </w:rPr>
        <w:t>Do I have to wait to vote at the virtual Annual Meeting?</w:t>
      </w:r>
    </w:p>
    <w:p>
      <w:pPr>
        <w:spacing w:after="0" w:line="153" w:lineRule="exact"/>
        <w:rPr>
          <w:sz w:val="20"/>
          <w:szCs w:val="20"/>
          <w:color w:val="auto"/>
        </w:rPr>
      </w:pPr>
    </w:p>
    <w:p>
      <w:pPr>
        <w:spacing w:after="0" w:line="278" w:lineRule="auto"/>
        <w:rPr>
          <w:sz w:val="20"/>
          <w:szCs w:val="20"/>
          <w:color w:val="auto"/>
        </w:rPr>
      </w:pPr>
      <w:r>
        <w:rPr>
          <w:rFonts w:ascii="Arial" w:cs="Arial" w:eastAsia="Arial" w:hAnsi="Arial"/>
          <w:sz w:val="14"/>
          <w:szCs w:val="14"/>
          <w:color w:val="231F20"/>
        </w:rPr>
        <w:t>No. We recommend that you vote by proxy so that your vote is recorded and counted prior to the meeting. You can still attend the meeting.</w:t>
      </w:r>
    </w:p>
    <w:p>
      <w:pPr>
        <w:spacing w:after="0" w:line="83" w:lineRule="exact"/>
        <w:rPr>
          <w:sz w:val="20"/>
          <w:szCs w:val="20"/>
          <w:color w:val="auto"/>
        </w:rPr>
      </w:pPr>
    </w:p>
    <w:p>
      <w:pPr>
        <w:spacing w:after="0"/>
        <w:rPr>
          <w:sz w:val="20"/>
          <w:szCs w:val="20"/>
          <w:color w:val="auto"/>
        </w:rPr>
      </w:pPr>
      <w:r>
        <w:rPr>
          <w:rFonts w:ascii="Arial" w:cs="Arial" w:eastAsia="Arial" w:hAnsi="Arial"/>
          <w:sz w:val="17"/>
          <w:szCs w:val="17"/>
          <w:b w:val="1"/>
          <w:bCs w:val="1"/>
          <w:color w:val="4395D4"/>
        </w:rPr>
        <w:t>Can a shareholder revoke or change his or her vote?</w:t>
      </w:r>
    </w:p>
    <w:p>
      <w:pPr>
        <w:spacing w:after="0" w:line="153" w:lineRule="exact"/>
        <w:rPr>
          <w:sz w:val="20"/>
          <w:szCs w:val="20"/>
          <w:color w:val="auto"/>
        </w:rPr>
      </w:pPr>
    </w:p>
    <w:p>
      <w:pPr>
        <w:ind w:right="120"/>
        <w:spacing w:after="0" w:line="237" w:lineRule="auto"/>
        <w:rPr>
          <w:sz w:val="20"/>
          <w:szCs w:val="20"/>
          <w:color w:val="auto"/>
        </w:rPr>
      </w:pPr>
      <w:r>
        <w:rPr>
          <w:rFonts w:ascii="Arial" w:cs="Arial" w:eastAsia="Arial" w:hAnsi="Arial"/>
          <w:sz w:val="14"/>
          <w:szCs w:val="14"/>
          <w:color w:val="231F20"/>
        </w:rPr>
        <w:t>Yes. Any shareholder giving a proxy card or voting by electronic proxy or voting by telephone has the right to revoke the proxy or the electronic or telephonic vote by giving written notice of revocation to the Secretary of the Company at any time before the proxy is voted, by executing a proxy bearing a later date, by making a later-dated vote electronically or by telephone, or by attending the meeting and voting in person. Attendance at the meeting will not, by itself, revoke a previously granted proxy.</w:t>
      </w:r>
    </w:p>
    <w:p>
      <w:pPr>
        <w:spacing w:after="0" w:line="109" w:lineRule="exact"/>
        <w:rPr>
          <w:sz w:val="20"/>
          <w:szCs w:val="20"/>
          <w:color w:val="auto"/>
        </w:rPr>
      </w:pPr>
    </w:p>
    <w:p>
      <w:pPr>
        <w:spacing w:after="0"/>
        <w:rPr>
          <w:sz w:val="20"/>
          <w:szCs w:val="20"/>
          <w:color w:val="auto"/>
        </w:rPr>
      </w:pPr>
      <w:r>
        <w:rPr>
          <w:rFonts w:ascii="Arial" w:cs="Arial" w:eastAsia="Arial" w:hAnsi="Arial"/>
          <w:sz w:val="17"/>
          <w:szCs w:val="17"/>
          <w:b w:val="1"/>
          <w:bCs w:val="1"/>
          <w:color w:val="4395D4"/>
        </w:rPr>
        <w:t>What is Householding?</w:t>
      </w:r>
    </w:p>
    <w:p>
      <w:pPr>
        <w:spacing w:after="0" w:line="153" w:lineRule="exact"/>
        <w:rPr>
          <w:sz w:val="20"/>
          <w:szCs w:val="20"/>
          <w:color w:val="auto"/>
        </w:rPr>
      </w:pPr>
    </w:p>
    <w:p>
      <w:pPr>
        <w:ind w:right="40"/>
        <w:spacing w:after="0" w:line="232" w:lineRule="auto"/>
        <w:rPr>
          <w:sz w:val="20"/>
          <w:szCs w:val="20"/>
          <w:color w:val="auto"/>
        </w:rPr>
      </w:pPr>
      <w:r>
        <w:rPr>
          <w:rFonts w:ascii="Arial" w:cs="Arial" w:eastAsia="Arial" w:hAnsi="Arial"/>
          <w:sz w:val="14"/>
          <w:szCs w:val="14"/>
          <w:color w:val="231F20"/>
        </w:rPr>
        <w:t>We have adopted a procedure approved by the SEC called householding. Under this procedure, multiple shareholders who share the same last name and address and do not participate in electronic delivery will receive only one copy of the Proxy Materials or the Notice. We have undertaken householding to reduce our printing costs and postage fees. Shareholders may elect to receive individual copies of the Proxy Materials or Notice at the same address by contacting Broadridge Financial Solutions, Inc. By telephone at 1-866-540- 7095, or by mail at Broadridge Householding Dept., 51 Mercedes Way, Edgewood, New York 11717. Shareholders who are receiving individual copies of such materials, and who would like to receive single copies at a shared address, may contact Broadridge Financial Solutions, Inc. with this request by using the contact information provided above. Shareholders who are receiving individual copies of such materials, and who would like to receive single copies at a shared address, may contact Broadridge Financial Solutions, Inc. with this request by using the contact information provided above.</w:t>
      </w:r>
    </w:p>
    <w:p>
      <w:pPr>
        <w:spacing w:after="0" w:line="200" w:lineRule="exact"/>
        <w:rPr>
          <w:sz w:val="20"/>
          <w:szCs w:val="20"/>
          <w:color w:val="auto"/>
        </w:rPr>
      </w:pPr>
    </w:p>
    <w:p>
      <w:pPr>
        <w:sectPr>
          <w:pgSz w:w="11900" w:h="16838" w:orient="portrait"/>
          <w:cols w:equalWidth="0" w:num="2">
            <w:col w:w="5400" w:space="460"/>
            <w:col w:w="5380"/>
          </w:cols>
          <w:pgMar w:left="320" w:top="636" w:right="339" w:bottom="1440" w:gutter="0" w:footer="0" w:header="0"/>
          <w:type w:val="continuous"/>
        </w:sectPr>
      </w:pPr>
    </w:p>
    <w:p>
      <w:pPr>
        <w:spacing w:after="0" w:line="24" w:lineRule="exact"/>
        <w:rPr>
          <w:sz w:val="20"/>
          <w:szCs w:val="20"/>
          <w:color w:val="auto"/>
        </w:rPr>
      </w:pPr>
    </w:p>
    <w:p>
      <w:pPr>
        <w:ind w:left="7940"/>
        <w:spacing w:after="0"/>
        <w:tabs>
          <w:tab w:leader="none" w:pos="11060" w:val="left"/>
        </w:tabs>
        <w:rPr>
          <w:sz w:val="20"/>
          <w:szCs w:val="20"/>
          <w:color w:val="auto"/>
        </w:rPr>
      </w:pPr>
      <w:r>
        <w:rPr>
          <w:rFonts w:ascii="Arial" w:cs="Arial" w:eastAsia="Arial" w:hAnsi="Arial"/>
          <w:sz w:val="12"/>
          <w:szCs w:val="12"/>
          <w:color w:val="4395D4"/>
        </w:rPr>
        <w:t xml:space="preserve">ESSENTIAL UTILITIES, INC. </w:t>
      </w:r>
      <w:r>
        <w:rPr>
          <w:rFonts w:ascii="Arial" w:cs="Arial" w:eastAsia="Arial" w:hAnsi="Arial"/>
          <w:sz w:val="12"/>
          <w:szCs w:val="12"/>
          <w:color w:val="455986"/>
        </w:rPr>
        <w:t>2021 PROXY STATEMENT</w:t>
      </w:r>
      <w:r>
        <w:rPr>
          <w:sz w:val="20"/>
          <w:szCs w:val="20"/>
          <w:color w:val="auto"/>
        </w:rPr>
        <w:tab/>
      </w:r>
      <w:r>
        <w:rPr>
          <w:rFonts w:ascii="Arial" w:cs="Arial" w:eastAsia="Arial" w:hAnsi="Arial"/>
          <w:sz w:val="14"/>
          <w:szCs w:val="14"/>
          <w:color w:val="455986"/>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339090</wp:posOffset>
            </wp:positionV>
            <wp:extent cx="7139940" cy="24130"/>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7139940" cy="24130"/>
                    </a:xfrm>
                    <a:prstGeom prst="rect">
                      <a:avLst/>
                    </a:prstGeom>
                    <a:noFill/>
                  </pic:spPr>
                </pic:pic>
              </a:graphicData>
            </a:graphic>
          </wp:anchor>
        </w:drawing>
      </w:r>
    </w:p>
    <w:p>
      <w:pPr>
        <w:sectPr>
          <w:pgSz w:w="11900" w:h="16838" w:orient="portrait"/>
          <w:cols w:equalWidth="0" w:num="1">
            <w:col w:w="11240"/>
          </w:cols>
          <w:pgMar w:left="320" w:top="636" w:right="339" w:bottom="1440" w:gutter="0" w:footer="0" w:header="0"/>
          <w:type w:val="continuous"/>
        </w:sectPr>
      </w:pPr>
    </w:p>
    <w:bookmarkStart w:id="90" w:name="page91"/>
    <w:bookmarkEnd w:id="90"/>
    <w:p>
      <w:pPr>
        <w:spacing w:after="0"/>
        <w:rPr>
          <w:sz w:val="20"/>
          <w:szCs w:val="20"/>
          <w:color w:val="auto"/>
        </w:rPr>
      </w:pPr>
      <w:r>
        <w:rPr>
          <w:rFonts w:ascii="Arial" w:cs="Arial" w:eastAsia="Arial" w:hAnsi="Arial"/>
          <w:sz w:val="14"/>
          <w:szCs w:val="14"/>
          <w:b w:val="1"/>
          <w:bCs w:val="1"/>
          <w:color w:val="455986"/>
        </w:rPr>
        <w:t>Annual Meeting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27940</wp:posOffset>
            </wp:positionV>
            <wp:extent cx="7139940" cy="825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7139940" cy="8255"/>
                    </a:xfrm>
                    <a:prstGeom prst="rect">
                      <a:avLst/>
                    </a:prstGeom>
                    <a:noFill/>
                  </pic:spPr>
                </pic:pic>
              </a:graphicData>
            </a:graphic>
          </wp:anchor>
        </w:drawing>
      </w:r>
    </w:p>
    <w:p>
      <w:pPr>
        <w:spacing w:after="0" w:line="76" w:lineRule="exact"/>
        <w:rPr>
          <w:sz w:val="20"/>
          <w:szCs w:val="20"/>
          <w:color w:val="auto"/>
        </w:rPr>
      </w:pPr>
    </w:p>
    <w:p>
      <w:pPr>
        <w:spacing w:after="0"/>
        <w:rPr>
          <w:sz w:val="20"/>
          <w:szCs w:val="20"/>
          <w:color w:val="auto"/>
        </w:rPr>
      </w:pPr>
      <w:r>
        <w:rPr>
          <w:rFonts w:ascii="Arial" w:cs="Arial" w:eastAsia="Arial" w:hAnsi="Arial"/>
          <w:sz w:val="14"/>
          <w:szCs w:val="14"/>
          <w:color w:val="231F20"/>
        </w:rPr>
        <w:t>Questions and Answers About the 2021 Annual Meeting</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b w:val="1"/>
          <w:bCs w:val="1"/>
          <w:color w:val="4395D4"/>
        </w:rPr>
        <w:t>What are the voting requirements to approve each proposal? What is the impact of abstentions and broker non-votes on each proposal?</w:t>
      </w:r>
    </w:p>
    <w:p>
      <w:pPr>
        <w:spacing w:after="0" w:line="153" w:lineRule="exact"/>
        <w:rPr>
          <w:sz w:val="20"/>
          <w:szCs w:val="20"/>
          <w:color w:val="auto"/>
        </w:rPr>
      </w:pPr>
    </w:p>
    <w:p>
      <w:pPr>
        <w:spacing w:after="0"/>
        <w:rPr>
          <w:sz w:val="20"/>
          <w:szCs w:val="20"/>
          <w:color w:val="auto"/>
        </w:rPr>
      </w:pPr>
      <w:r>
        <w:rPr>
          <w:rFonts w:ascii="Arial" w:cs="Arial" w:eastAsia="Arial" w:hAnsi="Arial"/>
          <w:sz w:val="14"/>
          <w:szCs w:val="14"/>
          <w:color w:val="auto"/>
        </w:rPr>
        <w:t>The following table summarizes the vote required for the approval of each proposal and the impact, if any, of abstentions and broker-non votes.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180" w:type="dxa"/>
            <w:vAlign w:val="bottom"/>
            <w:vMerge w:val="restart"/>
          </w:tcPr>
          <w:p>
            <w:pPr>
              <w:spacing w:after="0"/>
              <w:rPr>
                <w:sz w:val="20"/>
                <w:szCs w:val="20"/>
                <w:color w:val="auto"/>
              </w:rPr>
            </w:pPr>
            <w:r>
              <w:rPr>
                <w:rFonts w:ascii="Arial" w:cs="Arial" w:eastAsia="Arial" w:hAnsi="Arial"/>
                <w:sz w:val="14"/>
                <w:szCs w:val="14"/>
                <w:color w:val="455986"/>
              </w:rPr>
              <w:t>Proposal</w:t>
            </w:r>
          </w:p>
        </w:tc>
        <w:tc>
          <w:tcPr>
            <w:tcW w:w="4120" w:type="dxa"/>
            <w:vAlign w:val="bottom"/>
            <w:vMerge w:val="restart"/>
          </w:tcPr>
          <w:p>
            <w:pPr>
              <w:ind w:left="280"/>
              <w:spacing w:after="0"/>
              <w:rPr>
                <w:sz w:val="20"/>
                <w:szCs w:val="20"/>
                <w:color w:val="auto"/>
              </w:rPr>
            </w:pPr>
            <w:r>
              <w:rPr>
                <w:rFonts w:ascii="Arial" w:cs="Arial" w:eastAsia="Arial" w:hAnsi="Arial"/>
                <w:sz w:val="14"/>
                <w:szCs w:val="14"/>
                <w:color w:val="455986"/>
              </w:rPr>
              <w:t>Vote Required for Approval</w:t>
            </w:r>
          </w:p>
        </w:tc>
        <w:tc>
          <w:tcPr>
            <w:tcW w:w="1360" w:type="dxa"/>
            <w:vAlign w:val="bottom"/>
          </w:tcPr>
          <w:p>
            <w:pPr>
              <w:ind w:left="120"/>
              <w:spacing w:after="0"/>
              <w:rPr>
                <w:sz w:val="20"/>
                <w:szCs w:val="20"/>
                <w:color w:val="auto"/>
              </w:rPr>
            </w:pPr>
            <w:r>
              <w:rPr>
                <w:rFonts w:ascii="Arial" w:cs="Arial" w:eastAsia="Arial" w:hAnsi="Arial"/>
                <w:sz w:val="14"/>
                <w:szCs w:val="14"/>
                <w:color w:val="455986"/>
              </w:rPr>
              <w:t>Impact of</w:t>
            </w:r>
          </w:p>
        </w:tc>
        <w:tc>
          <w:tcPr>
            <w:tcW w:w="2580" w:type="dxa"/>
            <w:vAlign w:val="bottom"/>
          </w:tcPr>
          <w:p>
            <w:pPr>
              <w:ind w:left="200"/>
              <w:spacing w:after="0"/>
              <w:rPr>
                <w:sz w:val="20"/>
                <w:szCs w:val="20"/>
                <w:color w:val="auto"/>
              </w:rPr>
            </w:pPr>
            <w:r>
              <w:rPr>
                <w:rFonts w:ascii="Arial" w:cs="Arial" w:eastAsia="Arial" w:hAnsi="Arial"/>
                <w:sz w:val="14"/>
                <w:szCs w:val="14"/>
                <w:color w:val="455986"/>
              </w:rPr>
              <w:t>Impact of Broker</w:t>
            </w:r>
          </w:p>
        </w:tc>
        <w:tc>
          <w:tcPr>
            <w:tcW w:w="0" w:type="dxa"/>
            <w:vAlign w:val="bottom"/>
          </w:tcPr>
          <w:p>
            <w:pPr>
              <w:spacing w:after="0"/>
              <w:rPr>
                <w:sz w:val="1"/>
                <w:szCs w:val="1"/>
                <w:color w:val="auto"/>
              </w:rPr>
            </w:pPr>
          </w:p>
        </w:tc>
      </w:tr>
      <w:tr>
        <w:trPr>
          <w:trHeight w:val="195"/>
        </w:trPr>
        <w:tc>
          <w:tcPr>
            <w:tcW w:w="3180" w:type="dxa"/>
            <w:vAlign w:val="bottom"/>
            <w:vMerge w:val="continue"/>
          </w:tcPr>
          <w:p>
            <w:pPr>
              <w:spacing w:after="0"/>
              <w:rPr>
                <w:sz w:val="16"/>
                <w:szCs w:val="16"/>
                <w:color w:val="auto"/>
              </w:rPr>
            </w:pPr>
          </w:p>
        </w:tc>
        <w:tc>
          <w:tcPr>
            <w:tcW w:w="4120" w:type="dxa"/>
            <w:vAlign w:val="bottom"/>
            <w:vMerge w:val="continue"/>
          </w:tcPr>
          <w:p>
            <w:pPr>
              <w:spacing w:after="0"/>
              <w:rPr>
                <w:sz w:val="16"/>
                <w:szCs w:val="16"/>
                <w:color w:val="auto"/>
              </w:rPr>
            </w:pPr>
          </w:p>
        </w:tc>
        <w:tc>
          <w:tcPr>
            <w:tcW w:w="1360" w:type="dxa"/>
            <w:vAlign w:val="bottom"/>
          </w:tcPr>
          <w:p>
            <w:pPr>
              <w:ind w:left="120"/>
              <w:spacing w:after="0"/>
              <w:rPr>
                <w:sz w:val="20"/>
                <w:szCs w:val="20"/>
                <w:color w:val="auto"/>
              </w:rPr>
            </w:pPr>
            <w:r>
              <w:rPr>
                <w:rFonts w:ascii="Arial" w:cs="Arial" w:eastAsia="Arial" w:hAnsi="Arial"/>
                <w:sz w:val="14"/>
                <w:szCs w:val="14"/>
                <w:color w:val="455986"/>
              </w:rPr>
              <w:t>Abstentions</w:t>
            </w:r>
          </w:p>
        </w:tc>
        <w:tc>
          <w:tcPr>
            <w:tcW w:w="2580" w:type="dxa"/>
            <w:vAlign w:val="bottom"/>
          </w:tcPr>
          <w:p>
            <w:pPr>
              <w:ind w:left="200"/>
              <w:spacing w:after="0"/>
              <w:rPr>
                <w:sz w:val="20"/>
                <w:szCs w:val="20"/>
                <w:color w:val="auto"/>
              </w:rPr>
            </w:pPr>
            <w:r>
              <w:rPr>
                <w:rFonts w:ascii="Arial" w:cs="Arial" w:eastAsia="Arial" w:hAnsi="Arial"/>
                <w:sz w:val="14"/>
                <w:szCs w:val="14"/>
                <w:color w:val="455986"/>
              </w:rPr>
              <w:t>Non-Votes</w:t>
            </w:r>
          </w:p>
        </w:tc>
        <w:tc>
          <w:tcPr>
            <w:tcW w:w="0" w:type="dxa"/>
            <w:vAlign w:val="bottom"/>
          </w:tcPr>
          <w:p>
            <w:pPr>
              <w:spacing w:after="0"/>
              <w:rPr>
                <w:sz w:val="1"/>
                <w:szCs w:val="1"/>
                <w:color w:val="auto"/>
              </w:rPr>
            </w:pPr>
          </w:p>
        </w:tc>
      </w:tr>
      <w:tr>
        <w:trPr>
          <w:trHeight w:val="31"/>
        </w:trPr>
        <w:tc>
          <w:tcPr>
            <w:tcW w:w="3180" w:type="dxa"/>
            <w:vAlign w:val="bottom"/>
            <w:tcBorders>
              <w:bottom w:val="single" w:sz="8" w:color="4395D4"/>
            </w:tcBorders>
          </w:tcPr>
          <w:p>
            <w:pPr>
              <w:spacing w:after="0"/>
              <w:rPr>
                <w:sz w:val="2"/>
                <w:szCs w:val="2"/>
                <w:color w:val="auto"/>
              </w:rPr>
            </w:pPr>
          </w:p>
        </w:tc>
        <w:tc>
          <w:tcPr>
            <w:tcW w:w="4120" w:type="dxa"/>
            <w:vAlign w:val="bottom"/>
            <w:tcBorders>
              <w:bottom w:val="single" w:sz="8" w:color="4395D4"/>
            </w:tcBorders>
          </w:tcPr>
          <w:p>
            <w:pPr>
              <w:spacing w:after="0"/>
              <w:rPr>
                <w:sz w:val="2"/>
                <w:szCs w:val="2"/>
                <w:color w:val="auto"/>
              </w:rPr>
            </w:pPr>
          </w:p>
        </w:tc>
        <w:tc>
          <w:tcPr>
            <w:tcW w:w="1360" w:type="dxa"/>
            <w:vAlign w:val="bottom"/>
            <w:tcBorders>
              <w:bottom w:val="single" w:sz="8" w:color="4395D4"/>
            </w:tcBorders>
          </w:tcPr>
          <w:p>
            <w:pPr>
              <w:spacing w:after="0"/>
              <w:rPr>
                <w:sz w:val="2"/>
                <w:szCs w:val="2"/>
                <w:color w:val="auto"/>
              </w:rPr>
            </w:pPr>
          </w:p>
        </w:tc>
        <w:tc>
          <w:tcPr>
            <w:tcW w:w="2580" w:type="dxa"/>
            <w:vAlign w:val="bottom"/>
            <w:tcBorders>
              <w:bottom w:val="single" w:sz="8" w:color="4395D4"/>
            </w:tcBorders>
          </w:tcPr>
          <w:p>
            <w:pPr>
              <w:spacing w:after="0"/>
              <w:rPr>
                <w:sz w:val="2"/>
                <w:szCs w:val="2"/>
                <w:color w:val="auto"/>
              </w:rPr>
            </w:pPr>
          </w:p>
        </w:tc>
        <w:tc>
          <w:tcPr>
            <w:tcW w:w="0" w:type="dxa"/>
            <w:vAlign w:val="bottom"/>
          </w:tcPr>
          <w:p>
            <w:pPr>
              <w:spacing w:after="0"/>
              <w:rPr>
                <w:sz w:val="1"/>
                <w:szCs w:val="1"/>
                <w:color w:val="auto"/>
              </w:rPr>
            </w:pPr>
          </w:p>
        </w:tc>
      </w:tr>
      <w:tr>
        <w:trPr>
          <w:trHeight w:val="174"/>
        </w:trPr>
        <w:tc>
          <w:tcPr>
            <w:tcW w:w="3180" w:type="dxa"/>
            <w:vAlign w:val="bottom"/>
          </w:tcPr>
          <w:p>
            <w:pPr>
              <w:spacing w:after="0"/>
              <w:rPr>
                <w:sz w:val="20"/>
                <w:szCs w:val="20"/>
                <w:color w:val="auto"/>
              </w:rPr>
            </w:pPr>
            <w:r>
              <w:rPr>
                <w:rFonts w:ascii="Arial" w:cs="Arial" w:eastAsia="Arial" w:hAnsi="Arial"/>
                <w:sz w:val="14"/>
                <w:szCs w:val="14"/>
                <w:b w:val="1"/>
                <w:bCs w:val="1"/>
                <w:color w:val="4395D4"/>
              </w:rPr>
              <w:t>Proposal 1</w:t>
            </w:r>
          </w:p>
        </w:tc>
        <w:tc>
          <w:tcPr>
            <w:tcW w:w="4120" w:type="dxa"/>
            <w:vAlign w:val="bottom"/>
          </w:tcPr>
          <w:p>
            <w:pPr>
              <w:ind w:left="280"/>
              <w:spacing w:after="0"/>
              <w:rPr>
                <w:sz w:val="20"/>
                <w:szCs w:val="20"/>
                <w:color w:val="auto"/>
              </w:rPr>
            </w:pPr>
            <w:r>
              <w:rPr>
                <w:rFonts w:ascii="Arial" w:cs="Arial" w:eastAsia="Arial" w:hAnsi="Arial"/>
                <w:sz w:val="14"/>
                <w:szCs w:val="14"/>
                <w:color w:val="231F20"/>
              </w:rPr>
              <w:t>Plurality of the votes cast*</w:t>
            </w:r>
          </w:p>
        </w:tc>
        <w:tc>
          <w:tcPr>
            <w:tcW w:w="1360" w:type="dxa"/>
            <w:vAlign w:val="bottom"/>
          </w:tcPr>
          <w:p>
            <w:pPr>
              <w:ind w:left="120"/>
              <w:spacing w:after="0"/>
              <w:rPr>
                <w:sz w:val="20"/>
                <w:szCs w:val="20"/>
                <w:color w:val="auto"/>
              </w:rPr>
            </w:pPr>
            <w:r>
              <w:rPr>
                <w:rFonts w:ascii="Arial" w:cs="Arial" w:eastAsia="Arial" w:hAnsi="Arial"/>
                <w:sz w:val="14"/>
                <w:szCs w:val="14"/>
                <w:color w:val="231F20"/>
              </w:rPr>
              <w:t>No effect on this</w:t>
            </w:r>
          </w:p>
        </w:tc>
        <w:tc>
          <w:tcPr>
            <w:tcW w:w="2580" w:type="dxa"/>
            <w:vAlign w:val="bottom"/>
          </w:tcPr>
          <w:p>
            <w:pPr>
              <w:ind w:left="200"/>
              <w:spacing w:after="0"/>
              <w:rPr>
                <w:sz w:val="20"/>
                <w:szCs w:val="20"/>
                <w:color w:val="auto"/>
              </w:rPr>
            </w:pPr>
            <w:r>
              <w:rPr>
                <w:rFonts w:ascii="Arial" w:cs="Arial" w:eastAsia="Arial" w:hAnsi="Arial"/>
                <w:sz w:val="14"/>
                <w:szCs w:val="14"/>
                <w:color w:val="231F20"/>
              </w:rPr>
              <w:t>No effect on this proposal</w:t>
            </w:r>
          </w:p>
        </w:tc>
        <w:tc>
          <w:tcPr>
            <w:tcW w:w="0" w:type="dxa"/>
            <w:vAlign w:val="bottom"/>
          </w:tcPr>
          <w:p>
            <w:pPr>
              <w:spacing w:after="0"/>
              <w:rPr>
                <w:sz w:val="1"/>
                <w:szCs w:val="1"/>
                <w:color w:val="auto"/>
              </w:rPr>
            </w:pPr>
          </w:p>
        </w:tc>
      </w:tr>
      <w:tr>
        <w:trPr>
          <w:trHeight w:val="205"/>
        </w:trPr>
        <w:tc>
          <w:tcPr>
            <w:tcW w:w="3180" w:type="dxa"/>
            <w:vAlign w:val="bottom"/>
          </w:tcPr>
          <w:p>
            <w:pPr>
              <w:spacing w:after="0"/>
              <w:rPr>
                <w:sz w:val="20"/>
                <w:szCs w:val="20"/>
                <w:color w:val="auto"/>
              </w:rPr>
            </w:pPr>
            <w:r>
              <w:rPr>
                <w:rFonts w:ascii="Arial" w:cs="Arial" w:eastAsia="Arial" w:hAnsi="Arial"/>
                <w:sz w:val="14"/>
                <w:szCs w:val="14"/>
                <w:b w:val="1"/>
                <w:bCs w:val="1"/>
                <w:color w:val="455986"/>
              </w:rPr>
              <w:t>Election of directors</w:t>
            </w:r>
          </w:p>
        </w:tc>
        <w:tc>
          <w:tcPr>
            <w:tcW w:w="4120" w:type="dxa"/>
            <w:vAlign w:val="bottom"/>
          </w:tcPr>
          <w:p>
            <w:pPr>
              <w:spacing w:after="0"/>
              <w:rPr>
                <w:sz w:val="17"/>
                <w:szCs w:val="17"/>
                <w:color w:val="auto"/>
              </w:rPr>
            </w:pPr>
          </w:p>
        </w:tc>
        <w:tc>
          <w:tcPr>
            <w:tcW w:w="1360" w:type="dxa"/>
            <w:vAlign w:val="bottom"/>
          </w:tcPr>
          <w:p>
            <w:pPr>
              <w:ind w:left="120"/>
              <w:spacing w:after="0"/>
              <w:rPr>
                <w:sz w:val="20"/>
                <w:szCs w:val="20"/>
                <w:color w:val="auto"/>
              </w:rPr>
            </w:pPr>
            <w:r>
              <w:rPr>
                <w:rFonts w:ascii="Arial" w:cs="Arial" w:eastAsia="Arial" w:hAnsi="Arial"/>
                <w:sz w:val="14"/>
                <w:szCs w:val="14"/>
                <w:color w:val="231F20"/>
              </w:rPr>
              <w:t>proposal</w:t>
            </w:r>
          </w:p>
        </w:tc>
        <w:tc>
          <w:tcPr>
            <w:tcW w:w="2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
        </w:trPr>
        <w:tc>
          <w:tcPr>
            <w:tcW w:w="3180" w:type="dxa"/>
            <w:vAlign w:val="bottom"/>
            <w:tcBorders>
              <w:bottom w:val="single" w:sz="8" w:color="231F20"/>
            </w:tcBorders>
          </w:tcPr>
          <w:p>
            <w:pPr>
              <w:spacing w:after="0" w:line="20" w:lineRule="exact"/>
              <w:rPr>
                <w:sz w:val="1"/>
                <w:szCs w:val="1"/>
                <w:color w:val="auto"/>
              </w:rPr>
            </w:pPr>
          </w:p>
        </w:tc>
        <w:tc>
          <w:tcPr>
            <w:tcW w:w="4120" w:type="dxa"/>
            <w:vAlign w:val="bottom"/>
            <w:tcBorders>
              <w:bottom w:val="single" w:sz="8" w:color="231F20"/>
            </w:tcBorders>
          </w:tcPr>
          <w:p>
            <w:pPr>
              <w:spacing w:after="0" w:line="20" w:lineRule="exact"/>
              <w:rPr>
                <w:sz w:val="1"/>
                <w:szCs w:val="1"/>
                <w:color w:val="auto"/>
              </w:rPr>
            </w:pPr>
          </w:p>
        </w:tc>
        <w:tc>
          <w:tcPr>
            <w:tcW w:w="1360" w:type="dxa"/>
            <w:vAlign w:val="bottom"/>
            <w:tcBorders>
              <w:bottom w:val="single" w:sz="8" w:color="231F20"/>
            </w:tcBorders>
          </w:tcPr>
          <w:p>
            <w:pPr>
              <w:spacing w:after="0" w:line="20" w:lineRule="exact"/>
              <w:rPr>
                <w:sz w:val="1"/>
                <w:szCs w:val="1"/>
                <w:color w:val="auto"/>
              </w:rPr>
            </w:pPr>
          </w:p>
        </w:tc>
        <w:tc>
          <w:tcPr>
            <w:tcW w:w="2580" w:type="dxa"/>
            <w:vAlign w:val="bottom"/>
            <w:tcBorders>
              <w:bottom w:val="single" w:sz="8" w:color="231F20"/>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4"/>
        </w:trPr>
        <w:tc>
          <w:tcPr>
            <w:tcW w:w="3180" w:type="dxa"/>
            <w:vAlign w:val="bottom"/>
          </w:tcPr>
          <w:p>
            <w:pPr>
              <w:spacing w:after="0"/>
              <w:rPr>
                <w:sz w:val="20"/>
                <w:szCs w:val="20"/>
                <w:color w:val="auto"/>
              </w:rPr>
            </w:pPr>
            <w:r>
              <w:rPr>
                <w:rFonts w:ascii="Arial" w:cs="Arial" w:eastAsia="Arial" w:hAnsi="Arial"/>
                <w:sz w:val="14"/>
                <w:szCs w:val="14"/>
                <w:b w:val="1"/>
                <w:bCs w:val="1"/>
                <w:color w:val="4395D4"/>
              </w:rPr>
              <w:t>Proposal 2</w:t>
            </w:r>
          </w:p>
        </w:tc>
        <w:tc>
          <w:tcPr>
            <w:tcW w:w="4120" w:type="dxa"/>
            <w:vAlign w:val="bottom"/>
          </w:tcPr>
          <w:p>
            <w:pPr>
              <w:ind w:left="280"/>
              <w:spacing w:after="0"/>
              <w:rPr>
                <w:sz w:val="20"/>
                <w:szCs w:val="20"/>
                <w:color w:val="auto"/>
              </w:rPr>
            </w:pPr>
            <w:r>
              <w:rPr>
                <w:rFonts w:ascii="Arial" w:cs="Arial" w:eastAsia="Arial" w:hAnsi="Arial"/>
                <w:sz w:val="14"/>
                <w:szCs w:val="14"/>
                <w:color w:val="231F20"/>
              </w:rPr>
              <w:t>Affirmative vote of a majority of the votes cast by those</w:t>
            </w:r>
          </w:p>
        </w:tc>
        <w:tc>
          <w:tcPr>
            <w:tcW w:w="1360" w:type="dxa"/>
            <w:vAlign w:val="bottom"/>
          </w:tcPr>
          <w:p>
            <w:pPr>
              <w:ind w:left="120"/>
              <w:spacing w:after="0"/>
              <w:rPr>
                <w:sz w:val="20"/>
                <w:szCs w:val="20"/>
                <w:color w:val="auto"/>
              </w:rPr>
            </w:pPr>
            <w:r>
              <w:rPr>
                <w:rFonts w:ascii="Arial" w:cs="Arial" w:eastAsia="Arial" w:hAnsi="Arial"/>
                <w:sz w:val="14"/>
                <w:szCs w:val="14"/>
                <w:color w:val="231F20"/>
              </w:rPr>
              <w:t>No effect on this</w:t>
            </w:r>
          </w:p>
        </w:tc>
        <w:tc>
          <w:tcPr>
            <w:tcW w:w="2580" w:type="dxa"/>
            <w:vAlign w:val="bottom"/>
          </w:tcPr>
          <w:p>
            <w:pPr>
              <w:ind w:left="200"/>
              <w:spacing w:after="0"/>
              <w:rPr>
                <w:sz w:val="20"/>
                <w:szCs w:val="20"/>
                <w:color w:val="auto"/>
              </w:rPr>
            </w:pPr>
            <w:r>
              <w:rPr>
                <w:rFonts w:ascii="Arial" w:cs="Arial" w:eastAsia="Arial" w:hAnsi="Arial"/>
                <w:sz w:val="14"/>
                <w:szCs w:val="14"/>
                <w:color w:val="231F20"/>
              </w:rPr>
              <w:t>Not applicable as brokers have</w:t>
            </w:r>
          </w:p>
        </w:tc>
        <w:tc>
          <w:tcPr>
            <w:tcW w:w="0" w:type="dxa"/>
            <w:vAlign w:val="bottom"/>
          </w:tcPr>
          <w:p>
            <w:pPr>
              <w:spacing w:after="0"/>
              <w:rPr>
                <w:sz w:val="1"/>
                <w:szCs w:val="1"/>
                <w:color w:val="auto"/>
              </w:rPr>
            </w:pPr>
          </w:p>
        </w:tc>
      </w:tr>
      <w:tr>
        <w:trPr>
          <w:trHeight w:val="153"/>
        </w:trPr>
        <w:tc>
          <w:tcPr>
            <w:tcW w:w="3180" w:type="dxa"/>
            <w:vAlign w:val="bottom"/>
          </w:tcPr>
          <w:p>
            <w:pPr>
              <w:spacing w:after="0" w:line="153" w:lineRule="exact"/>
              <w:rPr>
                <w:sz w:val="20"/>
                <w:szCs w:val="20"/>
                <w:color w:val="auto"/>
              </w:rPr>
            </w:pPr>
            <w:r>
              <w:rPr>
                <w:rFonts w:ascii="Arial" w:cs="Arial" w:eastAsia="Arial" w:hAnsi="Arial"/>
                <w:sz w:val="14"/>
                <w:szCs w:val="14"/>
                <w:b w:val="1"/>
                <w:bCs w:val="1"/>
                <w:color w:val="455986"/>
              </w:rPr>
              <w:t>Ratification of the appointment of</w:t>
            </w:r>
          </w:p>
        </w:tc>
        <w:tc>
          <w:tcPr>
            <w:tcW w:w="4120" w:type="dxa"/>
            <w:vAlign w:val="bottom"/>
          </w:tcPr>
          <w:p>
            <w:pPr>
              <w:ind w:left="280"/>
              <w:spacing w:after="0" w:line="153" w:lineRule="exact"/>
              <w:rPr>
                <w:sz w:val="20"/>
                <w:szCs w:val="20"/>
                <w:color w:val="auto"/>
              </w:rPr>
            </w:pPr>
            <w:r>
              <w:rPr>
                <w:rFonts w:ascii="Arial" w:cs="Arial" w:eastAsia="Arial" w:hAnsi="Arial"/>
                <w:sz w:val="14"/>
                <w:szCs w:val="14"/>
                <w:color w:val="231F20"/>
              </w:rPr>
              <w:t>shareholders present in person or represented by proxy at</w:t>
            </w:r>
          </w:p>
        </w:tc>
        <w:tc>
          <w:tcPr>
            <w:tcW w:w="1360" w:type="dxa"/>
            <w:vAlign w:val="bottom"/>
          </w:tcPr>
          <w:p>
            <w:pPr>
              <w:ind w:left="120"/>
              <w:spacing w:after="0" w:line="153" w:lineRule="exact"/>
              <w:rPr>
                <w:sz w:val="20"/>
                <w:szCs w:val="20"/>
                <w:color w:val="auto"/>
              </w:rPr>
            </w:pPr>
            <w:r>
              <w:rPr>
                <w:rFonts w:ascii="Arial" w:cs="Arial" w:eastAsia="Arial" w:hAnsi="Arial"/>
                <w:sz w:val="14"/>
                <w:szCs w:val="14"/>
                <w:color w:val="231F20"/>
              </w:rPr>
              <w:t>proposal</w:t>
            </w:r>
          </w:p>
        </w:tc>
        <w:tc>
          <w:tcPr>
            <w:tcW w:w="2580" w:type="dxa"/>
            <w:vAlign w:val="bottom"/>
          </w:tcPr>
          <w:p>
            <w:pPr>
              <w:ind w:left="200"/>
              <w:spacing w:after="0" w:line="153" w:lineRule="exact"/>
              <w:rPr>
                <w:sz w:val="20"/>
                <w:szCs w:val="20"/>
                <w:color w:val="auto"/>
              </w:rPr>
            </w:pPr>
            <w:r>
              <w:rPr>
                <w:rFonts w:ascii="Arial" w:cs="Arial" w:eastAsia="Arial" w:hAnsi="Arial"/>
                <w:sz w:val="14"/>
                <w:szCs w:val="14"/>
                <w:color w:val="231F20"/>
              </w:rPr>
              <w:t>discretionary authority to vote on this</w:t>
            </w:r>
          </w:p>
        </w:tc>
        <w:tc>
          <w:tcPr>
            <w:tcW w:w="0" w:type="dxa"/>
            <w:vAlign w:val="bottom"/>
          </w:tcPr>
          <w:p>
            <w:pPr>
              <w:spacing w:after="0"/>
              <w:rPr>
                <w:sz w:val="1"/>
                <w:szCs w:val="1"/>
                <w:color w:val="auto"/>
              </w:rPr>
            </w:pPr>
          </w:p>
        </w:tc>
      </w:tr>
      <w:tr>
        <w:trPr>
          <w:trHeight w:val="205"/>
        </w:trPr>
        <w:tc>
          <w:tcPr>
            <w:tcW w:w="3180" w:type="dxa"/>
            <w:vAlign w:val="bottom"/>
          </w:tcPr>
          <w:p>
            <w:pPr>
              <w:spacing w:after="0"/>
              <w:rPr>
                <w:sz w:val="20"/>
                <w:szCs w:val="20"/>
                <w:color w:val="auto"/>
              </w:rPr>
            </w:pPr>
            <w:r>
              <w:rPr>
                <w:rFonts w:ascii="Arial" w:cs="Arial" w:eastAsia="Arial" w:hAnsi="Arial"/>
                <w:sz w:val="14"/>
                <w:szCs w:val="14"/>
                <w:b w:val="1"/>
                <w:bCs w:val="1"/>
                <w:color w:val="455986"/>
              </w:rPr>
              <w:t>PricewaterhouseCoopers LLP</w:t>
            </w:r>
          </w:p>
        </w:tc>
        <w:tc>
          <w:tcPr>
            <w:tcW w:w="4120" w:type="dxa"/>
            <w:vAlign w:val="bottom"/>
          </w:tcPr>
          <w:p>
            <w:pPr>
              <w:ind w:left="280"/>
              <w:spacing w:after="0"/>
              <w:rPr>
                <w:sz w:val="20"/>
                <w:szCs w:val="20"/>
                <w:color w:val="auto"/>
              </w:rPr>
            </w:pPr>
            <w:r>
              <w:rPr>
                <w:rFonts w:ascii="Arial" w:cs="Arial" w:eastAsia="Arial" w:hAnsi="Arial"/>
                <w:sz w:val="14"/>
                <w:szCs w:val="14"/>
                <w:color w:val="231F20"/>
              </w:rPr>
              <w:t>the meeting</w:t>
            </w:r>
          </w:p>
        </w:tc>
        <w:tc>
          <w:tcPr>
            <w:tcW w:w="1360" w:type="dxa"/>
            <w:vAlign w:val="bottom"/>
          </w:tcPr>
          <w:p>
            <w:pPr>
              <w:spacing w:after="0"/>
              <w:rPr>
                <w:sz w:val="17"/>
                <w:szCs w:val="17"/>
                <w:color w:val="auto"/>
              </w:rPr>
            </w:pPr>
          </w:p>
        </w:tc>
        <w:tc>
          <w:tcPr>
            <w:tcW w:w="2580" w:type="dxa"/>
            <w:vAlign w:val="bottom"/>
          </w:tcPr>
          <w:p>
            <w:pPr>
              <w:ind w:left="200"/>
              <w:spacing w:after="0"/>
              <w:rPr>
                <w:sz w:val="20"/>
                <w:szCs w:val="20"/>
                <w:color w:val="auto"/>
              </w:rPr>
            </w:pPr>
            <w:r>
              <w:rPr>
                <w:rFonts w:ascii="Arial" w:cs="Arial" w:eastAsia="Arial" w:hAnsi="Arial"/>
                <w:sz w:val="14"/>
                <w:szCs w:val="14"/>
                <w:color w:val="231F20"/>
              </w:rPr>
              <w:t>proposal</w:t>
            </w:r>
          </w:p>
        </w:tc>
        <w:tc>
          <w:tcPr>
            <w:tcW w:w="0" w:type="dxa"/>
            <w:vAlign w:val="bottom"/>
          </w:tcPr>
          <w:p>
            <w:pPr>
              <w:spacing w:after="0"/>
              <w:rPr>
                <w:sz w:val="1"/>
                <w:szCs w:val="1"/>
                <w:color w:val="auto"/>
              </w:rPr>
            </w:pPr>
          </w:p>
        </w:tc>
      </w:tr>
      <w:tr>
        <w:trPr>
          <w:trHeight w:val="23"/>
        </w:trPr>
        <w:tc>
          <w:tcPr>
            <w:tcW w:w="3180" w:type="dxa"/>
            <w:vAlign w:val="bottom"/>
            <w:tcBorders>
              <w:bottom w:val="single" w:sz="8" w:color="231F20"/>
            </w:tcBorders>
          </w:tcPr>
          <w:p>
            <w:pPr>
              <w:spacing w:after="0" w:line="20" w:lineRule="exact"/>
              <w:rPr>
                <w:sz w:val="1"/>
                <w:szCs w:val="1"/>
                <w:color w:val="auto"/>
              </w:rPr>
            </w:pPr>
          </w:p>
        </w:tc>
        <w:tc>
          <w:tcPr>
            <w:tcW w:w="4120" w:type="dxa"/>
            <w:vAlign w:val="bottom"/>
            <w:tcBorders>
              <w:bottom w:val="single" w:sz="8" w:color="231F20"/>
            </w:tcBorders>
          </w:tcPr>
          <w:p>
            <w:pPr>
              <w:spacing w:after="0" w:line="20" w:lineRule="exact"/>
              <w:rPr>
                <w:sz w:val="1"/>
                <w:szCs w:val="1"/>
                <w:color w:val="auto"/>
              </w:rPr>
            </w:pPr>
          </w:p>
        </w:tc>
        <w:tc>
          <w:tcPr>
            <w:tcW w:w="1360" w:type="dxa"/>
            <w:vAlign w:val="bottom"/>
            <w:tcBorders>
              <w:bottom w:val="single" w:sz="8" w:color="231F20"/>
            </w:tcBorders>
          </w:tcPr>
          <w:p>
            <w:pPr>
              <w:spacing w:after="0" w:line="20" w:lineRule="exact"/>
              <w:rPr>
                <w:sz w:val="1"/>
                <w:szCs w:val="1"/>
                <w:color w:val="auto"/>
              </w:rPr>
            </w:pPr>
          </w:p>
        </w:tc>
        <w:tc>
          <w:tcPr>
            <w:tcW w:w="2580" w:type="dxa"/>
            <w:vAlign w:val="bottom"/>
            <w:tcBorders>
              <w:bottom w:val="single" w:sz="8" w:color="231F20"/>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4"/>
        </w:trPr>
        <w:tc>
          <w:tcPr>
            <w:tcW w:w="3180" w:type="dxa"/>
            <w:vAlign w:val="bottom"/>
          </w:tcPr>
          <w:p>
            <w:pPr>
              <w:spacing w:after="0"/>
              <w:rPr>
                <w:sz w:val="20"/>
                <w:szCs w:val="20"/>
                <w:color w:val="auto"/>
              </w:rPr>
            </w:pPr>
            <w:r>
              <w:rPr>
                <w:rFonts w:ascii="Arial" w:cs="Arial" w:eastAsia="Arial" w:hAnsi="Arial"/>
                <w:sz w:val="14"/>
                <w:szCs w:val="14"/>
                <w:b w:val="1"/>
                <w:bCs w:val="1"/>
                <w:color w:val="4395D4"/>
              </w:rPr>
              <w:t>Proposal 3</w:t>
            </w:r>
          </w:p>
        </w:tc>
        <w:tc>
          <w:tcPr>
            <w:tcW w:w="4120" w:type="dxa"/>
            <w:vAlign w:val="bottom"/>
          </w:tcPr>
          <w:p>
            <w:pPr>
              <w:ind w:left="280"/>
              <w:spacing w:after="0"/>
              <w:rPr>
                <w:sz w:val="20"/>
                <w:szCs w:val="20"/>
                <w:color w:val="auto"/>
              </w:rPr>
            </w:pPr>
            <w:r>
              <w:rPr>
                <w:rFonts w:ascii="Arial" w:cs="Arial" w:eastAsia="Arial" w:hAnsi="Arial"/>
                <w:sz w:val="14"/>
                <w:szCs w:val="14"/>
                <w:color w:val="231F20"/>
              </w:rPr>
              <w:t>Affirmative vote of a majority of the votes cast by those</w:t>
            </w:r>
          </w:p>
        </w:tc>
        <w:tc>
          <w:tcPr>
            <w:tcW w:w="1360" w:type="dxa"/>
            <w:vAlign w:val="bottom"/>
          </w:tcPr>
          <w:p>
            <w:pPr>
              <w:ind w:left="120"/>
              <w:spacing w:after="0"/>
              <w:rPr>
                <w:sz w:val="20"/>
                <w:szCs w:val="20"/>
                <w:color w:val="auto"/>
              </w:rPr>
            </w:pPr>
            <w:r>
              <w:rPr>
                <w:rFonts w:ascii="Arial" w:cs="Arial" w:eastAsia="Arial" w:hAnsi="Arial"/>
                <w:sz w:val="14"/>
                <w:szCs w:val="14"/>
                <w:color w:val="231F20"/>
              </w:rPr>
              <w:t>No effect on this</w:t>
            </w:r>
          </w:p>
        </w:tc>
        <w:tc>
          <w:tcPr>
            <w:tcW w:w="2580" w:type="dxa"/>
            <w:vAlign w:val="bottom"/>
          </w:tcPr>
          <w:p>
            <w:pPr>
              <w:ind w:left="200"/>
              <w:spacing w:after="0"/>
              <w:rPr>
                <w:sz w:val="20"/>
                <w:szCs w:val="20"/>
                <w:color w:val="auto"/>
              </w:rPr>
            </w:pPr>
            <w:r>
              <w:rPr>
                <w:rFonts w:ascii="Arial" w:cs="Arial" w:eastAsia="Arial" w:hAnsi="Arial"/>
                <w:sz w:val="14"/>
                <w:szCs w:val="14"/>
                <w:color w:val="231F20"/>
              </w:rPr>
              <w:t>No effect on this proposal</w:t>
            </w:r>
          </w:p>
        </w:tc>
        <w:tc>
          <w:tcPr>
            <w:tcW w:w="0" w:type="dxa"/>
            <w:vAlign w:val="bottom"/>
          </w:tcPr>
          <w:p>
            <w:pPr>
              <w:spacing w:after="0"/>
              <w:rPr>
                <w:sz w:val="1"/>
                <w:szCs w:val="1"/>
                <w:color w:val="auto"/>
              </w:rPr>
            </w:pPr>
          </w:p>
        </w:tc>
      </w:tr>
      <w:tr>
        <w:trPr>
          <w:trHeight w:val="155"/>
        </w:trPr>
        <w:tc>
          <w:tcPr>
            <w:tcW w:w="3180" w:type="dxa"/>
            <w:vAlign w:val="bottom"/>
          </w:tcPr>
          <w:p>
            <w:pPr>
              <w:spacing w:after="0" w:line="155" w:lineRule="exact"/>
              <w:rPr>
                <w:sz w:val="20"/>
                <w:szCs w:val="20"/>
                <w:color w:val="auto"/>
              </w:rPr>
            </w:pPr>
            <w:r>
              <w:rPr>
                <w:rFonts w:ascii="Arial" w:cs="Arial" w:eastAsia="Arial" w:hAnsi="Arial"/>
                <w:sz w:val="14"/>
                <w:szCs w:val="14"/>
                <w:b w:val="1"/>
                <w:bCs w:val="1"/>
                <w:color w:val="455986"/>
              </w:rPr>
              <w:t>Advisory vote on executive compensation</w:t>
            </w:r>
          </w:p>
        </w:tc>
        <w:tc>
          <w:tcPr>
            <w:tcW w:w="4120" w:type="dxa"/>
            <w:vAlign w:val="bottom"/>
          </w:tcPr>
          <w:p>
            <w:pPr>
              <w:ind w:left="280"/>
              <w:spacing w:after="0" w:line="155" w:lineRule="exact"/>
              <w:rPr>
                <w:sz w:val="20"/>
                <w:szCs w:val="20"/>
                <w:color w:val="auto"/>
              </w:rPr>
            </w:pPr>
            <w:r>
              <w:rPr>
                <w:rFonts w:ascii="Arial" w:cs="Arial" w:eastAsia="Arial" w:hAnsi="Arial"/>
                <w:sz w:val="14"/>
                <w:szCs w:val="14"/>
                <w:color w:val="231F20"/>
              </w:rPr>
              <w:t>shareholders present in person or represented by proxy at</w:t>
            </w:r>
          </w:p>
        </w:tc>
        <w:tc>
          <w:tcPr>
            <w:tcW w:w="1360" w:type="dxa"/>
            <w:vAlign w:val="bottom"/>
          </w:tcPr>
          <w:p>
            <w:pPr>
              <w:ind w:left="120"/>
              <w:spacing w:after="0" w:line="155" w:lineRule="exact"/>
              <w:rPr>
                <w:sz w:val="20"/>
                <w:szCs w:val="20"/>
                <w:color w:val="auto"/>
              </w:rPr>
            </w:pPr>
            <w:r>
              <w:rPr>
                <w:rFonts w:ascii="Arial" w:cs="Arial" w:eastAsia="Arial" w:hAnsi="Arial"/>
                <w:sz w:val="14"/>
                <w:szCs w:val="14"/>
                <w:color w:val="231F20"/>
              </w:rPr>
              <w:t>proposal</w:t>
            </w:r>
          </w:p>
        </w:tc>
        <w:tc>
          <w:tcPr>
            <w:tcW w:w="2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5"/>
        </w:trPr>
        <w:tc>
          <w:tcPr>
            <w:tcW w:w="3180" w:type="dxa"/>
            <w:vAlign w:val="bottom"/>
          </w:tcPr>
          <w:p>
            <w:pPr>
              <w:spacing w:after="0"/>
              <w:rPr>
                <w:sz w:val="16"/>
                <w:szCs w:val="16"/>
                <w:color w:val="auto"/>
              </w:rPr>
            </w:pPr>
          </w:p>
        </w:tc>
        <w:tc>
          <w:tcPr>
            <w:tcW w:w="4120" w:type="dxa"/>
            <w:vAlign w:val="bottom"/>
          </w:tcPr>
          <w:p>
            <w:pPr>
              <w:ind w:left="280"/>
              <w:spacing w:after="0"/>
              <w:rPr>
                <w:sz w:val="20"/>
                <w:szCs w:val="20"/>
                <w:color w:val="auto"/>
              </w:rPr>
            </w:pPr>
            <w:r>
              <w:rPr>
                <w:rFonts w:ascii="Arial" w:cs="Arial" w:eastAsia="Arial" w:hAnsi="Arial"/>
                <w:sz w:val="14"/>
                <w:szCs w:val="14"/>
                <w:color w:val="231F20"/>
              </w:rPr>
              <w:t>the meeting</w:t>
            </w:r>
          </w:p>
        </w:tc>
        <w:tc>
          <w:tcPr>
            <w:tcW w:w="1360" w:type="dxa"/>
            <w:vAlign w:val="bottom"/>
          </w:tcPr>
          <w:p>
            <w:pPr>
              <w:spacing w:after="0"/>
              <w:rPr>
                <w:sz w:val="16"/>
                <w:szCs w:val="16"/>
                <w:color w:val="auto"/>
              </w:rPr>
            </w:pPr>
          </w:p>
        </w:tc>
        <w:tc>
          <w:tcPr>
            <w:tcW w:w="258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19685</wp:posOffset>
            </wp:positionV>
            <wp:extent cx="7139940" cy="825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7139940" cy="8255"/>
                    </a:xfrm>
                    <a:prstGeom prst="rect">
                      <a:avLst/>
                    </a:prstGeom>
                    <a:noFill/>
                  </pic:spPr>
                </pic:pic>
              </a:graphicData>
            </a:graphic>
          </wp:anchor>
        </w:drawing>
      </w:r>
    </w:p>
    <w:p>
      <w:pPr>
        <w:sectPr>
          <w:pgSz w:w="11900" w:h="16838" w:orient="portrait"/>
          <w:cols w:equalWidth="0" w:num="1">
            <w:col w:w="11240"/>
          </w:cols>
          <w:pgMar w:left="320" w:top="636" w:right="339" w:bottom="1440" w:gutter="0" w:footer="0" w:header="0"/>
        </w:sectPr>
      </w:pPr>
    </w:p>
    <w:p>
      <w:pPr>
        <w:spacing w:after="0" w:line="71" w:lineRule="exact"/>
        <w:rPr>
          <w:sz w:val="20"/>
          <w:szCs w:val="20"/>
          <w:color w:val="auto"/>
        </w:rPr>
      </w:pPr>
    </w:p>
    <w:p>
      <w:pPr>
        <w:spacing w:after="0"/>
        <w:rPr>
          <w:sz w:val="20"/>
          <w:szCs w:val="20"/>
          <w:color w:val="auto"/>
        </w:rPr>
      </w:pPr>
      <w:r>
        <w:rPr>
          <w:rFonts w:ascii="Arial" w:cs="Arial" w:eastAsia="Arial" w:hAnsi="Arial"/>
          <w:sz w:val="14"/>
          <w:szCs w:val="14"/>
          <w:b w:val="1"/>
          <w:bCs w:val="1"/>
          <w:color w:val="4395D4"/>
        </w:rPr>
        <w:t>Proposal 4</w:t>
      </w:r>
    </w:p>
    <w:p>
      <w:pPr>
        <w:spacing w:after="0" w:line="12" w:lineRule="exact"/>
        <w:rPr>
          <w:sz w:val="20"/>
          <w:szCs w:val="20"/>
          <w:color w:val="auto"/>
        </w:rPr>
      </w:pPr>
    </w:p>
    <w:p>
      <w:pPr>
        <w:spacing w:after="0" w:line="246" w:lineRule="auto"/>
        <w:rPr>
          <w:sz w:val="20"/>
          <w:szCs w:val="20"/>
          <w:color w:val="auto"/>
        </w:rPr>
      </w:pPr>
      <w:r>
        <w:rPr>
          <w:rFonts w:ascii="Arial" w:cs="Arial" w:eastAsia="Arial" w:hAnsi="Arial"/>
          <w:sz w:val="14"/>
          <w:szCs w:val="14"/>
          <w:b w:val="1"/>
          <w:bCs w:val="1"/>
          <w:color w:val="455986"/>
        </w:rPr>
        <w:t>Ratification of the Bylaw Amendment permitting shareholder access to the Proxy Statement</w:t>
      </w:r>
    </w:p>
    <w:p>
      <w:pPr>
        <w:spacing w:after="0" w:line="20" w:lineRule="exact"/>
        <w:rPr>
          <w:sz w:val="20"/>
          <w:szCs w:val="20"/>
          <w:color w:val="auto"/>
        </w:rPr>
      </w:pPr>
      <w:r>
        <w:rPr>
          <w:sz w:val="20"/>
          <w:szCs w:val="20"/>
          <w:color w:val="auto"/>
        </w:rPr>
        <w:br w:type="column"/>
      </w:r>
    </w:p>
    <w:p>
      <w:pPr>
        <w:spacing w:after="0" w:line="53" w:lineRule="exact"/>
        <w:rPr>
          <w:sz w:val="20"/>
          <w:szCs w:val="20"/>
          <w:color w:val="auto"/>
        </w:rPr>
      </w:pPr>
    </w:p>
    <w:p>
      <w:pPr>
        <w:spacing w:after="0"/>
        <w:tabs>
          <w:tab w:leader="none" w:pos="3940" w:val="left"/>
          <w:tab w:leader="none" w:pos="5380" w:val="left"/>
        </w:tabs>
        <w:rPr>
          <w:sz w:val="20"/>
          <w:szCs w:val="20"/>
          <w:color w:val="auto"/>
        </w:rPr>
      </w:pPr>
      <w:r>
        <w:rPr>
          <w:rFonts w:ascii="Arial" w:cs="Arial" w:eastAsia="Arial" w:hAnsi="Arial"/>
          <w:sz w:val="14"/>
          <w:szCs w:val="14"/>
          <w:color w:val="231F20"/>
        </w:rPr>
        <w:t>Affirmative vote of a majority of the votes cast by those</w:t>
      </w:r>
      <w:r>
        <w:rPr>
          <w:sz w:val="20"/>
          <w:szCs w:val="20"/>
          <w:color w:val="auto"/>
        </w:rPr>
        <w:tab/>
      </w:r>
      <w:r>
        <w:rPr>
          <w:rFonts w:ascii="Arial" w:cs="Arial" w:eastAsia="Arial" w:hAnsi="Arial"/>
          <w:sz w:val="14"/>
          <w:szCs w:val="14"/>
          <w:color w:val="231F20"/>
        </w:rPr>
        <w:t>No effect on this</w:t>
      </w:r>
      <w:r>
        <w:rPr>
          <w:sz w:val="20"/>
          <w:szCs w:val="20"/>
          <w:color w:val="auto"/>
        </w:rPr>
        <w:tab/>
      </w:r>
      <w:r>
        <w:rPr>
          <w:rFonts w:ascii="Arial" w:cs="Arial" w:eastAsia="Arial" w:hAnsi="Arial"/>
          <w:sz w:val="14"/>
          <w:szCs w:val="14"/>
          <w:color w:val="231F20"/>
        </w:rPr>
        <w:t>No effect on this proposal</w:t>
      </w:r>
    </w:p>
    <w:p>
      <w:pPr>
        <w:spacing w:after="0" w:line="10" w:lineRule="exact"/>
        <w:rPr>
          <w:sz w:val="20"/>
          <w:szCs w:val="20"/>
          <w:color w:val="auto"/>
        </w:rPr>
      </w:pPr>
    </w:p>
    <w:p>
      <w:pPr>
        <w:ind w:right="3280"/>
        <w:spacing w:after="0" w:line="251" w:lineRule="auto"/>
        <w:rPr>
          <w:sz w:val="20"/>
          <w:szCs w:val="20"/>
          <w:color w:val="auto"/>
        </w:rPr>
      </w:pPr>
      <w:r>
        <w:rPr>
          <w:rFonts w:ascii="Arial" w:cs="Arial" w:eastAsia="Arial" w:hAnsi="Arial"/>
          <w:sz w:val="14"/>
          <w:szCs w:val="14"/>
          <w:color w:val="231F20"/>
        </w:rPr>
        <w:t>shareholders present in person or represented by proxy at proposal the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-2195195</wp:posOffset>
            </wp:positionH>
            <wp:positionV relativeFrom="paragraph">
              <wp:posOffset>112395</wp:posOffset>
            </wp:positionV>
            <wp:extent cx="7139940" cy="825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7139940" cy="8255"/>
                    </a:xfrm>
                    <a:prstGeom prst="rect">
                      <a:avLst/>
                    </a:prstGeom>
                    <a:noFill/>
                  </pic:spPr>
                </pic:pic>
              </a:graphicData>
            </a:graphic>
          </wp:anchor>
        </w:drawing>
      </w:r>
    </w:p>
    <w:p>
      <w:pPr>
        <w:spacing w:after="0" w:line="246" w:lineRule="exact"/>
        <w:rPr>
          <w:sz w:val="20"/>
          <w:szCs w:val="20"/>
          <w:color w:val="auto"/>
        </w:rPr>
      </w:pPr>
    </w:p>
    <w:p>
      <w:pPr>
        <w:sectPr>
          <w:pgSz w:w="11900" w:h="16838" w:orient="portrait"/>
          <w:cols w:equalWidth="0" w:num="2">
            <w:col w:w="2980" w:space="480"/>
            <w:col w:w="7780"/>
          </w:cols>
          <w:pgMar w:left="320" w:top="636" w:right="339" w:bottom="1440" w:gutter="0" w:footer="0" w:header="0"/>
          <w:type w:val="continuous"/>
        </w:sectPr>
      </w:pPr>
    </w:p>
    <w:p>
      <w:pPr>
        <w:ind w:left="200" w:right="80" w:hanging="198"/>
        <w:spacing w:after="0" w:line="259" w:lineRule="auto"/>
        <w:tabs>
          <w:tab w:leader="none" w:pos="200" w:val="left"/>
        </w:tabs>
        <w:numPr>
          <w:ilvl w:val="0"/>
          <w:numId w:val="154"/>
        </w:numPr>
        <w:rPr>
          <w:rFonts w:ascii="Arial" w:cs="Arial" w:eastAsia="Arial" w:hAnsi="Arial"/>
          <w:sz w:val="12"/>
          <w:szCs w:val="12"/>
          <w:color w:val="231F20"/>
        </w:rPr>
      </w:pPr>
      <w:r>
        <w:rPr>
          <w:rFonts w:ascii="Arial" w:cs="Arial" w:eastAsia="Arial" w:hAnsi="Arial"/>
          <w:sz w:val="12"/>
          <w:szCs w:val="12"/>
          <w:color w:val="231F20"/>
        </w:rPr>
        <w:t>In accordance with the Company’s current resignation policy, in an election where the only nominees are those recommended by the Board of Directors, any incumbent director who is nominated for re-election and who receives a greater number of WITHHOLD votes than FOR votes for the director’s election shall promptly tender his or her resignation to the Board of Directors.</w:t>
      </w:r>
    </w:p>
    <w:p>
      <w:pPr>
        <w:sectPr>
          <w:pgSz w:w="11900" w:h="16838" w:orient="portrait"/>
          <w:cols w:equalWidth="0" w:num="1">
            <w:col w:w="11240"/>
          </w:cols>
          <w:pgMar w:left="320" w:top="636" w:right="339" w:bottom="1440" w:gutter="0" w:footer="0" w:header="0"/>
          <w:type w:val="continuous"/>
        </w:sectPr>
      </w:pPr>
    </w:p>
    <w:p>
      <w:pPr>
        <w:spacing w:after="0" w:line="109" w:lineRule="exact"/>
        <w:rPr>
          <w:sz w:val="20"/>
          <w:szCs w:val="20"/>
          <w:color w:val="auto"/>
        </w:rPr>
      </w:pPr>
    </w:p>
    <w:p>
      <w:pPr>
        <w:spacing w:after="0" w:line="234" w:lineRule="auto"/>
        <w:rPr>
          <w:sz w:val="20"/>
          <w:szCs w:val="20"/>
          <w:color w:val="auto"/>
        </w:rPr>
      </w:pPr>
      <w:r>
        <w:rPr>
          <w:rFonts w:ascii="Arial" w:cs="Arial" w:eastAsia="Arial" w:hAnsi="Arial"/>
          <w:sz w:val="14"/>
          <w:szCs w:val="14"/>
          <w:color w:val="231F20"/>
        </w:rPr>
        <w:t>The Company’s Articles of Incorporation also provide that the affirmative vote of a majority of the votes cast by those shareholders present in person or represented by proxy at the meeting is required to take action with respect to any matter properly brought before the meeting, other than the election of directors, on the recommendation of a vote of a majority of the entire Board of Directors. The Company’s Articles of Incorporation also provide that the affirmative vote of at least three quarters of the votes which all voting shareholders, voting as a single class, are entitled to cast is required to take action with respect to any other matter properly brought before the meeting, other than the election of directors, without the recommendation of a vote of a majority of the entire Board of Directors.</w:t>
      </w:r>
    </w:p>
    <w:p>
      <w:pPr>
        <w:spacing w:after="0" w:line="111" w:lineRule="exact"/>
        <w:rPr>
          <w:sz w:val="20"/>
          <w:szCs w:val="20"/>
          <w:color w:val="auto"/>
        </w:rPr>
      </w:pPr>
    </w:p>
    <w:p>
      <w:pPr>
        <w:spacing w:after="0"/>
        <w:rPr>
          <w:sz w:val="20"/>
          <w:szCs w:val="20"/>
          <w:color w:val="auto"/>
        </w:rPr>
      </w:pPr>
      <w:r>
        <w:rPr>
          <w:rFonts w:ascii="Arial" w:cs="Arial" w:eastAsia="Arial" w:hAnsi="Arial"/>
          <w:sz w:val="17"/>
          <w:szCs w:val="17"/>
          <w:b w:val="1"/>
          <w:bCs w:val="1"/>
          <w:color w:val="4395D4"/>
        </w:rPr>
        <w:t>What is a quorum?</w:t>
      </w:r>
    </w:p>
    <w:p>
      <w:pPr>
        <w:spacing w:after="0" w:line="153" w:lineRule="exact"/>
        <w:rPr>
          <w:sz w:val="20"/>
          <w:szCs w:val="20"/>
          <w:color w:val="auto"/>
        </w:rPr>
      </w:pPr>
    </w:p>
    <w:p>
      <w:pPr>
        <w:jc w:val="both"/>
        <w:ind w:right="100"/>
        <w:spacing w:after="0" w:line="237" w:lineRule="auto"/>
        <w:rPr>
          <w:sz w:val="20"/>
          <w:szCs w:val="20"/>
          <w:color w:val="auto"/>
        </w:rPr>
      </w:pPr>
      <w:r>
        <w:rPr>
          <w:rFonts w:ascii="Arial" w:cs="Arial" w:eastAsia="Arial" w:hAnsi="Arial"/>
          <w:sz w:val="14"/>
          <w:szCs w:val="14"/>
          <w:color w:val="231F20"/>
        </w:rPr>
        <w:t>A quorum of shareholders is necessary to hold a valid meeting of shareholders for the transaction of business. The holders of a majority of the shares entitled to vote, present in person or represented by proxy at the meeting, constitute a quorum.</w:t>
      </w:r>
    </w:p>
    <w:p>
      <w:pPr>
        <w:spacing w:after="0" w:line="1" w:lineRule="exact"/>
        <w:rPr>
          <w:sz w:val="20"/>
          <w:szCs w:val="20"/>
          <w:color w:val="auto"/>
        </w:rPr>
      </w:pPr>
    </w:p>
    <w:p>
      <w:pPr>
        <w:ind w:right="240"/>
        <w:spacing w:after="0" w:line="251" w:lineRule="auto"/>
        <w:rPr>
          <w:sz w:val="20"/>
          <w:szCs w:val="20"/>
          <w:color w:val="auto"/>
        </w:rPr>
      </w:pPr>
      <w:r>
        <w:rPr>
          <w:rFonts w:ascii="Arial" w:cs="Arial" w:eastAsia="Arial" w:hAnsi="Arial"/>
          <w:sz w:val="14"/>
          <w:szCs w:val="14"/>
          <w:color w:val="231F20"/>
        </w:rPr>
        <w:t>Abstentions and broker non-votes are counted as present and entitled to vote for purposes of determining a quorum.</w:t>
      </w:r>
    </w:p>
    <w:p>
      <w:pPr>
        <w:spacing w:after="0" w:line="101" w:lineRule="exact"/>
        <w:rPr>
          <w:sz w:val="20"/>
          <w:szCs w:val="20"/>
          <w:color w:val="auto"/>
        </w:rPr>
      </w:pPr>
    </w:p>
    <w:p>
      <w:pPr>
        <w:spacing w:after="0"/>
        <w:rPr>
          <w:sz w:val="20"/>
          <w:szCs w:val="20"/>
          <w:color w:val="auto"/>
        </w:rPr>
      </w:pPr>
      <w:r>
        <w:rPr>
          <w:rFonts w:ascii="Arial" w:cs="Arial" w:eastAsia="Arial" w:hAnsi="Arial"/>
          <w:sz w:val="17"/>
          <w:szCs w:val="17"/>
          <w:b w:val="1"/>
          <w:bCs w:val="1"/>
          <w:color w:val="4395D4"/>
        </w:rPr>
        <w:t>What is a broker non-vote?</w:t>
      </w:r>
    </w:p>
    <w:p>
      <w:pPr>
        <w:spacing w:after="0" w:line="153" w:lineRule="exact"/>
        <w:rPr>
          <w:sz w:val="20"/>
          <w:szCs w:val="20"/>
          <w:color w:val="auto"/>
        </w:rPr>
      </w:pPr>
    </w:p>
    <w:p>
      <w:pPr>
        <w:spacing w:after="0" w:line="245" w:lineRule="auto"/>
        <w:rPr>
          <w:sz w:val="20"/>
          <w:szCs w:val="20"/>
          <w:color w:val="auto"/>
        </w:rPr>
      </w:pPr>
      <w:r>
        <w:rPr>
          <w:rFonts w:ascii="Arial" w:cs="Arial" w:eastAsia="Arial" w:hAnsi="Arial"/>
          <w:sz w:val="14"/>
          <w:szCs w:val="14"/>
          <w:color w:val="231F20"/>
        </w:rPr>
        <w:t>A broker non-vote occurs when a bank, broker or other holder of record holding shares for a beneficial owner does not vote on a particular proposal because that holder does not have discretionary voting power under NYSE rules for that particular item and has not received instructions from the beneficial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511810</wp:posOffset>
            </wp:positionV>
            <wp:extent cx="7139940" cy="825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713994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89" w:lineRule="exact"/>
        <w:rPr>
          <w:sz w:val="20"/>
          <w:szCs w:val="20"/>
          <w:color w:val="auto"/>
        </w:rPr>
      </w:pPr>
    </w:p>
    <w:p>
      <w:pPr>
        <w:ind w:right="60"/>
        <w:spacing w:after="0" w:line="237" w:lineRule="auto"/>
        <w:rPr>
          <w:sz w:val="20"/>
          <w:szCs w:val="20"/>
          <w:color w:val="auto"/>
        </w:rPr>
      </w:pPr>
      <w:r>
        <w:rPr>
          <w:rFonts w:ascii="Arial" w:cs="Arial" w:eastAsia="Arial" w:hAnsi="Arial"/>
          <w:sz w:val="14"/>
          <w:szCs w:val="14"/>
          <w:color w:val="231F20"/>
        </w:rPr>
        <w:t xml:space="preserve">owner. If you are a beneficial owner, your bank, broker or other holder of record is permitted under NYSE rules to vote your shares on the ratification of PricewaterhouseCoopers LLP as our independent registered public accounting firm for the 2021 fiscal year, even if the record holder does not receive voting instructions from you. The record holder may not vote on the election of directors, the advisory vote on the compensation paid to the Company’s named executive officers for 2020, or the approval of the Bylaw Amendment. </w:t>
      </w:r>
      <w:r>
        <w:rPr>
          <w:rFonts w:ascii="Arial" w:cs="Arial" w:eastAsia="Arial" w:hAnsi="Arial"/>
          <w:sz w:val="14"/>
          <w:szCs w:val="14"/>
          <w:b w:val="1"/>
          <w:bCs w:val="1"/>
          <w:color w:val="231F20"/>
        </w:rPr>
        <w:t>Without your voting</w:t>
      </w:r>
      <w:r>
        <w:rPr>
          <w:rFonts w:ascii="Arial" w:cs="Arial" w:eastAsia="Arial" w:hAnsi="Arial"/>
          <w:sz w:val="14"/>
          <w:szCs w:val="14"/>
          <w:color w:val="231F20"/>
        </w:rPr>
        <w:t xml:space="preserve"> </w:t>
      </w:r>
      <w:r>
        <w:rPr>
          <w:rFonts w:ascii="Arial" w:cs="Arial" w:eastAsia="Arial" w:hAnsi="Arial"/>
          <w:sz w:val="14"/>
          <w:szCs w:val="14"/>
          <w:b w:val="1"/>
          <w:bCs w:val="1"/>
          <w:color w:val="231F20"/>
        </w:rPr>
        <w:t>instructions on these matters, a broker non-vote will occur.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81280</wp:posOffset>
            </wp:positionV>
            <wp:extent cx="2917825" cy="107759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2917825" cy="10775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ind w:right="140"/>
        <w:spacing w:after="0" w:line="289" w:lineRule="auto"/>
        <w:rPr>
          <w:sz w:val="20"/>
          <w:szCs w:val="20"/>
          <w:color w:val="auto"/>
        </w:rPr>
      </w:pPr>
      <w:r>
        <w:rPr>
          <w:rFonts w:ascii="Arial" w:cs="Arial" w:eastAsia="Arial" w:hAnsi="Arial"/>
          <w:sz w:val="17"/>
          <w:szCs w:val="17"/>
          <w:b w:val="1"/>
          <w:bCs w:val="1"/>
          <w:color w:val="4395D4"/>
        </w:rPr>
        <w:t>Information About Proposals Under Consideration at this Annual Meeting</w:t>
      </w:r>
    </w:p>
    <w:p>
      <w:pPr>
        <w:spacing w:after="0" w:line="67" w:lineRule="exact"/>
        <w:rPr>
          <w:sz w:val="20"/>
          <w:szCs w:val="20"/>
          <w:color w:val="auto"/>
        </w:rPr>
      </w:pPr>
    </w:p>
    <w:p>
      <w:pPr>
        <w:spacing w:after="0"/>
        <w:rPr>
          <w:sz w:val="20"/>
          <w:szCs w:val="20"/>
          <w:color w:val="auto"/>
        </w:rPr>
      </w:pPr>
      <w:r>
        <w:rPr>
          <w:rFonts w:ascii="Arial" w:cs="Arial" w:eastAsia="Arial" w:hAnsi="Arial"/>
          <w:sz w:val="14"/>
          <w:szCs w:val="14"/>
          <w:b w:val="1"/>
          <w:bCs w:val="1"/>
          <w:color w:val="455986"/>
        </w:rPr>
        <w:t>How are directors elected?</w:t>
      </w:r>
    </w:p>
    <w:p>
      <w:pPr>
        <w:spacing w:after="0" w:line="12" w:lineRule="exact"/>
        <w:rPr>
          <w:sz w:val="20"/>
          <w:szCs w:val="20"/>
          <w:color w:val="auto"/>
        </w:rPr>
      </w:pPr>
    </w:p>
    <w:p>
      <w:pPr>
        <w:ind w:right="120"/>
        <w:spacing w:after="0" w:line="237" w:lineRule="auto"/>
        <w:rPr>
          <w:sz w:val="20"/>
          <w:szCs w:val="20"/>
          <w:color w:val="auto"/>
        </w:rPr>
      </w:pPr>
      <w:r>
        <w:rPr>
          <w:rFonts w:ascii="Arial" w:cs="Arial" w:eastAsia="Arial" w:hAnsi="Arial"/>
          <w:sz w:val="14"/>
          <w:szCs w:val="14"/>
          <w:color w:val="231F20"/>
        </w:rPr>
        <w:t>Under the Company’s current Articles of Incorporation and Bylaws, directors are elected by a plurality of the votes cast at the meeting. A description of the Company’s resignation policy is included in the question below. Votes may be cast FOR or WITHHOLD for each nominee. The director nominees</w:t>
      </w:r>
    </w:p>
    <w:p>
      <w:pPr>
        <w:spacing w:after="0" w:line="200" w:lineRule="exact"/>
        <w:rPr>
          <w:sz w:val="20"/>
          <w:szCs w:val="20"/>
          <w:color w:val="auto"/>
        </w:rPr>
      </w:pPr>
    </w:p>
    <w:p>
      <w:pPr>
        <w:sectPr>
          <w:pgSz w:w="11900" w:h="16838" w:orient="portrait"/>
          <w:cols w:equalWidth="0" w:num="2">
            <w:col w:w="5400" w:space="460"/>
            <w:col w:w="5380"/>
          </w:cols>
          <w:pgMar w:left="320" w:top="636" w:right="339" w:bottom="1440" w:gutter="0" w:footer="0" w:header="0"/>
          <w:type w:val="continuous"/>
        </w:sectPr>
      </w:pPr>
    </w:p>
    <w:p>
      <w:pPr>
        <w:spacing w:after="0" w:line="27" w:lineRule="exact"/>
        <w:rPr>
          <w:sz w:val="20"/>
          <w:szCs w:val="20"/>
          <w:color w:val="auto"/>
        </w:rPr>
      </w:pPr>
    </w:p>
    <w:p>
      <w:pPr>
        <w:ind w:left="300" w:hanging="298"/>
        <w:spacing w:after="0"/>
        <w:tabs>
          <w:tab w:leader="none" w:pos="300" w:val="left"/>
        </w:tabs>
        <w:numPr>
          <w:ilvl w:val="0"/>
          <w:numId w:val="155"/>
        </w:numPr>
        <w:rPr>
          <w:rFonts w:ascii="Arial" w:cs="Arial" w:eastAsia="Arial" w:hAnsi="Arial"/>
          <w:sz w:val="14"/>
          <w:szCs w:val="14"/>
          <w:color w:val="455986"/>
        </w:rPr>
      </w:pPr>
      <w:r>
        <w:rPr>
          <w:rFonts w:ascii="Arial" w:cs="Arial" w:eastAsia="Arial" w:hAnsi="Arial"/>
          <w:sz w:val="11"/>
          <w:szCs w:val="11"/>
          <w:color w:val="4395D4"/>
        </w:rPr>
        <w:t xml:space="preserve">ESSENTIAL UTILITIES, INC. </w:t>
      </w:r>
      <w:r>
        <w:rPr>
          <w:rFonts w:ascii="Arial" w:cs="Arial" w:eastAsia="Arial" w:hAnsi="Arial"/>
          <w:sz w:val="11"/>
          <w:szCs w:val="11"/>
          <w:color w:val="455986"/>
        </w:rPr>
        <w:t>2021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324485</wp:posOffset>
            </wp:positionV>
            <wp:extent cx="7139940" cy="24130"/>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7139940" cy="24130"/>
                    </a:xfrm>
                    <a:prstGeom prst="rect">
                      <a:avLst/>
                    </a:prstGeom>
                    <a:noFill/>
                  </pic:spPr>
                </pic:pic>
              </a:graphicData>
            </a:graphic>
          </wp:anchor>
        </w:drawing>
      </w:r>
    </w:p>
    <w:p>
      <w:pPr>
        <w:sectPr>
          <w:pgSz w:w="11900" w:h="16838" w:orient="portrait"/>
          <w:cols w:equalWidth="0" w:num="1">
            <w:col w:w="11240"/>
          </w:cols>
          <w:pgMar w:left="320" w:top="636" w:right="339" w:bottom="1440" w:gutter="0" w:footer="0" w:header="0"/>
          <w:type w:val="continuous"/>
        </w:sectPr>
      </w:pPr>
    </w:p>
    <w:bookmarkStart w:id="91" w:name="page92"/>
    <w:bookmarkEnd w:id="91"/>
    <w:p>
      <w:pPr>
        <w:spacing w:after="0"/>
        <w:rPr>
          <w:sz w:val="20"/>
          <w:szCs w:val="20"/>
          <w:color w:val="auto"/>
        </w:rPr>
      </w:pPr>
      <w:r>
        <w:rPr>
          <w:rFonts w:ascii="Arial" w:cs="Arial" w:eastAsia="Arial" w:hAnsi="Arial"/>
          <w:sz w:val="12"/>
          <w:szCs w:val="12"/>
          <w:b w:val="1"/>
          <w:bCs w:val="1"/>
          <w:color w:val="455986"/>
        </w:rPr>
        <w:t>Annual Meeting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42545</wp:posOffset>
            </wp:positionV>
            <wp:extent cx="7139940" cy="825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7139940" cy="8255"/>
                    </a:xfrm>
                    <a:prstGeom prst="rect">
                      <a:avLst/>
                    </a:prstGeom>
                    <a:noFill/>
                  </pic:spPr>
                </pic:pic>
              </a:graphicData>
            </a:graphic>
          </wp:anchor>
        </w:drawing>
      </w:r>
    </w:p>
    <w:p>
      <w:pPr>
        <w:sectPr>
          <w:pgSz w:w="11900" w:h="16838" w:orient="portrait"/>
          <w:cols w:equalWidth="0" w:num="1">
            <w:col w:w="11240"/>
          </w:cols>
          <w:pgMar w:left="320" w:top="636" w:right="339" w:bottom="1440" w:gutter="0" w:footer="0" w:header="0"/>
        </w:sectPr>
      </w:pPr>
    </w:p>
    <w:p>
      <w:pPr>
        <w:spacing w:after="0" w:line="119" w:lineRule="exact"/>
        <w:rPr>
          <w:sz w:val="20"/>
          <w:szCs w:val="20"/>
          <w:color w:val="auto"/>
        </w:rPr>
      </w:pPr>
    </w:p>
    <w:p>
      <w:pPr>
        <w:spacing w:after="0"/>
        <w:rPr>
          <w:sz w:val="20"/>
          <w:szCs w:val="20"/>
          <w:color w:val="auto"/>
        </w:rPr>
      </w:pPr>
      <w:r>
        <w:rPr>
          <w:rFonts w:ascii="Arial" w:cs="Arial" w:eastAsia="Arial" w:hAnsi="Arial"/>
          <w:sz w:val="14"/>
          <w:szCs w:val="14"/>
          <w:color w:val="231F20"/>
        </w:rPr>
        <w:t>Questions and Answers About the 2021 Annual Meeting</w:t>
      </w:r>
    </w:p>
    <w:p>
      <w:pPr>
        <w:spacing w:after="0" w:line="174" w:lineRule="exact"/>
        <w:rPr>
          <w:sz w:val="20"/>
          <w:szCs w:val="20"/>
          <w:color w:val="auto"/>
        </w:rPr>
      </w:pPr>
    </w:p>
    <w:p>
      <w:pPr>
        <w:ind w:right="40"/>
        <w:spacing w:after="0" w:line="245" w:lineRule="auto"/>
        <w:rPr>
          <w:sz w:val="20"/>
          <w:szCs w:val="20"/>
          <w:color w:val="auto"/>
        </w:rPr>
      </w:pPr>
      <w:r>
        <w:rPr>
          <w:rFonts w:ascii="Arial" w:cs="Arial" w:eastAsia="Arial" w:hAnsi="Arial"/>
          <w:sz w:val="14"/>
          <w:szCs w:val="14"/>
          <w:color w:val="231F20"/>
        </w:rPr>
        <w:t>who receive the highest number of votes up to the number of directors to be elected will be elected at the meeting. All of the directors elected at the 2021 Annual Meeting will be elected for one year terms expiring at the 2022 Annual Meeting of Shareholders and until their successors are duly elected and qualified.</w:t>
      </w:r>
    </w:p>
    <w:p>
      <w:pPr>
        <w:spacing w:after="0" w:line="106" w:lineRule="exact"/>
        <w:rPr>
          <w:sz w:val="20"/>
          <w:szCs w:val="20"/>
          <w:color w:val="auto"/>
        </w:rPr>
      </w:pPr>
    </w:p>
    <w:p>
      <w:pPr>
        <w:spacing w:after="0" w:line="243" w:lineRule="auto"/>
        <w:rPr>
          <w:sz w:val="20"/>
          <w:szCs w:val="20"/>
          <w:color w:val="auto"/>
        </w:rPr>
      </w:pPr>
      <w:r>
        <w:rPr>
          <w:rFonts w:ascii="Arial" w:cs="Arial" w:eastAsia="Arial" w:hAnsi="Arial"/>
          <w:sz w:val="14"/>
          <w:szCs w:val="14"/>
          <w:b w:val="1"/>
          <w:bCs w:val="1"/>
          <w:color w:val="455986"/>
        </w:rPr>
        <w:t>What if an incumbent director receives more WITHHOLD votes than FOR votes in an uncontested election?</w:t>
      </w:r>
    </w:p>
    <w:p>
      <w:pPr>
        <w:ind w:right="40"/>
        <w:spacing w:after="0"/>
        <w:rPr>
          <w:sz w:val="20"/>
          <w:szCs w:val="20"/>
          <w:color w:val="auto"/>
        </w:rPr>
      </w:pPr>
      <w:r>
        <w:rPr>
          <w:rFonts w:ascii="Arial" w:cs="Arial" w:eastAsia="Arial" w:hAnsi="Arial"/>
          <w:sz w:val="14"/>
          <w:szCs w:val="14"/>
          <w:color w:val="231F20"/>
        </w:rPr>
        <w:t>The Board of Directors adheres to a resignation policy for the election of directors in uncontested elections. Under this policy, in an election where the only nominees are those recommended by the Board of Directors, any incumbent director who is nominated for re-election and who receives a greater number of WITHHOLD votes than FOR votes for the director’s election must promptly tender his or her resignation to the Board of Directors. The Board will evaluate the relevant facts and circumstances in connection with such director’s resignation, giving due consideration to the best interests of the Company and its shareholders. Within 90 days after the election, the independent directors must make a decision on whether to accept or reject the tendered resignation, or whether other action should be taken. The Board of Directors will promptly disclose publicly its decision and the reasons for its decision.</w:t>
      </w:r>
    </w:p>
    <w:p>
      <w:pPr>
        <w:spacing w:after="0" w:line="202" w:lineRule="exact"/>
        <w:rPr>
          <w:sz w:val="20"/>
          <w:szCs w:val="20"/>
          <w:color w:val="auto"/>
        </w:rPr>
      </w:pPr>
    </w:p>
    <w:p>
      <w:pPr>
        <w:ind w:right="20"/>
        <w:spacing w:after="0" w:line="236" w:lineRule="auto"/>
        <w:rPr>
          <w:sz w:val="20"/>
          <w:szCs w:val="20"/>
          <w:color w:val="auto"/>
        </w:rPr>
      </w:pPr>
      <w:r>
        <w:rPr>
          <w:rFonts w:ascii="Arial" w:cs="Arial" w:eastAsia="Arial" w:hAnsi="Arial"/>
          <w:sz w:val="14"/>
          <w:szCs w:val="14"/>
          <w:color w:val="231F20"/>
        </w:rPr>
        <w:t>The Board of Directors believes that this process enhances accountability to shareholders and responsiveness to shareholder votes, while allowing the Board of Directors appropriate discretion in considering whether a particular director’s resignation would be in the best interests of the Company and its shareholders. The Company’s resignation policy is set forth in the Company’s Corporate Governance Guidelines. Copies of the Corporate Governance Guidelines can be obtained free of charge from the Corporate Governance portion of the Investor Relations section of the Company’s website: www.essential.co.</w:t>
      </w:r>
    </w:p>
    <w:p>
      <w:pPr>
        <w:spacing w:after="0" w:line="110" w:lineRule="exact"/>
        <w:rPr>
          <w:sz w:val="20"/>
          <w:szCs w:val="20"/>
          <w:color w:val="auto"/>
        </w:rPr>
      </w:pPr>
    </w:p>
    <w:p>
      <w:pPr>
        <w:ind w:right="140"/>
        <w:spacing w:after="0" w:line="243" w:lineRule="auto"/>
        <w:rPr>
          <w:sz w:val="20"/>
          <w:szCs w:val="20"/>
          <w:color w:val="auto"/>
        </w:rPr>
      </w:pPr>
      <w:r>
        <w:rPr>
          <w:rFonts w:ascii="Arial" w:cs="Arial" w:eastAsia="Arial" w:hAnsi="Arial"/>
          <w:sz w:val="14"/>
          <w:szCs w:val="14"/>
          <w:b w:val="1"/>
          <w:bCs w:val="1"/>
          <w:color w:val="455986"/>
        </w:rPr>
        <w:t>Why are the shareholders asked to vote on the ratification of the selection of the independent registered public accounting firm?</w:t>
      </w:r>
    </w:p>
    <w:p>
      <w:pPr>
        <w:ind w:right="20"/>
        <w:spacing w:after="0" w:line="234" w:lineRule="auto"/>
        <w:rPr>
          <w:sz w:val="20"/>
          <w:szCs w:val="20"/>
          <w:color w:val="auto"/>
        </w:rPr>
      </w:pPr>
      <w:r>
        <w:rPr>
          <w:rFonts w:ascii="Arial" w:cs="Arial" w:eastAsia="Arial" w:hAnsi="Arial"/>
          <w:sz w:val="14"/>
          <w:szCs w:val="14"/>
          <w:color w:val="231F20"/>
        </w:rPr>
        <w:t>The Audit Committee of our Board of Directors carefully considers the qualifications of the independent auditors before engaging them to conduct an audit and has the oversight authority with respect to the performance of the independent auditors. The Board of Directors thinks it is important to provide an opportunity for the shareholders to voice any concern with respect to the independent auditors selected, which is the reason for this ratification vote.</w:t>
      </w:r>
    </w:p>
    <w:p>
      <w:pPr>
        <w:spacing w:after="0" w:line="110" w:lineRule="exact"/>
        <w:rPr>
          <w:sz w:val="20"/>
          <w:szCs w:val="20"/>
          <w:color w:val="auto"/>
        </w:rPr>
      </w:pPr>
    </w:p>
    <w:p>
      <w:pPr>
        <w:ind w:right="440"/>
        <w:spacing w:after="0" w:line="239" w:lineRule="auto"/>
        <w:rPr>
          <w:sz w:val="20"/>
          <w:szCs w:val="20"/>
          <w:color w:val="auto"/>
        </w:rPr>
      </w:pPr>
      <w:r>
        <w:rPr>
          <w:rFonts w:ascii="Arial" w:cs="Arial" w:eastAsia="Arial" w:hAnsi="Arial"/>
          <w:sz w:val="14"/>
          <w:szCs w:val="14"/>
          <w:b w:val="1"/>
          <w:bCs w:val="1"/>
          <w:color w:val="455986"/>
        </w:rPr>
        <w:t xml:space="preserve">What is the impact of the advisory vote on the compensation paid to the Company’s named executive officers, referred to as Say on Pay vote? </w:t>
      </w:r>
      <w:r>
        <w:rPr>
          <w:rFonts w:ascii="Arial" w:cs="Arial" w:eastAsia="Arial" w:hAnsi="Arial"/>
          <w:sz w:val="14"/>
          <w:szCs w:val="14"/>
          <w:color w:val="231F20"/>
        </w:rPr>
        <w:t>The Board of Directors and the Executive Compensation Committee, which is comprised of independent directors, value the opinions of the Company’s shareholders and expect to take into account the outcome of the non-binding advisory vote when considering future executive compensation decisions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643890</wp:posOffset>
            </wp:positionV>
            <wp:extent cx="7139940" cy="825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713994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34" w:lineRule="exact"/>
        <w:rPr>
          <w:sz w:val="20"/>
          <w:szCs w:val="20"/>
          <w:color w:val="auto"/>
        </w:rPr>
      </w:pPr>
    </w:p>
    <w:p>
      <w:pPr>
        <w:ind w:right="280"/>
        <w:spacing w:after="0" w:line="278" w:lineRule="auto"/>
        <w:rPr>
          <w:sz w:val="20"/>
          <w:szCs w:val="20"/>
          <w:color w:val="auto"/>
        </w:rPr>
      </w:pPr>
      <w:r>
        <w:rPr>
          <w:rFonts w:ascii="Arial" w:cs="Arial" w:eastAsia="Arial" w:hAnsi="Arial"/>
          <w:sz w:val="14"/>
          <w:szCs w:val="14"/>
          <w:color w:val="231F20"/>
        </w:rPr>
        <w:t>to the extent they can determine the cause or causes of any significant negative voting results.</w:t>
      </w:r>
    </w:p>
    <w:p>
      <w:pPr>
        <w:spacing w:after="0" w:line="84" w:lineRule="exact"/>
        <w:rPr>
          <w:sz w:val="20"/>
          <w:szCs w:val="20"/>
          <w:color w:val="auto"/>
        </w:rPr>
      </w:pPr>
    </w:p>
    <w:p>
      <w:pPr>
        <w:ind w:right="840"/>
        <w:spacing w:after="0" w:line="243" w:lineRule="auto"/>
        <w:rPr>
          <w:sz w:val="20"/>
          <w:szCs w:val="20"/>
          <w:color w:val="auto"/>
        </w:rPr>
      </w:pPr>
      <w:r>
        <w:rPr>
          <w:rFonts w:ascii="Arial" w:cs="Arial" w:eastAsia="Arial" w:hAnsi="Arial"/>
          <w:sz w:val="14"/>
          <w:szCs w:val="14"/>
          <w:b w:val="1"/>
          <w:bCs w:val="1"/>
          <w:color w:val="455986"/>
        </w:rPr>
        <w:t>What if the amendment to the Company’s Bylaws is not ratified by shareholders?</w:t>
      </w:r>
    </w:p>
    <w:p>
      <w:pPr>
        <w:ind w:right="80"/>
        <w:spacing w:after="0" w:line="235" w:lineRule="auto"/>
        <w:rPr>
          <w:sz w:val="20"/>
          <w:szCs w:val="20"/>
          <w:color w:val="auto"/>
        </w:rPr>
      </w:pPr>
      <w:r>
        <w:rPr>
          <w:rFonts w:ascii="Arial" w:cs="Arial" w:eastAsia="Arial" w:hAnsi="Arial"/>
          <w:sz w:val="14"/>
          <w:szCs w:val="14"/>
          <w:color w:val="231F20"/>
        </w:rPr>
        <w:t>Under Pennsylvania law, the Board of Directors had the authority to implement proxy access by amending the Bylaws, which was done in December 2020. If the shareholders do not ratify the addition of the proxy access bylaw to our Bylaws, the Board of Directors will consider whether to make any changes to the Bylaws as a result of that vote.</w:t>
      </w:r>
    </w:p>
    <w:p>
      <w:pPr>
        <w:spacing w:after="0" w:line="109" w:lineRule="exact"/>
        <w:rPr>
          <w:sz w:val="20"/>
          <w:szCs w:val="20"/>
          <w:color w:val="auto"/>
        </w:rPr>
      </w:pPr>
    </w:p>
    <w:p>
      <w:pPr>
        <w:ind w:right="60"/>
        <w:spacing w:after="0" w:line="289" w:lineRule="auto"/>
        <w:rPr>
          <w:sz w:val="20"/>
          <w:szCs w:val="20"/>
          <w:color w:val="auto"/>
        </w:rPr>
      </w:pPr>
      <w:r>
        <w:rPr>
          <w:rFonts w:ascii="Arial" w:cs="Arial" w:eastAsia="Arial" w:hAnsi="Arial"/>
          <w:sz w:val="17"/>
          <w:szCs w:val="17"/>
          <w:b w:val="1"/>
          <w:bCs w:val="1"/>
          <w:color w:val="4395D4"/>
        </w:rPr>
        <w:t>Process for Submitting Shareholder Proposals at the Next Annual Meeting</w:t>
      </w:r>
    </w:p>
    <w:p>
      <w:pPr>
        <w:spacing w:after="0" w:line="67" w:lineRule="exact"/>
        <w:rPr>
          <w:sz w:val="20"/>
          <w:szCs w:val="20"/>
          <w:color w:val="auto"/>
        </w:rPr>
      </w:pPr>
    </w:p>
    <w:p>
      <w:pPr>
        <w:ind w:right="960"/>
        <w:spacing w:after="0" w:line="243" w:lineRule="auto"/>
        <w:rPr>
          <w:sz w:val="20"/>
          <w:szCs w:val="20"/>
          <w:color w:val="auto"/>
        </w:rPr>
      </w:pPr>
      <w:r>
        <w:rPr>
          <w:rFonts w:ascii="Arial" w:cs="Arial" w:eastAsia="Arial" w:hAnsi="Arial"/>
          <w:sz w:val="14"/>
          <w:szCs w:val="14"/>
          <w:b w:val="1"/>
          <w:bCs w:val="1"/>
          <w:color w:val="455986"/>
        </w:rPr>
        <w:t>Who can submit a shareholder proposal at an annual meeting of shareholders?</w:t>
      </w:r>
    </w:p>
    <w:p>
      <w:pPr>
        <w:ind w:right="140"/>
        <w:spacing w:after="0" w:line="235" w:lineRule="auto"/>
        <w:rPr>
          <w:sz w:val="20"/>
          <w:szCs w:val="20"/>
          <w:color w:val="auto"/>
        </w:rPr>
      </w:pPr>
      <w:r>
        <w:rPr>
          <w:rFonts w:ascii="Arial" w:cs="Arial" w:eastAsia="Arial" w:hAnsi="Arial"/>
          <w:sz w:val="14"/>
          <w:szCs w:val="14"/>
          <w:color w:val="231F20"/>
        </w:rPr>
        <w:t>Shareholders may submit proposals, which are proper subjects for inclusion in the Company’s proxy materials, which are this proxy statement and the form of proxy attached, for consideration at an Annual Meeting of Shareholders, by following the procedures prescribed by Rule 14I(e) of the Securities Exchange Act of 1934, as amended.</w:t>
      </w:r>
    </w:p>
    <w:p>
      <w:pPr>
        <w:spacing w:after="0" w:line="111" w:lineRule="exact"/>
        <w:rPr>
          <w:sz w:val="20"/>
          <w:szCs w:val="20"/>
          <w:color w:val="auto"/>
        </w:rPr>
      </w:pPr>
    </w:p>
    <w:p>
      <w:pPr>
        <w:ind w:right="40"/>
        <w:spacing w:after="0" w:line="243" w:lineRule="auto"/>
        <w:rPr>
          <w:sz w:val="20"/>
          <w:szCs w:val="20"/>
          <w:color w:val="auto"/>
        </w:rPr>
      </w:pPr>
      <w:r>
        <w:rPr>
          <w:rFonts w:ascii="Arial" w:cs="Arial" w:eastAsia="Arial" w:hAnsi="Arial"/>
          <w:sz w:val="14"/>
          <w:szCs w:val="14"/>
          <w:b w:val="1"/>
          <w:bCs w:val="1"/>
          <w:color w:val="455986"/>
        </w:rPr>
        <w:t>What is the deadline for submitting shareholder proposals for inclusion in the Company’s proxy materials for the next annual meeting?</w:t>
      </w:r>
    </w:p>
    <w:p>
      <w:pPr>
        <w:ind w:right="260"/>
        <w:spacing w:after="0"/>
        <w:rPr>
          <w:sz w:val="20"/>
          <w:szCs w:val="20"/>
          <w:color w:val="auto"/>
        </w:rPr>
      </w:pPr>
      <w:r>
        <w:rPr>
          <w:rFonts w:ascii="Arial" w:cs="Arial" w:eastAsia="Arial" w:hAnsi="Arial"/>
          <w:sz w:val="14"/>
          <w:szCs w:val="14"/>
          <w:color w:val="231F20"/>
        </w:rPr>
        <w:t>To be eligible for inclusion in the Company’s proxy materials relating to the 2022 Annual Meeting of Shareholders, proposals must be submitted in writing and received by the Company at the address below no later than December 1, 2021.</w:t>
      </w:r>
    </w:p>
    <w:p>
      <w:pPr>
        <w:spacing w:after="0" w:line="110" w:lineRule="exact"/>
        <w:rPr>
          <w:sz w:val="20"/>
          <w:szCs w:val="20"/>
          <w:color w:val="auto"/>
        </w:rPr>
      </w:pPr>
    </w:p>
    <w:p>
      <w:pPr>
        <w:ind w:right="380"/>
        <w:spacing w:after="0" w:line="238" w:lineRule="auto"/>
        <w:rPr>
          <w:sz w:val="20"/>
          <w:szCs w:val="20"/>
          <w:color w:val="auto"/>
        </w:rPr>
      </w:pPr>
      <w:r>
        <w:rPr>
          <w:rFonts w:ascii="Arial" w:cs="Arial" w:eastAsia="Arial" w:hAnsi="Arial"/>
          <w:sz w:val="14"/>
          <w:szCs w:val="14"/>
          <w:b w:val="1"/>
          <w:bCs w:val="1"/>
          <w:color w:val="455986"/>
        </w:rPr>
        <w:t>What is the deadline for proposing business to be considered at the next annual meeting, but not to have the proposed business included in the Company’s proxy materials?</w:t>
      </w:r>
    </w:p>
    <w:p>
      <w:pPr>
        <w:spacing w:after="0" w:line="231" w:lineRule="auto"/>
        <w:rPr>
          <w:sz w:val="20"/>
          <w:szCs w:val="20"/>
          <w:color w:val="auto"/>
        </w:rPr>
      </w:pPr>
      <w:r>
        <w:rPr>
          <w:rFonts w:ascii="Arial" w:cs="Arial" w:eastAsia="Arial" w:hAnsi="Arial"/>
          <w:sz w:val="14"/>
          <w:szCs w:val="14"/>
          <w:color w:val="231F20"/>
        </w:rPr>
        <w:t>A shareholder of the Company may wish to propose business to be considered at an Annual Meeting of Shareholders, but not to have the proposed business included in the Company’s proxy materials relating to that meeting. Section 3.17 of the Company’s Bylaws requires that the Company receive written notice of business that a shareholder wishes to present for consideration at the 2022 Annual Meeting of Shareholders (other than matters included in the Company’s proxy materials) not earlier than January 27, 2022 or later than February 25, 2022. The notice must meet certain other requirements set forth in the Company’s Bylaws. Copies of the Company’s Bylaws can be obtained by submitting a written request to the Secretary of the Company.</w:t>
      </w:r>
    </w:p>
    <w:p>
      <w:pPr>
        <w:spacing w:after="0" w:line="117" w:lineRule="exact"/>
        <w:rPr>
          <w:sz w:val="20"/>
          <w:szCs w:val="20"/>
          <w:color w:val="auto"/>
        </w:rPr>
      </w:pPr>
    </w:p>
    <w:p>
      <w:pPr>
        <w:ind w:right="160"/>
        <w:spacing w:after="0" w:line="278" w:lineRule="auto"/>
        <w:rPr>
          <w:sz w:val="20"/>
          <w:szCs w:val="20"/>
          <w:color w:val="auto"/>
        </w:rPr>
      </w:pPr>
      <w:r>
        <w:rPr>
          <w:rFonts w:ascii="Arial" w:cs="Arial" w:eastAsia="Arial" w:hAnsi="Arial"/>
          <w:sz w:val="14"/>
          <w:szCs w:val="14"/>
          <w:color w:val="231F20"/>
        </w:rPr>
        <w:t>Proposals, notices and requests for a copy of our Bylaws should be addressed as follows:</w:t>
      </w:r>
    </w:p>
    <w:p>
      <w:pPr>
        <w:spacing w:after="0" w:line="86" w:lineRule="exact"/>
        <w:rPr>
          <w:sz w:val="20"/>
          <w:szCs w:val="20"/>
          <w:color w:val="auto"/>
        </w:rPr>
      </w:pPr>
    </w:p>
    <w:p>
      <w:pPr>
        <w:spacing w:after="0"/>
        <w:rPr>
          <w:sz w:val="20"/>
          <w:szCs w:val="20"/>
          <w:color w:val="auto"/>
        </w:rPr>
      </w:pPr>
      <w:r>
        <w:rPr>
          <w:rFonts w:ascii="Arial" w:cs="Arial" w:eastAsia="Arial" w:hAnsi="Arial"/>
          <w:sz w:val="14"/>
          <w:szCs w:val="14"/>
          <w:color w:val="231F20"/>
        </w:rPr>
        <w:t>Corporate Secretary</w:t>
      </w:r>
    </w:p>
    <w:p>
      <w:pPr>
        <w:spacing w:after="0" w:line="2" w:lineRule="exact"/>
        <w:rPr>
          <w:sz w:val="20"/>
          <w:szCs w:val="20"/>
          <w:color w:val="auto"/>
        </w:rPr>
      </w:pPr>
    </w:p>
    <w:p>
      <w:pPr>
        <w:spacing w:after="0"/>
        <w:rPr>
          <w:sz w:val="20"/>
          <w:szCs w:val="20"/>
          <w:color w:val="auto"/>
        </w:rPr>
      </w:pPr>
      <w:r>
        <w:rPr>
          <w:rFonts w:ascii="Arial" w:cs="Arial" w:eastAsia="Arial" w:hAnsi="Arial"/>
          <w:sz w:val="14"/>
          <w:szCs w:val="14"/>
          <w:color w:val="231F20"/>
        </w:rPr>
        <w:t>Essential Utilities, Inc.</w:t>
      </w:r>
    </w:p>
    <w:p>
      <w:pPr>
        <w:spacing w:after="0" w:line="228" w:lineRule="auto"/>
        <w:rPr>
          <w:sz w:val="20"/>
          <w:szCs w:val="20"/>
          <w:color w:val="auto"/>
        </w:rPr>
      </w:pPr>
      <w:r>
        <w:rPr>
          <w:rFonts w:ascii="Arial" w:cs="Arial" w:eastAsia="Arial" w:hAnsi="Arial"/>
          <w:sz w:val="14"/>
          <w:szCs w:val="14"/>
          <w:color w:val="231F20"/>
        </w:rPr>
        <w:t>762 W. Lancaster Avenue</w:t>
      </w:r>
    </w:p>
    <w:p>
      <w:pPr>
        <w:spacing w:after="0"/>
        <w:rPr>
          <w:sz w:val="20"/>
          <w:szCs w:val="20"/>
          <w:color w:val="auto"/>
        </w:rPr>
      </w:pPr>
      <w:r>
        <w:rPr>
          <w:rFonts w:ascii="Arial" w:cs="Arial" w:eastAsia="Arial" w:hAnsi="Arial"/>
          <w:sz w:val="14"/>
          <w:szCs w:val="14"/>
          <w:color w:val="231F20"/>
        </w:rPr>
        <w:t>Bryn Mawr, PA 19010</w:t>
      </w:r>
    </w:p>
    <w:p>
      <w:pPr>
        <w:spacing w:after="0" w:line="200" w:lineRule="exact"/>
        <w:rPr>
          <w:sz w:val="20"/>
          <w:szCs w:val="20"/>
          <w:color w:val="auto"/>
        </w:rPr>
      </w:pPr>
    </w:p>
    <w:p>
      <w:pPr>
        <w:sectPr>
          <w:pgSz w:w="11900" w:h="16838" w:orient="portrait"/>
          <w:cols w:equalWidth="0" w:num="2">
            <w:col w:w="5400" w:space="460"/>
            <w:col w:w="5380"/>
          </w:cols>
          <w:pgMar w:left="320" w:top="636" w:right="339" w:bottom="1440" w:gutter="0" w:footer="0" w:header="0"/>
          <w:type w:val="continuous"/>
        </w:sectPr>
      </w:pPr>
    </w:p>
    <w:p>
      <w:pPr>
        <w:spacing w:after="0" w:line="32" w:lineRule="exact"/>
        <w:rPr>
          <w:sz w:val="20"/>
          <w:szCs w:val="20"/>
          <w:color w:val="auto"/>
        </w:rPr>
      </w:pPr>
    </w:p>
    <w:p>
      <w:pPr>
        <w:ind w:left="7940"/>
        <w:spacing w:after="0"/>
        <w:tabs>
          <w:tab w:leader="none" w:pos="11060" w:val="left"/>
        </w:tabs>
        <w:rPr>
          <w:sz w:val="20"/>
          <w:szCs w:val="20"/>
          <w:color w:val="auto"/>
        </w:rPr>
      </w:pPr>
      <w:r>
        <w:rPr>
          <w:rFonts w:ascii="Arial" w:cs="Arial" w:eastAsia="Arial" w:hAnsi="Arial"/>
          <w:sz w:val="12"/>
          <w:szCs w:val="12"/>
          <w:color w:val="4395D4"/>
        </w:rPr>
        <w:t xml:space="preserve">ESSENTIAL UTILITIES, INC. </w:t>
      </w:r>
      <w:r>
        <w:rPr>
          <w:rFonts w:ascii="Arial" w:cs="Arial" w:eastAsia="Arial" w:hAnsi="Arial"/>
          <w:sz w:val="12"/>
          <w:szCs w:val="12"/>
          <w:color w:val="455986"/>
        </w:rPr>
        <w:t>2021 PROXY STATEMENT</w:t>
      </w:r>
      <w:r>
        <w:rPr>
          <w:sz w:val="20"/>
          <w:szCs w:val="20"/>
          <w:color w:val="auto"/>
        </w:rPr>
        <w:tab/>
      </w:r>
      <w:r>
        <w:rPr>
          <w:rFonts w:ascii="Arial" w:cs="Arial" w:eastAsia="Arial" w:hAnsi="Arial"/>
          <w:sz w:val="14"/>
          <w:szCs w:val="14"/>
          <w:color w:val="455986"/>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339090</wp:posOffset>
            </wp:positionV>
            <wp:extent cx="7139940" cy="24130"/>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7139940" cy="24130"/>
                    </a:xfrm>
                    <a:prstGeom prst="rect">
                      <a:avLst/>
                    </a:prstGeom>
                    <a:noFill/>
                  </pic:spPr>
                </pic:pic>
              </a:graphicData>
            </a:graphic>
          </wp:anchor>
        </w:drawing>
      </w:r>
    </w:p>
    <w:p>
      <w:pPr>
        <w:sectPr>
          <w:pgSz w:w="11900" w:h="16838" w:orient="portrait"/>
          <w:cols w:equalWidth="0" w:num="1">
            <w:col w:w="11240"/>
          </w:cols>
          <w:pgMar w:left="320" w:top="636" w:right="339" w:bottom="1440" w:gutter="0" w:footer="0" w:header="0"/>
          <w:type w:val="continuous"/>
        </w:sectPr>
      </w:pPr>
    </w:p>
    <w:bookmarkStart w:id="92" w:name="page93"/>
    <w:bookmarkEnd w:id="92"/>
    <w:p>
      <w:pPr>
        <w:spacing w:after="0"/>
        <w:rPr>
          <w:sz w:val="20"/>
          <w:szCs w:val="20"/>
          <w:color w:val="auto"/>
        </w:rPr>
      </w:pPr>
      <w:r>
        <w:rPr>
          <w:rFonts w:ascii="Arial" w:cs="Arial" w:eastAsia="Arial" w:hAnsi="Arial"/>
          <w:sz w:val="14"/>
          <w:szCs w:val="14"/>
          <w:b w:val="1"/>
          <w:bCs w:val="1"/>
          <w:color w:val="455986"/>
        </w:rPr>
        <w:t>Annual Meeting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27940</wp:posOffset>
            </wp:positionV>
            <wp:extent cx="7139940" cy="825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7139940" cy="8255"/>
                    </a:xfrm>
                    <a:prstGeom prst="rect">
                      <a:avLst/>
                    </a:prstGeom>
                    <a:noFill/>
                  </pic:spPr>
                </pic:pic>
              </a:graphicData>
            </a:graphic>
          </wp:anchor>
        </w:drawing>
      </w:r>
    </w:p>
    <w:p>
      <w:pPr>
        <w:spacing w:after="0" w:line="76" w:lineRule="exact"/>
        <w:rPr>
          <w:sz w:val="20"/>
          <w:szCs w:val="20"/>
          <w:color w:val="auto"/>
        </w:rPr>
      </w:pPr>
    </w:p>
    <w:p>
      <w:pPr>
        <w:spacing w:after="0"/>
        <w:rPr>
          <w:sz w:val="20"/>
          <w:szCs w:val="20"/>
          <w:color w:val="auto"/>
        </w:rPr>
      </w:pPr>
      <w:r>
        <w:rPr>
          <w:rFonts w:ascii="Arial" w:cs="Arial" w:eastAsia="Arial" w:hAnsi="Arial"/>
          <w:sz w:val="12"/>
          <w:szCs w:val="12"/>
          <w:color w:val="231F20"/>
        </w:rPr>
        <w:t>Nominating Candidates for Director</w:t>
      </w:r>
    </w:p>
    <w:p>
      <w:pPr>
        <w:sectPr>
          <w:pgSz w:w="11900" w:h="16838" w:orient="portrait"/>
          <w:cols w:equalWidth="0" w:num="1">
            <w:col w:w="11240"/>
          </w:cols>
          <w:pgMar w:left="320" w:top="636" w:right="339" w:bottom="1440" w:gutter="0" w:footer="0" w:header="0"/>
        </w:sectPr>
      </w:pPr>
    </w:p>
    <w:p>
      <w:pPr>
        <w:spacing w:after="0" w:line="186" w:lineRule="exact"/>
        <w:rPr>
          <w:sz w:val="20"/>
          <w:szCs w:val="20"/>
          <w:color w:val="auto"/>
        </w:rPr>
      </w:pPr>
    </w:p>
    <w:p>
      <w:pPr>
        <w:spacing w:after="0"/>
        <w:rPr>
          <w:sz w:val="20"/>
          <w:szCs w:val="20"/>
          <w:color w:val="auto"/>
        </w:rPr>
      </w:pPr>
      <w:r>
        <w:rPr>
          <w:rFonts w:ascii="Arial" w:cs="Arial" w:eastAsia="Arial" w:hAnsi="Arial"/>
          <w:sz w:val="24"/>
          <w:szCs w:val="24"/>
          <w:b w:val="1"/>
          <w:bCs w:val="1"/>
          <w:color w:val="455986"/>
        </w:rPr>
        <w:t>Nominating Candidates for Director</w:t>
      </w:r>
    </w:p>
    <w:p>
      <w:pPr>
        <w:spacing w:after="0" w:line="167" w:lineRule="exact"/>
        <w:rPr>
          <w:sz w:val="20"/>
          <w:szCs w:val="20"/>
          <w:color w:val="auto"/>
        </w:rPr>
      </w:pPr>
    </w:p>
    <w:p>
      <w:pPr>
        <w:ind w:right="460"/>
        <w:spacing w:after="0" w:line="243" w:lineRule="auto"/>
        <w:rPr>
          <w:sz w:val="20"/>
          <w:szCs w:val="20"/>
          <w:color w:val="auto"/>
        </w:rPr>
      </w:pPr>
      <w:r>
        <w:rPr>
          <w:rFonts w:ascii="Arial" w:cs="Arial" w:eastAsia="Arial" w:hAnsi="Arial"/>
          <w:sz w:val="14"/>
          <w:szCs w:val="14"/>
          <w:b w:val="1"/>
          <w:bCs w:val="1"/>
          <w:color w:val="455986"/>
        </w:rPr>
        <w:t>How does a shareholder nominate a director for election to the Board of Directors at the 2021 Annual Meeting?</w:t>
      </w:r>
    </w:p>
    <w:p>
      <w:pPr>
        <w:ind w:right="60"/>
        <w:spacing w:after="0" w:line="235" w:lineRule="auto"/>
        <w:rPr>
          <w:sz w:val="20"/>
          <w:szCs w:val="20"/>
          <w:color w:val="auto"/>
        </w:rPr>
      </w:pPr>
      <w:r>
        <w:rPr>
          <w:rFonts w:ascii="Arial" w:cs="Arial" w:eastAsia="Arial" w:hAnsi="Arial"/>
          <w:sz w:val="14"/>
          <w:szCs w:val="14"/>
          <w:color w:val="231F20"/>
        </w:rPr>
        <w:t>A shareholder entitled to vote for the election of directors may make a nomination for director provided that written notice (the Nomination Notice) of the shareholder’s intent to nominate a director at the meeting is filed with the Secretary of the Company prior to the 2021 Annual Meeting in accordance with provisions of the Company’s Articles of Incorporation and Bylaws.</w:t>
      </w:r>
    </w:p>
    <w:p>
      <w:pPr>
        <w:spacing w:after="0" w:line="113" w:lineRule="exact"/>
        <w:rPr>
          <w:sz w:val="20"/>
          <w:szCs w:val="20"/>
          <w:color w:val="auto"/>
        </w:rPr>
      </w:pPr>
    </w:p>
    <w:p>
      <w:pPr>
        <w:ind w:right="20"/>
        <w:spacing w:after="0" w:line="238" w:lineRule="auto"/>
        <w:rPr>
          <w:sz w:val="20"/>
          <w:szCs w:val="20"/>
          <w:color w:val="auto"/>
        </w:rPr>
      </w:pPr>
      <w:r>
        <w:rPr>
          <w:rFonts w:ascii="Arial" w:cs="Arial" w:eastAsia="Arial" w:hAnsi="Arial"/>
          <w:sz w:val="14"/>
          <w:szCs w:val="14"/>
          <w:color w:val="231F20"/>
        </w:rPr>
        <w:t>Section 4.14 of the Company’s Bylaws requires the Nomination Notice to be received by the Secretary of the Company not less than 14 days nor more than 50 days prior to any meeting of the shareholders called for the election of directors, with certain exceptions. These notice requirements do not apply to nominations for which proxies are solicited under applicable regulations of the SEC. The Nomination Notice must contain or be accompanied by the following information:</w:t>
      </w:r>
    </w:p>
    <w:p>
      <w:pPr>
        <w:spacing w:after="0" w:line="114" w:lineRule="exact"/>
        <w:rPr>
          <w:sz w:val="20"/>
          <w:szCs w:val="20"/>
          <w:color w:val="auto"/>
        </w:rPr>
      </w:pPr>
    </w:p>
    <w:p>
      <w:pPr>
        <w:ind w:left="240" w:hanging="238"/>
        <w:spacing w:after="0"/>
        <w:tabs>
          <w:tab w:leader="none" w:pos="240" w:val="left"/>
        </w:tabs>
        <w:numPr>
          <w:ilvl w:val="0"/>
          <w:numId w:val="156"/>
        </w:numPr>
        <w:rPr>
          <w:rFonts w:ascii="Arial" w:cs="Arial" w:eastAsia="Arial" w:hAnsi="Arial"/>
          <w:sz w:val="14"/>
          <w:szCs w:val="14"/>
          <w:color w:val="231F20"/>
        </w:rPr>
      </w:pPr>
      <w:r>
        <w:rPr>
          <w:rFonts w:ascii="Arial" w:cs="Arial" w:eastAsia="Arial" w:hAnsi="Arial"/>
          <w:sz w:val="14"/>
          <w:szCs w:val="14"/>
          <w:color w:val="231F20"/>
        </w:rPr>
        <w:t>Residence of the shareholder who intends to make the nomination;</w:t>
      </w:r>
    </w:p>
    <w:p>
      <w:pPr>
        <w:spacing w:after="0" w:line="68" w:lineRule="exact"/>
        <w:rPr>
          <w:rFonts w:ascii="Arial" w:cs="Arial" w:eastAsia="Arial" w:hAnsi="Arial"/>
          <w:sz w:val="14"/>
          <w:szCs w:val="14"/>
          <w:color w:val="231F20"/>
        </w:rPr>
      </w:pPr>
    </w:p>
    <w:p>
      <w:pPr>
        <w:ind w:left="240" w:hanging="238"/>
        <w:spacing w:after="0" w:line="253" w:lineRule="auto"/>
        <w:tabs>
          <w:tab w:leader="none" w:pos="235" w:val="left"/>
        </w:tabs>
        <w:numPr>
          <w:ilvl w:val="0"/>
          <w:numId w:val="156"/>
        </w:numPr>
        <w:rPr>
          <w:rFonts w:ascii="Arial" w:cs="Arial" w:eastAsia="Arial" w:hAnsi="Arial"/>
          <w:sz w:val="14"/>
          <w:szCs w:val="14"/>
          <w:color w:val="231F20"/>
        </w:rPr>
      </w:pPr>
      <w:r>
        <w:rPr>
          <w:rFonts w:ascii="Arial" w:cs="Arial" w:eastAsia="Arial" w:hAnsi="Arial"/>
          <w:sz w:val="14"/>
          <w:szCs w:val="14"/>
          <w:color w:val="231F20"/>
        </w:rPr>
        <w:t>A representation that the shareholder is a holder of record of voting stock and intends to appear in person or by proxy at the meeting to nominate the person or persons specified in the Nomination Notice;</w:t>
      </w:r>
    </w:p>
    <w:p>
      <w:pPr>
        <w:spacing w:after="0" w:line="39" w:lineRule="exact"/>
        <w:rPr>
          <w:rFonts w:ascii="Arial" w:cs="Arial" w:eastAsia="Arial" w:hAnsi="Arial"/>
          <w:sz w:val="14"/>
          <w:szCs w:val="14"/>
          <w:color w:val="231F20"/>
        </w:rPr>
      </w:pPr>
    </w:p>
    <w:p>
      <w:pPr>
        <w:ind w:left="240" w:right="120" w:hanging="238"/>
        <w:spacing w:after="0" w:line="245" w:lineRule="auto"/>
        <w:tabs>
          <w:tab w:leader="none" w:pos="243" w:val="left"/>
        </w:tabs>
        <w:numPr>
          <w:ilvl w:val="0"/>
          <w:numId w:val="156"/>
        </w:numPr>
        <w:rPr>
          <w:rFonts w:ascii="Arial" w:cs="Arial" w:eastAsia="Arial" w:hAnsi="Arial"/>
          <w:sz w:val="14"/>
          <w:szCs w:val="14"/>
          <w:color w:val="231F20"/>
        </w:rPr>
      </w:pPr>
      <w:r>
        <w:rPr>
          <w:rFonts w:ascii="Arial" w:cs="Arial" w:eastAsia="Arial" w:hAnsi="Arial"/>
          <w:sz w:val="14"/>
          <w:szCs w:val="14"/>
          <w:color w:val="231F20"/>
        </w:rPr>
        <w:t>Such information regarding each nominee as would have been required to be included in a proxy statement filed pursuant to the SEC’s proxy rules had each nominee been nominated, or intended to be nominated, by the management or the Board of Directors of the Company;</w:t>
      </w:r>
    </w:p>
    <w:p>
      <w:pPr>
        <w:spacing w:after="0" w:line="44" w:lineRule="exact"/>
        <w:rPr>
          <w:rFonts w:ascii="Arial" w:cs="Arial" w:eastAsia="Arial" w:hAnsi="Arial"/>
          <w:sz w:val="14"/>
          <w:szCs w:val="14"/>
          <w:color w:val="231F20"/>
        </w:rPr>
      </w:pPr>
    </w:p>
    <w:p>
      <w:pPr>
        <w:ind w:left="240" w:hanging="238"/>
        <w:spacing w:after="0" w:line="245" w:lineRule="auto"/>
        <w:tabs>
          <w:tab w:leader="none" w:pos="235" w:val="left"/>
        </w:tabs>
        <w:numPr>
          <w:ilvl w:val="0"/>
          <w:numId w:val="156"/>
        </w:numPr>
        <w:rPr>
          <w:rFonts w:ascii="Arial" w:cs="Arial" w:eastAsia="Arial" w:hAnsi="Arial"/>
          <w:sz w:val="14"/>
          <w:szCs w:val="14"/>
          <w:color w:val="231F20"/>
        </w:rPr>
      </w:pPr>
      <w:r>
        <w:rPr>
          <w:rFonts w:ascii="Arial" w:cs="Arial" w:eastAsia="Arial" w:hAnsi="Arial"/>
          <w:sz w:val="14"/>
          <w:szCs w:val="14"/>
          <w:color w:val="231F20"/>
        </w:rPr>
        <w:t>A description of all arrangements or understandings among the shareholder and each nominee and any other person or persons (naming such person or persons) pursuant to which the nomination or nominations are to be made by the shareholder; and</w:t>
      </w:r>
    </w:p>
    <w:p>
      <w:pPr>
        <w:spacing w:after="0" w:line="31" w:lineRule="exact"/>
        <w:rPr>
          <w:rFonts w:ascii="Arial" w:cs="Arial" w:eastAsia="Arial" w:hAnsi="Arial"/>
          <w:sz w:val="14"/>
          <w:szCs w:val="14"/>
          <w:color w:val="231F20"/>
        </w:rPr>
      </w:pPr>
    </w:p>
    <w:p>
      <w:pPr>
        <w:ind w:left="240" w:right="500" w:hanging="238"/>
        <w:spacing w:after="0" w:line="278" w:lineRule="auto"/>
        <w:tabs>
          <w:tab w:leader="none" w:pos="240" w:val="left"/>
        </w:tabs>
        <w:numPr>
          <w:ilvl w:val="0"/>
          <w:numId w:val="156"/>
        </w:numPr>
        <w:rPr>
          <w:rFonts w:ascii="Arial" w:cs="Arial" w:eastAsia="Arial" w:hAnsi="Arial"/>
          <w:sz w:val="14"/>
          <w:szCs w:val="14"/>
          <w:color w:val="231F20"/>
        </w:rPr>
      </w:pPr>
      <w:r>
        <w:rPr>
          <w:rFonts w:ascii="Arial" w:cs="Arial" w:eastAsia="Arial" w:hAnsi="Arial"/>
          <w:sz w:val="14"/>
          <w:szCs w:val="14"/>
          <w:color w:val="231F20"/>
        </w:rPr>
        <w:t>The consent of each nominee to serve as a director of the Company if so elected.</w:t>
      </w:r>
    </w:p>
    <w:p>
      <w:pPr>
        <w:spacing w:after="0" w:line="84" w:lineRule="exact"/>
        <w:rPr>
          <w:sz w:val="20"/>
          <w:szCs w:val="20"/>
          <w:color w:val="auto"/>
        </w:rPr>
      </w:pPr>
    </w:p>
    <w:p>
      <w:pPr>
        <w:ind w:right="160"/>
        <w:spacing w:after="0" w:line="243" w:lineRule="auto"/>
        <w:rPr>
          <w:sz w:val="20"/>
          <w:szCs w:val="20"/>
          <w:color w:val="auto"/>
        </w:rPr>
      </w:pPr>
      <w:r>
        <w:rPr>
          <w:rFonts w:ascii="Arial" w:cs="Arial" w:eastAsia="Arial" w:hAnsi="Arial"/>
          <w:sz w:val="14"/>
          <w:szCs w:val="14"/>
          <w:b w:val="1"/>
          <w:bCs w:val="1"/>
          <w:color w:val="455986"/>
        </w:rPr>
        <w:t>What is the deadline for submitting a Nomination Notice for the 2021 Annual Meeting?</w:t>
      </w:r>
    </w:p>
    <w:p>
      <w:pPr>
        <w:ind w:right="200"/>
        <w:spacing w:after="0" w:line="251" w:lineRule="auto"/>
        <w:rPr>
          <w:sz w:val="20"/>
          <w:szCs w:val="20"/>
          <w:color w:val="auto"/>
        </w:rPr>
      </w:pPr>
      <w:r>
        <w:rPr>
          <w:rFonts w:ascii="Arial" w:cs="Arial" w:eastAsia="Arial" w:hAnsi="Arial"/>
          <w:sz w:val="14"/>
          <w:szCs w:val="14"/>
          <w:color w:val="231F20"/>
        </w:rPr>
        <w:t>Under the requirements above, a Nomination Notice for the 2021 Annual Meeting must be received by the Secretary of the Company no later than April 20, 2021.</w:t>
      </w:r>
    </w:p>
    <w:p>
      <w:pPr>
        <w:spacing w:after="0" w:line="103" w:lineRule="exact"/>
        <w:rPr>
          <w:sz w:val="20"/>
          <w:szCs w:val="20"/>
          <w:color w:val="auto"/>
        </w:rPr>
      </w:pPr>
    </w:p>
    <w:p>
      <w:pPr>
        <w:spacing w:after="0"/>
        <w:rPr>
          <w:sz w:val="20"/>
          <w:szCs w:val="20"/>
          <w:color w:val="auto"/>
        </w:rPr>
      </w:pPr>
      <w:r>
        <w:rPr>
          <w:rFonts w:ascii="Arial" w:cs="Arial" w:eastAsia="Arial" w:hAnsi="Arial"/>
          <w:sz w:val="14"/>
          <w:szCs w:val="14"/>
          <w:b w:val="1"/>
          <w:bCs w:val="1"/>
          <w:color w:val="455986"/>
        </w:rPr>
        <w:t>Who chooses the director candidates?</w:t>
      </w:r>
    </w:p>
    <w:p>
      <w:pPr>
        <w:spacing w:after="0" w:line="12" w:lineRule="exact"/>
        <w:rPr>
          <w:sz w:val="20"/>
          <w:szCs w:val="20"/>
          <w:color w:val="auto"/>
        </w:rPr>
      </w:pPr>
    </w:p>
    <w:p>
      <w:pPr>
        <w:ind w:right="160"/>
        <w:spacing w:after="0" w:line="237" w:lineRule="auto"/>
        <w:rPr>
          <w:sz w:val="20"/>
          <w:szCs w:val="20"/>
          <w:color w:val="auto"/>
        </w:rPr>
      </w:pPr>
      <w:r>
        <w:rPr>
          <w:rFonts w:ascii="Arial" w:cs="Arial" w:eastAsia="Arial" w:hAnsi="Arial"/>
          <w:sz w:val="14"/>
          <w:szCs w:val="14"/>
          <w:color w:val="231F20"/>
        </w:rPr>
        <w:t>The Corporate Governance Committee identifies, evaluates and recommends director candidates to our Board of Directors for nomination. The process followed by our Corporate Governance Committee to identify and evaluate director candidates includes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108585</wp:posOffset>
            </wp:positionV>
            <wp:extent cx="7139940" cy="825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713994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right="360"/>
        <w:spacing w:after="0" w:line="253" w:lineRule="auto"/>
        <w:rPr>
          <w:sz w:val="20"/>
          <w:szCs w:val="20"/>
          <w:color w:val="auto"/>
        </w:rPr>
      </w:pPr>
      <w:r>
        <w:rPr>
          <w:rFonts w:ascii="Arial" w:cs="Arial" w:eastAsia="Arial" w:hAnsi="Arial"/>
          <w:sz w:val="14"/>
          <w:szCs w:val="14"/>
          <w:color w:val="231F20"/>
        </w:rPr>
        <w:t>requests to current directors and others for recommendations, consideration of candidates proposed by shareholders, meetings from time to time to evaluate potential candidates and interviews of potential candidates.</w:t>
      </w:r>
    </w:p>
    <w:p>
      <w:pPr>
        <w:spacing w:after="0" w:line="101" w:lineRule="exact"/>
        <w:rPr>
          <w:sz w:val="20"/>
          <w:szCs w:val="20"/>
          <w:color w:val="auto"/>
        </w:rPr>
      </w:pPr>
    </w:p>
    <w:p>
      <w:pPr>
        <w:spacing w:after="0"/>
        <w:rPr>
          <w:sz w:val="20"/>
          <w:szCs w:val="20"/>
          <w:color w:val="auto"/>
        </w:rPr>
      </w:pPr>
      <w:r>
        <w:rPr>
          <w:rFonts w:ascii="Arial" w:cs="Arial" w:eastAsia="Arial" w:hAnsi="Arial"/>
          <w:sz w:val="14"/>
          <w:szCs w:val="14"/>
          <w:b w:val="1"/>
          <w:bCs w:val="1"/>
          <w:color w:val="455986"/>
        </w:rPr>
        <w:t>How are director candidates evaluated?</w:t>
      </w:r>
    </w:p>
    <w:p>
      <w:pPr>
        <w:spacing w:after="0" w:line="12" w:lineRule="exact"/>
        <w:rPr>
          <w:sz w:val="20"/>
          <w:szCs w:val="20"/>
          <w:color w:val="auto"/>
        </w:rPr>
      </w:pPr>
    </w:p>
    <w:p>
      <w:pPr>
        <w:spacing w:after="0" w:line="232" w:lineRule="auto"/>
        <w:rPr>
          <w:sz w:val="20"/>
          <w:szCs w:val="20"/>
          <w:color w:val="auto"/>
        </w:rPr>
      </w:pPr>
      <w:r>
        <w:rPr>
          <w:rFonts w:ascii="Arial" w:cs="Arial" w:eastAsia="Arial" w:hAnsi="Arial"/>
          <w:sz w:val="14"/>
          <w:szCs w:val="14"/>
          <w:color w:val="231F20"/>
        </w:rPr>
        <w:t>In considering candidates for director, the Corporate Governance Committee will consider the candidate’s personal abilities, qualifications, independence, knowledge, judgment, character, leadership skills, education, background and their expertise and experience in fields and disciplines relevant to the Company, including financial expertise or financial literacy. When assessing a candidate, consideration will be given to the effect such candidate will have on the diversity of the Board. Diversity of the Board is evaluated by considering a broad range of attributes, including, without limitation, race, gender and national origin, background, demographics, expertise and experience.</w:t>
      </w:r>
    </w:p>
    <w:p>
      <w:pPr>
        <w:spacing w:after="0" w:line="113" w:lineRule="exact"/>
        <w:rPr>
          <w:sz w:val="20"/>
          <w:szCs w:val="20"/>
          <w:color w:val="auto"/>
        </w:rPr>
      </w:pPr>
    </w:p>
    <w:p>
      <w:pPr>
        <w:spacing w:after="0" w:line="237" w:lineRule="auto"/>
        <w:rPr>
          <w:sz w:val="20"/>
          <w:szCs w:val="20"/>
          <w:color w:val="auto"/>
        </w:rPr>
      </w:pPr>
      <w:r>
        <w:rPr>
          <w:rFonts w:ascii="Arial" w:cs="Arial" w:eastAsia="Arial" w:hAnsi="Arial"/>
          <w:sz w:val="14"/>
          <w:szCs w:val="14"/>
          <w:color w:val="231F20"/>
        </w:rPr>
        <w:t>Due consideration will also be given to the position the candidate holds at the time of his or her nomination and his or her capabilities to advance the Company’s interests with its various constituencies. The Corporate Governance Committee considers all of these qualities when selecting, subject to ratification by our Board of Directors, candidates for director. The Corporate Governance Committee will evaluate shareholder- recommended candidates in the same manner as it evaluates candidates recommended by others.</w:t>
      </w:r>
    </w:p>
    <w:p>
      <w:pPr>
        <w:spacing w:after="0" w:line="110" w:lineRule="exact"/>
        <w:rPr>
          <w:sz w:val="20"/>
          <w:szCs w:val="20"/>
          <w:color w:val="auto"/>
        </w:rPr>
      </w:pPr>
    </w:p>
    <w:p>
      <w:pPr>
        <w:ind w:right="420"/>
        <w:spacing w:after="0" w:line="243" w:lineRule="auto"/>
        <w:rPr>
          <w:sz w:val="20"/>
          <w:szCs w:val="20"/>
          <w:color w:val="auto"/>
        </w:rPr>
      </w:pPr>
      <w:r>
        <w:rPr>
          <w:rFonts w:ascii="Arial" w:cs="Arial" w:eastAsia="Arial" w:hAnsi="Arial"/>
          <w:sz w:val="14"/>
          <w:szCs w:val="14"/>
          <w:b w:val="1"/>
          <w:bCs w:val="1"/>
          <w:color w:val="455986"/>
        </w:rPr>
        <w:t>What is the deadline for submitting a shareholder recommendation for a director candidate at the 2022 Annual Meeting of Shareholders?</w:t>
      </w:r>
    </w:p>
    <w:p>
      <w:pPr>
        <w:ind w:right="20"/>
        <w:spacing w:after="0" w:line="233" w:lineRule="auto"/>
        <w:rPr>
          <w:sz w:val="20"/>
          <w:szCs w:val="20"/>
          <w:color w:val="auto"/>
        </w:rPr>
      </w:pPr>
      <w:r>
        <w:rPr>
          <w:rFonts w:ascii="Arial" w:cs="Arial" w:eastAsia="Arial" w:hAnsi="Arial"/>
          <w:sz w:val="14"/>
          <w:szCs w:val="14"/>
          <w:color w:val="231F20"/>
        </w:rPr>
        <w:t>If you would like a director candidate considered by the Corporate Governance Committee for selection as a nominee at the 2022 Annual Meeting of Shareholders, the recommendation should be submitted to the Chairperson of the Corporate Governance Committee at least 120 days before the date on which the Company first mailed its proxy materials for the prior year’s Annual Meeting of Shareholders— that is, for nominee recommendations for the 2021 Annual Meeting, no later than December 1, 2021.</w:t>
      </w:r>
    </w:p>
    <w:p>
      <w:pPr>
        <w:spacing w:after="0" w:line="111" w:lineRule="exact"/>
        <w:rPr>
          <w:sz w:val="20"/>
          <w:szCs w:val="20"/>
          <w:color w:val="auto"/>
        </w:rPr>
      </w:pPr>
    </w:p>
    <w:p>
      <w:pPr>
        <w:ind w:right="320"/>
        <w:spacing w:after="0" w:line="243" w:lineRule="auto"/>
        <w:rPr>
          <w:sz w:val="20"/>
          <w:szCs w:val="20"/>
          <w:color w:val="auto"/>
        </w:rPr>
      </w:pPr>
      <w:r>
        <w:rPr>
          <w:rFonts w:ascii="Arial" w:cs="Arial" w:eastAsia="Arial" w:hAnsi="Arial"/>
          <w:sz w:val="14"/>
          <w:szCs w:val="14"/>
          <w:b w:val="1"/>
          <w:bCs w:val="1"/>
          <w:color w:val="455986"/>
        </w:rPr>
        <w:t>What is the process for using the proxy access bylaw for the 2022 Annual Meeting?</w:t>
      </w:r>
    </w:p>
    <w:p>
      <w:pPr>
        <w:ind w:right="60"/>
        <w:spacing w:after="0" w:line="234" w:lineRule="auto"/>
        <w:rPr>
          <w:sz w:val="20"/>
          <w:szCs w:val="20"/>
          <w:color w:val="auto"/>
        </w:rPr>
      </w:pPr>
      <w:r>
        <w:rPr>
          <w:rFonts w:ascii="Arial" w:cs="Arial" w:eastAsia="Arial" w:hAnsi="Arial"/>
          <w:sz w:val="14"/>
          <w:szCs w:val="14"/>
          <w:color w:val="231F20"/>
        </w:rPr>
        <w:t>The Company Bylaws, at Section 4.15 set forth the process to be followed if you want to have a director nominee included in the Company’s proxy statement for the 2022 Annual Meeting. The Bylaws can be found on our website at www.essential.co/investor-relations. To be timely, a nomination under the proxy access bylaw must be received no earlier than November 1, 2021 and no later than December 1, 2021.</w:t>
      </w:r>
    </w:p>
    <w:p>
      <w:pPr>
        <w:spacing w:after="0" w:line="379" w:lineRule="exact"/>
        <w:rPr>
          <w:sz w:val="20"/>
          <w:szCs w:val="20"/>
          <w:color w:val="auto"/>
        </w:rPr>
      </w:pPr>
    </w:p>
    <w:p>
      <w:pPr>
        <w:sectPr>
          <w:pgSz w:w="11900" w:h="16838" w:orient="portrait"/>
          <w:cols w:equalWidth="0" w:num="2">
            <w:col w:w="5400" w:space="460"/>
            <w:col w:w="5380"/>
          </w:cols>
          <w:pgMar w:left="320" w:top="636" w:right="339" w:bottom="1440" w:gutter="0" w:footer="0" w:header="0"/>
          <w:type w:val="continuous"/>
        </w:sectPr>
      </w:pPr>
    </w:p>
    <w:p>
      <w:pPr>
        <w:spacing w:after="0" w:line="53" w:lineRule="exact"/>
        <w:rPr>
          <w:sz w:val="20"/>
          <w:szCs w:val="20"/>
          <w:color w:val="auto"/>
        </w:rPr>
      </w:pPr>
    </w:p>
    <w:p>
      <w:pPr>
        <w:ind w:left="300" w:hanging="298"/>
        <w:spacing w:after="0"/>
        <w:tabs>
          <w:tab w:leader="none" w:pos="300" w:val="left"/>
        </w:tabs>
        <w:numPr>
          <w:ilvl w:val="0"/>
          <w:numId w:val="157"/>
        </w:numPr>
        <w:rPr>
          <w:rFonts w:ascii="Arial" w:cs="Arial" w:eastAsia="Arial" w:hAnsi="Arial"/>
          <w:sz w:val="14"/>
          <w:szCs w:val="14"/>
          <w:color w:val="455986"/>
        </w:rPr>
      </w:pPr>
      <w:r>
        <w:rPr>
          <w:rFonts w:ascii="Arial" w:cs="Arial" w:eastAsia="Arial" w:hAnsi="Arial"/>
          <w:sz w:val="11"/>
          <w:szCs w:val="11"/>
          <w:color w:val="4395D4"/>
        </w:rPr>
        <w:t xml:space="preserve">ESSENTIAL UTILITIES, INC. </w:t>
      </w:r>
      <w:r>
        <w:rPr>
          <w:rFonts w:ascii="Arial" w:cs="Arial" w:eastAsia="Arial" w:hAnsi="Arial"/>
          <w:sz w:val="11"/>
          <w:szCs w:val="11"/>
          <w:color w:val="455986"/>
        </w:rPr>
        <w:t>2021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316230</wp:posOffset>
            </wp:positionV>
            <wp:extent cx="7139940" cy="24130"/>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7139940" cy="24130"/>
                    </a:xfrm>
                    <a:prstGeom prst="rect">
                      <a:avLst/>
                    </a:prstGeom>
                    <a:noFill/>
                  </pic:spPr>
                </pic:pic>
              </a:graphicData>
            </a:graphic>
          </wp:anchor>
        </w:drawing>
      </w:r>
    </w:p>
    <w:p>
      <w:pPr>
        <w:sectPr>
          <w:pgSz w:w="11900" w:h="16838" w:orient="portrait"/>
          <w:cols w:equalWidth="0" w:num="1">
            <w:col w:w="11240"/>
          </w:cols>
          <w:pgMar w:left="320" w:top="636" w:right="339" w:bottom="1440" w:gutter="0" w:footer="0" w:header="0"/>
          <w:type w:val="continuous"/>
        </w:sectPr>
      </w:pPr>
    </w:p>
    <w:bookmarkStart w:id="93" w:name="page94"/>
    <w:bookmarkEnd w:id="93"/>
    <w:p>
      <w:pPr>
        <w:spacing w:after="0"/>
        <w:rPr>
          <w:sz w:val="20"/>
          <w:szCs w:val="20"/>
          <w:color w:val="auto"/>
        </w:rPr>
      </w:pPr>
      <w:r>
        <w:rPr>
          <w:rFonts w:ascii="Arial" w:cs="Arial" w:eastAsia="Arial" w:hAnsi="Arial"/>
          <w:sz w:val="14"/>
          <w:szCs w:val="14"/>
          <w:b w:val="1"/>
          <w:bCs w:val="1"/>
          <w:color w:val="455986"/>
        </w:rPr>
        <w:t>Annual Meeting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27940</wp:posOffset>
            </wp:positionV>
            <wp:extent cx="7139940" cy="825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7139940" cy="8255"/>
                    </a:xfrm>
                    <a:prstGeom prst="rect">
                      <a:avLst/>
                    </a:prstGeom>
                    <a:noFill/>
                  </pic:spPr>
                </pic:pic>
              </a:graphicData>
            </a:graphic>
          </wp:anchor>
        </w:drawing>
      </w:r>
    </w:p>
    <w:p>
      <w:pPr>
        <w:spacing w:after="0" w:line="76" w:lineRule="exact"/>
        <w:rPr>
          <w:sz w:val="20"/>
          <w:szCs w:val="20"/>
          <w:color w:val="auto"/>
        </w:rPr>
      </w:pPr>
    </w:p>
    <w:p>
      <w:pPr>
        <w:spacing w:after="0"/>
        <w:rPr>
          <w:sz w:val="20"/>
          <w:szCs w:val="20"/>
          <w:color w:val="auto"/>
        </w:rPr>
      </w:pPr>
      <w:r>
        <w:rPr>
          <w:rFonts w:ascii="Arial" w:cs="Arial" w:eastAsia="Arial" w:hAnsi="Arial"/>
          <w:sz w:val="14"/>
          <w:szCs w:val="14"/>
          <w:color w:val="231F20"/>
        </w:rPr>
        <w:t>Communications with the Company or Independent Directors</w:t>
      </w:r>
    </w:p>
    <w:p>
      <w:pPr>
        <w:spacing w:after="0" w:line="163" w:lineRule="exact"/>
        <w:rPr>
          <w:sz w:val="20"/>
          <w:szCs w:val="20"/>
          <w:color w:val="auto"/>
        </w:rPr>
      </w:pPr>
    </w:p>
    <w:p>
      <w:pPr>
        <w:spacing w:after="0"/>
        <w:rPr>
          <w:sz w:val="20"/>
          <w:szCs w:val="20"/>
          <w:color w:val="auto"/>
        </w:rPr>
      </w:pPr>
      <w:r>
        <w:rPr>
          <w:rFonts w:ascii="Arial" w:cs="Arial" w:eastAsia="Arial" w:hAnsi="Arial"/>
          <w:sz w:val="24"/>
          <w:szCs w:val="24"/>
          <w:b w:val="1"/>
          <w:bCs w:val="1"/>
          <w:color w:val="455986"/>
        </w:rPr>
        <w:t>Communications with the Company or Independent Directors</w:t>
      </w:r>
    </w:p>
    <w:p>
      <w:pPr>
        <w:spacing w:after="0" w:line="169" w:lineRule="exact"/>
        <w:rPr>
          <w:sz w:val="20"/>
          <w:szCs w:val="20"/>
          <w:color w:val="auto"/>
        </w:rPr>
      </w:pPr>
    </w:p>
    <w:p>
      <w:pPr>
        <w:ind w:right="220"/>
        <w:spacing w:after="0" w:line="278" w:lineRule="auto"/>
        <w:rPr>
          <w:sz w:val="20"/>
          <w:szCs w:val="20"/>
          <w:color w:val="auto"/>
        </w:rPr>
      </w:pPr>
      <w:r>
        <w:rPr>
          <w:rFonts w:ascii="Arial" w:cs="Arial" w:eastAsia="Arial" w:hAnsi="Arial"/>
          <w:sz w:val="14"/>
          <w:szCs w:val="14"/>
          <w:color w:val="231F20"/>
        </w:rPr>
        <w:t>The Company receives shareholder suggestions which are not in the form of proposals. All are given careful consideration. We welcome and encourage your comments and suggestions. Your correspondence should be addressed as follows:</w:t>
      </w:r>
    </w:p>
    <w:p>
      <w:pPr>
        <w:spacing w:after="0" w:line="86" w:lineRule="exact"/>
        <w:rPr>
          <w:sz w:val="20"/>
          <w:szCs w:val="20"/>
          <w:color w:val="auto"/>
        </w:rPr>
      </w:pPr>
    </w:p>
    <w:p>
      <w:pPr>
        <w:spacing w:after="0"/>
        <w:rPr>
          <w:sz w:val="20"/>
          <w:szCs w:val="20"/>
          <w:color w:val="auto"/>
        </w:rPr>
      </w:pPr>
      <w:r>
        <w:rPr>
          <w:rFonts w:ascii="Arial" w:cs="Arial" w:eastAsia="Arial" w:hAnsi="Arial"/>
          <w:sz w:val="14"/>
          <w:szCs w:val="14"/>
          <w:color w:val="231F20"/>
        </w:rPr>
        <w:t>Corporate Secretary</w:t>
      </w:r>
    </w:p>
    <w:p>
      <w:pPr>
        <w:spacing w:after="0" w:line="145" w:lineRule="exact"/>
        <w:rPr>
          <w:sz w:val="20"/>
          <w:szCs w:val="20"/>
          <w:color w:val="auto"/>
        </w:rPr>
      </w:pPr>
    </w:p>
    <w:p>
      <w:pPr>
        <w:spacing w:after="0"/>
        <w:rPr>
          <w:sz w:val="20"/>
          <w:szCs w:val="20"/>
          <w:color w:val="auto"/>
        </w:rPr>
      </w:pPr>
      <w:r>
        <w:rPr>
          <w:rFonts w:ascii="Arial" w:cs="Arial" w:eastAsia="Arial" w:hAnsi="Arial"/>
          <w:sz w:val="14"/>
          <w:szCs w:val="14"/>
          <w:color w:val="231F20"/>
        </w:rPr>
        <w:t>Essential Utilities, Inc.</w:t>
      </w:r>
    </w:p>
    <w:p>
      <w:pPr>
        <w:spacing w:after="0" w:line="2" w:lineRule="exact"/>
        <w:rPr>
          <w:sz w:val="20"/>
          <w:szCs w:val="20"/>
          <w:color w:val="auto"/>
        </w:rPr>
      </w:pPr>
    </w:p>
    <w:p>
      <w:pPr>
        <w:spacing w:after="0"/>
        <w:rPr>
          <w:sz w:val="20"/>
          <w:szCs w:val="20"/>
          <w:color w:val="auto"/>
        </w:rPr>
      </w:pPr>
      <w:r>
        <w:rPr>
          <w:rFonts w:ascii="Arial" w:cs="Arial" w:eastAsia="Arial" w:hAnsi="Arial"/>
          <w:sz w:val="14"/>
          <w:szCs w:val="14"/>
          <w:color w:val="231F20"/>
        </w:rPr>
        <w:t>762 W. Lancaster Avenue</w:t>
      </w:r>
    </w:p>
    <w:p>
      <w:pPr>
        <w:spacing w:after="0"/>
        <w:rPr>
          <w:sz w:val="20"/>
          <w:szCs w:val="20"/>
          <w:color w:val="auto"/>
        </w:rPr>
      </w:pPr>
      <w:r>
        <w:rPr>
          <w:rFonts w:ascii="Arial" w:cs="Arial" w:eastAsia="Arial" w:hAnsi="Arial"/>
          <w:sz w:val="14"/>
          <w:szCs w:val="14"/>
          <w:color w:val="231F20"/>
        </w:rPr>
        <w:t>Bryn Mawr, PA 19010</w:t>
      </w:r>
    </w:p>
    <w:p>
      <w:pPr>
        <w:spacing w:after="0" w:line="127" w:lineRule="exact"/>
        <w:rPr>
          <w:sz w:val="20"/>
          <w:szCs w:val="20"/>
          <w:color w:val="auto"/>
        </w:rPr>
      </w:pPr>
    </w:p>
    <w:p>
      <w:pPr>
        <w:ind w:right="140"/>
        <w:spacing w:after="0" w:line="253" w:lineRule="auto"/>
        <w:rPr>
          <w:sz w:val="20"/>
          <w:szCs w:val="20"/>
          <w:color w:val="auto"/>
        </w:rPr>
      </w:pPr>
      <w:r>
        <w:rPr>
          <w:rFonts w:ascii="Arial" w:cs="Arial" w:eastAsia="Arial" w:hAnsi="Arial"/>
          <w:sz w:val="14"/>
          <w:szCs w:val="14"/>
          <w:color w:val="231F20"/>
        </w:rPr>
        <w:t>In addition, shareholders or other interested parties may communicate directly with the independent directors or the lead independent director by writing to the address below. The Company will review all correspondence and provide any comments along with the full text of the shareholder’s or other interested party’s communication to the independent directors or the lead independent director.</w:t>
      </w:r>
    </w:p>
    <w:p>
      <w:pPr>
        <w:spacing w:after="0" w:line="103" w:lineRule="exact"/>
        <w:rPr>
          <w:sz w:val="20"/>
          <w:szCs w:val="20"/>
          <w:color w:val="auto"/>
        </w:rPr>
      </w:pPr>
    </w:p>
    <w:p>
      <w:pPr>
        <w:spacing w:after="0"/>
        <w:rPr>
          <w:sz w:val="20"/>
          <w:szCs w:val="20"/>
          <w:color w:val="auto"/>
        </w:rPr>
      </w:pPr>
      <w:r>
        <w:rPr>
          <w:rFonts w:ascii="Arial" w:cs="Arial" w:eastAsia="Arial" w:hAnsi="Arial"/>
          <w:sz w:val="14"/>
          <w:szCs w:val="14"/>
          <w:color w:val="231F20"/>
        </w:rPr>
        <w:t>The Independent Directors or Lead Independent Director of Essential Utilities, Inc.</w:t>
      </w:r>
    </w:p>
    <w:p>
      <w:pPr>
        <w:spacing w:after="0" w:line="2" w:lineRule="exact"/>
        <w:rPr>
          <w:sz w:val="20"/>
          <w:szCs w:val="20"/>
          <w:color w:val="auto"/>
        </w:rPr>
      </w:pPr>
    </w:p>
    <w:p>
      <w:pPr>
        <w:spacing w:after="0"/>
        <w:rPr>
          <w:sz w:val="20"/>
          <w:szCs w:val="20"/>
          <w:color w:val="auto"/>
        </w:rPr>
      </w:pPr>
      <w:r>
        <w:rPr>
          <w:rFonts w:ascii="Arial" w:cs="Arial" w:eastAsia="Arial" w:hAnsi="Arial"/>
          <w:sz w:val="14"/>
          <w:szCs w:val="14"/>
          <w:color w:val="231F20"/>
        </w:rPr>
        <w:t>C/O Corporate Secretary</w:t>
      </w:r>
    </w:p>
    <w:p>
      <w:pPr>
        <w:spacing w:after="0" w:line="228" w:lineRule="auto"/>
        <w:rPr>
          <w:sz w:val="20"/>
          <w:szCs w:val="20"/>
          <w:color w:val="auto"/>
        </w:rPr>
      </w:pPr>
      <w:r>
        <w:rPr>
          <w:rFonts w:ascii="Arial" w:cs="Arial" w:eastAsia="Arial" w:hAnsi="Arial"/>
          <w:sz w:val="14"/>
          <w:szCs w:val="14"/>
          <w:color w:val="231F20"/>
        </w:rPr>
        <w:t>762 W. Lancaster Avenue</w:t>
      </w:r>
    </w:p>
    <w:p>
      <w:pPr>
        <w:spacing w:after="0"/>
        <w:rPr>
          <w:sz w:val="20"/>
          <w:szCs w:val="20"/>
          <w:color w:val="auto"/>
        </w:rPr>
      </w:pPr>
      <w:r>
        <w:rPr>
          <w:rFonts w:ascii="Arial" w:cs="Arial" w:eastAsia="Arial" w:hAnsi="Arial"/>
          <w:sz w:val="14"/>
          <w:szCs w:val="14"/>
          <w:color w:val="231F20"/>
        </w:rPr>
        <w:t>Bryn Mawr, PA 19010</w:t>
      </w:r>
    </w:p>
    <w:p>
      <w:pPr>
        <w:spacing w:after="0" w:line="114" w:lineRule="exact"/>
        <w:rPr>
          <w:sz w:val="20"/>
          <w:szCs w:val="20"/>
          <w:color w:val="auto"/>
        </w:rPr>
      </w:pPr>
    </w:p>
    <w:p>
      <w:pPr>
        <w:spacing w:after="0"/>
        <w:rPr>
          <w:sz w:val="20"/>
          <w:szCs w:val="20"/>
          <w:color w:val="auto"/>
        </w:rPr>
      </w:pPr>
      <w:r>
        <w:rPr>
          <w:rFonts w:ascii="Arial" w:cs="Arial" w:eastAsia="Arial" w:hAnsi="Arial"/>
          <w:sz w:val="20"/>
          <w:szCs w:val="20"/>
          <w:b w:val="1"/>
          <w:bCs w:val="1"/>
          <w:color w:val="231F20"/>
        </w:rPr>
        <w:t>Additional Information</w:t>
      </w:r>
    </w:p>
    <w:p>
      <w:pPr>
        <w:spacing w:after="0" w:line="166" w:lineRule="exact"/>
        <w:rPr>
          <w:sz w:val="20"/>
          <w:szCs w:val="20"/>
          <w:color w:val="auto"/>
        </w:rPr>
      </w:pPr>
    </w:p>
    <w:p>
      <w:pPr>
        <w:ind w:right="20"/>
        <w:spacing w:after="0" w:line="245" w:lineRule="auto"/>
        <w:rPr>
          <w:sz w:val="20"/>
          <w:szCs w:val="20"/>
          <w:color w:val="auto"/>
        </w:rPr>
      </w:pPr>
      <w:r>
        <w:rPr>
          <w:rFonts w:ascii="Arial" w:cs="Arial" w:eastAsia="Arial" w:hAnsi="Arial"/>
          <w:sz w:val="14"/>
          <w:szCs w:val="14"/>
          <w:color w:val="231F20"/>
        </w:rPr>
        <w:t>The Company will provide without charge, upon written request, a copy of the Company’s Annual Report on Form 10-K for 2020 and 2020 Annual Report to Shareholders. Please direct your request to Investor Relations Department, Essential Utilities, Inc., 762 W. Lancaster Ave., Bryn Mawr, PA 19010. Copies of our Corporate Governance Guidelines, Committee Charters and Code of Ethical Business Conduct can be obtained free of charge from the Corporate Governance portion of the Investor Relations section of the Company’s website: www.Essential.co.</w:t>
      </w:r>
    </w:p>
    <w:p>
      <w:pPr>
        <w:spacing w:after="0" w:line="95" w:lineRule="exact"/>
        <w:rPr>
          <w:sz w:val="20"/>
          <w:szCs w:val="20"/>
          <w:color w:val="auto"/>
        </w:rPr>
      </w:pPr>
    </w:p>
    <w:p>
      <w:pPr>
        <w:spacing w:after="0"/>
        <w:rPr>
          <w:sz w:val="20"/>
          <w:szCs w:val="20"/>
          <w:color w:val="auto"/>
        </w:rPr>
      </w:pPr>
      <w:r>
        <w:rPr>
          <w:rFonts w:ascii="Arial" w:cs="Arial" w:eastAsia="Arial" w:hAnsi="Arial"/>
          <w:sz w:val="20"/>
          <w:szCs w:val="20"/>
          <w:b w:val="1"/>
          <w:bCs w:val="1"/>
          <w:color w:val="231F20"/>
        </w:rPr>
        <w:t>Other Matters</w:t>
      </w:r>
    </w:p>
    <w:p>
      <w:pPr>
        <w:spacing w:after="0" w:line="166" w:lineRule="exact"/>
        <w:rPr>
          <w:sz w:val="20"/>
          <w:szCs w:val="20"/>
          <w:color w:val="auto"/>
        </w:rPr>
      </w:pPr>
    </w:p>
    <w:p>
      <w:pPr>
        <w:ind w:right="180"/>
        <w:spacing w:after="0" w:line="278" w:lineRule="auto"/>
        <w:rPr>
          <w:sz w:val="20"/>
          <w:szCs w:val="20"/>
          <w:color w:val="auto"/>
        </w:rPr>
      </w:pPr>
      <w:r>
        <w:rPr>
          <w:rFonts w:ascii="Arial" w:cs="Arial" w:eastAsia="Arial" w:hAnsi="Arial"/>
          <w:sz w:val="14"/>
          <w:szCs w:val="14"/>
          <w:color w:val="231F20"/>
        </w:rPr>
        <w:t>The Board of Directors is not aware of any other matters which may come before the meeting. However, if any further business should properly come before the meeting, the persons named in the enclosed proxy will vote upon such business in accordance with their judgment.</w:t>
      </w:r>
    </w:p>
    <w:p>
      <w:pPr>
        <w:spacing w:after="0" w:line="86" w:lineRule="exact"/>
        <w:rPr>
          <w:sz w:val="20"/>
          <w:szCs w:val="20"/>
          <w:color w:val="auto"/>
        </w:rPr>
      </w:pPr>
    </w:p>
    <w:p>
      <w:pPr>
        <w:spacing w:after="0"/>
        <w:rPr>
          <w:sz w:val="20"/>
          <w:szCs w:val="20"/>
          <w:color w:val="auto"/>
        </w:rPr>
      </w:pPr>
      <w:r>
        <w:rPr>
          <w:rFonts w:ascii="Arial" w:cs="Arial" w:eastAsia="Arial" w:hAnsi="Arial"/>
          <w:sz w:val="14"/>
          <w:szCs w:val="14"/>
          <w:color w:val="231F20"/>
        </w:rPr>
        <w:t>By Order of the Board of Directors,</w:t>
      </w:r>
    </w:p>
    <w:p>
      <w:pPr>
        <w:spacing w:after="0" w:line="145" w:lineRule="exact"/>
        <w:rPr>
          <w:sz w:val="20"/>
          <w:szCs w:val="20"/>
          <w:color w:val="auto"/>
        </w:rPr>
      </w:pPr>
    </w:p>
    <w:p>
      <w:pPr>
        <w:spacing w:after="0"/>
        <w:rPr>
          <w:sz w:val="20"/>
          <w:szCs w:val="20"/>
          <w:color w:val="auto"/>
        </w:rPr>
      </w:pPr>
      <w:r>
        <w:rPr>
          <w:rFonts w:ascii="Arial" w:cs="Arial" w:eastAsia="Arial" w:hAnsi="Arial"/>
          <w:sz w:val="14"/>
          <w:szCs w:val="14"/>
          <w:color w:val="231F20"/>
        </w:rPr>
        <w:t>CHRISTOPHER P. LUNING</w:t>
      </w:r>
    </w:p>
    <w:p>
      <w:pPr>
        <w:spacing w:after="0" w:line="145" w:lineRule="exact"/>
        <w:rPr>
          <w:sz w:val="20"/>
          <w:szCs w:val="20"/>
          <w:color w:val="auto"/>
        </w:rPr>
      </w:pPr>
    </w:p>
    <w:p>
      <w:pPr>
        <w:spacing w:after="0"/>
        <w:rPr>
          <w:sz w:val="20"/>
          <w:szCs w:val="20"/>
          <w:color w:val="auto"/>
        </w:rPr>
      </w:pPr>
      <w:r>
        <w:rPr>
          <w:rFonts w:ascii="Arial" w:cs="Arial" w:eastAsia="Arial" w:hAnsi="Arial"/>
          <w:sz w:val="14"/>
          <w:szCs w:val="14"/>
          <w:color w:val="231F20"/>
        </w:rPr>
        <w:t>Secretary</w:t>
      </w:r>
    </w:p>
    <w:p>
      <w:pPr>
        <w:spacing w:after="0" w:line="145" w:lineRule="exact"/>
        <w:rPr>
          <w:sz w:val="20"/>
          <w:szCs w:val="20"/>
          <w:color w:val="auto"/>
        </w:rPr>
      </w:pPr>
    </w:p>
    <w:p>
      <w:pPr>
        <w:spacing w:after="0"/>
        <w:rPr>
          <w:sz w:val="20"/>
          <w:szCs w:val="20"/>
          <w:color w:val="auto"/>
        </w:rPr>
      </w:pPr>
      <w:r>
        <w:rPr>
          <w:rFonts w:ascii="Arial" w:cs="Arial" w:eastAsia="Arial" w:hAnsi="Arial"/>
          <w:sz w:val="14"/>
          <w:szCs w:val="14"/>
          <w:color w:val="231F20"/>
        </w:rPr>
        <w:t>March 22,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130175</wp:posOffset>
            </wp:positionV>
            <wp:extent cx="7139940" cy="825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7139940" cy="8255"/>
                    </a:xfrm>
                    <a:prstGeom prst="rect">
                      <a:avLst/>
                    </a:prstGeom>
                    <a:noFill/>
                  </pic:spPr>
                </pic:pic>
              </a:graphicData>
            </a:graphic>
          </wp:anchor>
        </w:drawing>
      </w:r>
    </w:p>
    <w:p>
      <w:pPr>
        <w:spacing w:after="0" w:line="230" w:lineRule="exact"/>
        <w:rPr>
          <w:sz w:val="20"/>
          <w:szCs w:val="20"/>
          <w:color w:val="auto"/>
        </w:rPr>
      </w:pPr>
    </w:p>
    <w:p>
      <w:pPr>
        <w:jc w:val="right"/>
        <w:spacing w:after="0"/>
        <w:tabs>
          <w:tab w:leader="none" w:pos="140" w:val="left"/>
        </w:tabs>
        <w:rPr>
          <w:sz w:val="20"/>
          <w:szCs w:val="20"/>
          <w:color w:val="auto"/>
        </w:rPr>
      </w:pPr>
      <w:r>
        <w:rPr>
          <w:rFonts w:ascii="Arial" w:cs="Arial" w:eastAsia="Arial" w:hAnsi="Arial"/>
          <w:sz w:val="12"/>
          <w:szCs w:val="12"/>
          <w:color w:val="4395D4"/>
        </w:rPr>
        <w:t xml:space="preserve">ESSENTIAL UTILITIES, INC. </w:t>
      </w:r>
      <w:r>
        <w:rPr>
          <w:rFonts w:ascii="Arial" w:cs="Arial" w:eastAsia="Arial" w:hAnsi="Arial"/>
          <w:sz w:val="12"/>
          <w:szCs w:val="12"/>
          <w:color w:val="455986"/>
        </w:rPr>
        <w:t>2021 PROXY STATEMENT</w:t>
      </w:r>
      <w:r>
        <w:rPr>
          <w:sz w:val="20"/>
          <w:szCs w:val="20"/>
          <w:color w:val="auto"/>
        </w:rPr>
        <w:tab/>
      </w:r>
      <w:r>
        <w:rPr>
          <w:rFonts w:ascii="Arial" w:cs="Arial" w:eastAsia="Arial" w:hAnsi="Arial"/>
          <w:sz w:val="14"/>
          <w:szCs w:val="14"/>
          <w:color w:val="455986"/>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339090</wp:posOffset>
            </wp:positionV>
            <wp:extent cx="7139940" cy="24130"/>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7139940" cy="24130"/>
                    </a:xfrm>
                    <a:prstGeom prst="rect">
                      <a:avLst/>
                    </a:prstGeom>
                    <a:noFill/>
                  </pic:spPr>
                </pic:pic>
              </a:graphicData>
            </a:graphic>
          </wp:anchor>
        </w:drawing>
      </w:r>
    </w:p>
    <w:p>
      <w:pPr>
        <w:sectPr>
          <w:pgSz w:w="11900" w:h="16838" w:orient="portrait"/>
          <w:cols w:equalWidth="0" w:num="1">
            <w:col w:w="11240"/>
          </w:cols>
          <w:pgMar w:left="320" w:top="636" w:right="339" w:bottom="1440" w:gutter="0" w:footer="0" w:header="0"/>
        </w:sectPr>
      </w:pPr>
    </w:p>
    <w:bookmarkStart w:id="94" w:name="page95"/>
    <w:bookmarkEnd w:id="94"/>
    <w:p>
      <w:pPr>
        <w:spacing w:after="0"/>
        <w:rPr>
          <w:sz w:val="20"/>
          <w:szCs w:val="20"/>
          <w:color w:val="auto"/>
        </w:rPr>
      </w:pPr>
      <w:r>
        <w:rPr>
          <w:rFonts w:ascii="Arial" w:cs="Arial" w:eastAsia="Arial" w:hAnsi="Arial"/>
          <w:sz w:val="48"/>
          <w:szCs w:val="48"/>
          <w:color w:val="455986"/>
        </w:rPr>
        <w:t>Appendix A</w:t>
      </w:r>
    </w:p>
    <w:p>
      <w:pPr>
        <w:spacing w:after="0" w:line="188" w:lineRule="exact"/>
        <w:rPr>
          <w:sz w:val="20"/>
          <w:szCs w:val="20"/>
          <w:color w:val="auto"/>
        </w:rPr>
      </w:pPr>
    </w:p>
    <w:p>
      <w:pPr>
        <w:spacing w:after="0"/>
        <w:rPr>
          <w:sz w:val="20"/>
          <w:szCs w:val="20"/>
          <w:color w:val="auto"/>
        </w:rPr>
      </w:pPr>
      <w:r>
        <w:rPr>
          <w:rFonts w:ascii="Arial" w:cs="Arial" w:eastAsia="Arial" w:hAnsi="Arial"/>
          <w:sz w:val="14"/>
          <w:szCs w:val="14"/>
          <w:color w:val="231F20"/>
        </w:rPr>
        <w:t>Essential Utilities Peer Group of Companies:</w:t>
      </w:r>
    </w:p>
    <w:p>
      <w:pPr>
        <w:spacing w:after="0" w:line="143" w:lineRule="exact"/>
        <w:rPr>
          <w:sz w:val="20"/>
          <w:szCs w:val="20"/>
          <w:color w:val="auto"/>
        </w:rPr>
      </w:pPr>
    </w:p>
    <w:p>
      <w:pPr>
        <w:spacing w:after="0"/>
        <w:rPr>
          <w:sz w:val="20"/>
          <w:szCs w:val="20"/>
          <w:color w:val="auto"/>
        </w:rPr>
      </w:pPr>
      <w:r>
        <w:rPr>
          <w:rFonts w:ascii="Arial" w:cs="Arial" w:eastAsia="Arial" w:hAnsi="Arial"/>
          <w:sz w:val="14"/>
          <w:szCs w:val="14"/>
          <w:b w:val="1"/>
          <w:bCs w:val="1"/>
          <w:color w:val="455986"/>
        </w:rPr>
        <w:t>Investor-Owned Utilities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17780</wp:posOffset>
            </wp:positionV>
            <wp:extent cx="3566160" cy="825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51" w:lineRule="exact"/>
        <w:rPr>
          <w:sz w:val="20"/>
          <w:szCs w:val="20"/>
          <w:color w:val="auto"/>
        </w:rPr>
      </w:pPr>
    </w:p>
    <w:p>
      <w:pPr>
        <w:ind w:left="300" w:hanging="298"/>
        <w:spacing w:after="0"/>
        <w:tabs>
          <w:tab w:leader="none" w:pos="300" w:val="left"/>
        </w:tabs>
        <w:numPr>
          <w:ilvl w:val="0"/>
          <w:numId w:val="158"/>
        </w:numPr>
        <w:rPr>
          <w:rFonts w:ascii="Arial" w:cs="Arial" w:eastAsia="Arial" w:hAnsi="Arial"/>
          <w:sz w:val="14"/>
          <w:szCs w:val="14"/>
          <w:color w:val="231F20"/>
        </w:rPr>
      </w:pPr>
      <w:r>
        <w:rPr>
          <w:rFonts w:ascii="Arial" w:cs="Arial" w:eastAsia="Arial" w:hAnsi="Arial"/>
          <w:sz w:val="14"/>
          <w:szCs w:val="14"/>
          <w:color w:val="231F20"/>
        </w:rPr>
        <w:t>Alliant Energy</w:t>
      </w:r>
    </w:p>
    <w:p>
      <w:pPr>
        <w:spacing w:after="0" w:line="107" w:lineRule="exact"/>
        <w:rPr>
          <w:rFonts w:ascii="Arial" w:cs="Arial" w:eastAsia="Arial" w:hAnsi="Arial"/>
          <w:sz w:val="14"/>
          <w:szCs w:val="14"/>
          <w:color w:val="231F20"/>
        </w:rPr>
      </w:pPr>
    </w:p>
    <w:p>
      <w:pPr>
        <w:ind w:left="300" w:hanging="298"/>
        <w:spacing w:after="0"/>
        <w:tabs>
          <w:tab w:leader="none" w:pos="300" w:val="left"/>
        </w:tabs>
        <w:numPr>
          <w:ilvl w:val="0"/>
          <w:numId w:val="158"/>
        </w:numPr>
        <w:rPr>
          <w:rFonts w:ascii="Arial" w:cs="Arial" w:eastAsia="Arial" w:hAnsi="Arial"/>
          <w:sz w:val="14"/>
          <w:szCs w:val="14"/>
          <w:color w:val="231F20"/>
        </w:rPr>
      </w:pPr>
      <w:r>
        <w:rPr>
          <w:rFonts w:ascii="Arial" w:cs="Arial" w:eastAsia="Arial" w:hAnsi="Arial"/>
          <w:sz w:val="14"/>
          <w:szCs w:val="14"/>
          <w:color w:val="231F20"/>
        </w:rPr>
        <w:t>American States Water</w:t>
      </w:r>
    </w:p>
    <w:p>
      <w:pPr>
        <w:spacing w:after="0" w:line="107" w:lineRule="exact"/>
        <w:rPr>
          <w:rFonts w:ascii="Arial" w:cs="Arial" w:eastAsia="Arial" w:hAnsi="Arial"/>
          <w:sz w:val="14"/>
          <w:szCs w:val="14"/>
          <w:color w:val="231F20"/>
        </w:rPr>
      </w:pPr>
    </w:p>
    <w:p>
      <w:pPr>
        <w:ind w:left="300" w:hanging="298"/>
        <w:spacing w:after="0"/>
        <w:tabs>
          <w:tab w:leader="none" w:pos="300" w:val="left"/>
        </w:tabs>
        <w:numPr>
          <w:ilvl w:val="0"/>
          <w:numId w:val="158"/>
        </w:numPr>
        <w:rPr>
          <w:rFonts w:ascii="Arial" w:cs="Arial" w:eastAsia="Arial" w:hAnsi="Arial"/>
          <w:sz w:val="14"/>
          <w:szCs w:val="14"/>
          <w:color w:val="231F20"/>
        </w:rPr>
      </w:pPr>
      <w:r>
        <w:rPr>
          <w:rFonts w:ascii="Arial" w:cs="Arial" w:eastAsia="Arial" w:hAnsi="Arial"/>
          <w:sz w:val="14"/>
          <w:szCs w:val="14"/>
          <w:color w:val="231F20"/>
        </w:rPr>
        <w:t>American Water</w:t>
      </w:r>
    </w:p>
    <w:p>
      <w:pPr>
        <w:spacing w:after="0" w:line="107" w:lineRule="exact"/>
        <w:rPr>
          <w:rFonts w:ascii="Arial" w:cs="Arial" w:eastAsia="Arial" w:hAnsi="Arial"/>
          <w:sz w:val="14"/>
          <w:szCs w:val="14"/>
          <w:color w:val="231F20"/>
        </w:rPr>
      </w:pPr>
    </w:p>
    <w:p>
      <w:pPr>
        <w:ind w:left="300" w:hanging="298"/>
        <w:spacing w:after="0"/>
        <w:tabs>
          <w:tab w:leader="none" w:pos="300" w:val="left"/>
        </w:tabs>
        <w:numPr>
          <w:ilvl w:val="0"/>
          <w:numId w:val="158"/>
        </w:numPr>
        <w:rPr>
          <w:rFonts w:ascii="Arial" w:cs="Arial" w:eastAsia="Arial" w:hAnsi="Arial"/>
          <w:sz w:val="14"/>
          <w:szCs w:val="14"/>
          <w:color w:val="231F20"/>
        </w:rPr>
      </w:pPr>
      <w:r>
        <w:rPr>
          <w:rFonts w:ascii="Arial" w:cs="Arial" w:eastAsia="Arial" w:hAnsi="Arial"/>
          <w:sz w:val="14"/>
          <w:szCs w:val="14"/>
          <w:color w:val="231F20"/>
        </w:rPr>
        <w:t>Atmos Energy</w:t>
      </w:r>
    </w:p>
    <w:p>
      <w:pPr>
        <w:spacing w:after="0" w:line="107" w:lineRule="exact"/>
        <w:rPr>
          <w:rFonts w:ascii="Arial" w:cs="Arial" w:eastAsia="Arial" w:hAnsi="Arial"/>
          <w:sz w:val="14"/>
          <w:szCs w:val="14"/>
          <w:color w:val="231F20"/>
        </w:rPr>
      </w:pPr>
    </w:p>
    <w:p>
      <w:pPr>
        <w:ind w:left="300" w:hanging="298"/>
        <w:spacing w:after="0"/>
        <w:tabs>
          <w:tab w:leader="none" w:pos="300" w:val="left"/>
        </w:tabs>
        <w:numPr>
          <w:ilvl w:val="0"/>
          <w:numId w:val="158"/>
        </w:numPr>
        <w:rPr>
          <w:rFonts w:ascii="Arial" w:cs="Arial" w:eastAsia="Arial" w:hAnsi="Arial"/>
          <w:sz w:val="14"/>
          <w:szCs w:val="14"/>
          <w:color w:val="231F20"/>
        </w:rPr>
      </w:pPr>
      <w:r>
        <w:rPr>
          <w:rFonts w:ascii="Arial" w:cs="Arial" w:eastAsia="Arial" w:hAnsi="Arial"/>
          <w:sz w:val="14"/>
          <w:szCs w:val="14"/>
          <w:color w:val="231F20"/>
        </w:rPr>
        <w:t>Avista Corp.</w:t>
      </w:r>
    </w:p>
    <w:p>
      <w:pPr>
        <w:spacing w:after="0" w:line="107" w:lineRule="exact"/>
        <w:rPr>
          <w:rFonts w:ascii="Arial" w:cs="Arial" w:eastAsia="Arial" w:hAnsi="Arial"/>
          <w:sz w:val="14"/>
          <w:szCs w:val="14"/>
          <w:color w:val="231F20"/>
        </w:rPr>
      </w:pPr>
    </w:p>
    <w:p>
      <w:pPr>
        <w:ind w:left="300" w:hanging="298"/>
        <w:spacing w:after="0"/>
        <w:tabs>
          <w:tab w:leader="none" w:pos="300" w:val="left"/>
        </w:tabs>
        <w:numPr>
          <w:ilvl w:val="0"/>
          <w:numId w:val="158"/>
        </w:numPr>
        <w:rPr>
          <w:rFonts w:ascii="Arial" w:cs="Arial" w:eastAsia="Arial" w:hAnsi="Arial"/>
          <w:sz w:val="14"/>
          <w:szCs w:val="14"/>
          <w:color w:val="231F20"/>
        </w:rPr>
      </w:pPr>
      <w:r>
        <w:rPr>
          <w:rFonts w:ascii="Arial" w:cs="Arial" w:eastAsia="Arial" w:hAnsi="Arial"/>
          <w:sz w:val="14"/>
          <w:szCs w:val="14"/>
          <w:color w:val="231F20"/>
        </w:rPr>
        <w:t>Black Hills</w:t>
      </w:r>
    </w:p>
    <w:p>
      <w:pPr>
        <w:spacing w:after="0" w:line="107" w:lineRule="exact"/>
        <w:rPr>
          <w:rFonts w:ascii="Arial" w:cs="Arial" w:eastAsia="Arial" w:hAnsi="Arial"/>
          <w:sz w:val="14"/>
          <w:szCs w:val="14"/>
          <w:color w:val="231F20"/>
        </w:rPr>
      </w:pPr>
    </w:p>
    <w:p>
      <w:pPr>
        <w:ind w:left="300" w:hanging="298"/>
        <w:spacing w:after="0"/>
        <w:tabs>
          <w:tab w:leader="none" w:pos="300" w:val="left"/>
        </w:tabs>
        <w:numPr>
          <w:ilvl w:val="0"/>
          <w:numId w:val="158"/>
        </w:numPr>
        <w:rPr>
          <w:rFonts w:ascii="Arial" w:cs="Arial" w:eastAsia="Arial" w:hAnsi="Arial"/>
          <w:sz w:val="14"/>
          <w:szCs w:val="14"/>
          <w:color w:val="231F20"/>
        </w:rPr>
      </w:pPr>
      <w:r>
        <w:rPr>
          <w:rFonts w:ascii="Arial" w:cs="Arial" w:eastAsia="Arial" w:hAnsi="Arial"/>
          <w:sz w:val="14"/>
          <w:szCs w:val="14"/>
          <w:color w:val="231F20"/>
        </w:rPr>
        <w:t>California Water</w:t>
      </w:r>
    </w:p>
    <w:p>
      <w:pPr>
        <w:spacing w:after="0" w:line="107" w:lineRule="exact"/>
        <w:rPr>
          <w:rFonts w:ascii="Arial" w:cs="Arial" w:eastAsia="Arial" w:hAnsi="Arial"/>
          <w:sz w:val="14"/>
          <w:szCs w:val="14"/>
          <w:color w:val="231F20"/>
        </w:rPr>
      </w:pPr>
    </w:p>
    <w:p>
      <w:pPr>
        <w:ind w:left="300" w:hanging="298"/>
        <w:spacing w:after="0"/>
        <w:tabs>
          <w:tab w:leader="none" w:pos="300" w:val="left"/>
        </w:tabs>
        <w:numPr>
          <w:ilvl w:val="0"/>
          <w:numId w:val="158"/>
        </w:numPr>
        <w:rPr>
          <w:rFonts w:ascii="Arial" w:cs="Arial" w:eastAsia="Arial" w:hAnsi="Arial"/>
          <w:sz w:val="14"/>
          <w:szCs w:val="14"/>
          <w:color w:val="231F20"/>
        </w:rPr>
      </w:pPr>
      <w:r>
        <w:rPr>
          <w:rFonts w:ascii="Arial" w:cs="Arial" w:eastAsia="Arial" w:hAnsi="Arial"/>
          <w:sz w:val="14"/>
          <w:szCs w:val="14"/>
          <w:color w:val="231F20"/>
        </w:rPr>
        <w:t>New Jersey Resources</w:t>
      </w:r>
    </w:p>
    <w:p>
      <w:pPr>
        <w:spacing w:after="0" w:line="107" w:lineRule="exact"/>
        <w:rPr>
          <w:rFonts w:ascii="Arial" w:cs="Arial" w:eastAsia="Arial" w:hAnsi="Arial"/>
          <w:sz w:val="14"/>
          <w:szCs w:val="14"/>
          <w:color w:val="231F20"/>
        </w:rPr>
      </w:pPr>
    </w:p>
    <w:p>
      <w:pPr>
        <w:ind w:left="300" w:hanging="298"/>
        <w:spacing w:after="0"/>
        <w:tabs>
          <w:tab w:leader="none" w:pos="300" w:val="left"/>
        </w:tabs>
        <w:numPr>
          <w:ilvl w:val="0"/>
          <w:numId w:val="158"/>
        </w:numPr>
        <w:rPr>
          <w:rFonts w:ascii="Arial" w:cs="Arial" w:eastAsia="Arial" w:hAnsi="Arial"/>
          <w:sz w:val="14"/>
          <w:szCs w:val="14"/>
          <w:color w:val="231F20"/>
        </w:rPr>
      </w:pPr>
      <w:r>
        <w:rPr>
          <w:rFonts w:ascii="Arial" w:cs="Arial" w:eastAsia="Arial" w:hAnsi="Arial"/>
          <w:sz w:val="14"/>
          <w:szCs w:val="14"/>
          <w:color w:val="231F20"/>
        </w:rPr>
        <w:t>NiSource</w:t>
      </w:r>
    </w:p>
    <w:p>
      <w:pPr>
        <w:spacing w:after="0" w:line="107" w:lineRule="exact"/>
        <w:rPr>
          <w:rFonts w:ascii="Arial" w:cs="Arial" w:eastAsia="Arial" w:hAnsi="Arial"/>
          <w:sz w:val="14"/>
          <w:szCs w:val="14"/>
          <w:color w:val="231F20"/>
        </w:rPr>
      </w:pPr>
    </w:p>
    <w:p>
      <w:pPr>
        <w:ind w:left="300" w:hanging="298"/>
        <w:spacing w:after="0"/>
        <w:tabs>
          <w:tab w:leader="none" w:pos="300" w:val="left"/>
        </w:tabs>
        <w:numPr>
          <w:ilvl w:val="0"/>
          <w:numId w:val="158"/>
        </w:numPr>
        <w:rPr>
          <w:rFonts w:ascii="Arial" w:cs="Arial" w:eastAsia="Arial" w:hAnsi="Arial"/>
          <w:sz w:val="14"/>
          <w:szCs w:val="14"/>
          <w:color w:val="231F20"/>
        </w:rPr>
      </w:pPr>
      <w:r>
        <w:rPr>
          <w:rFonts w:ascii="Arial" w:cs="Arial" w:eastAsia="Arial" w:hAnsi="Arial"/>
          <w:sz w:val="14"/>
          <w:szCs w:val="14"/>
          <w:color w:val="231F20"/>
        </w:rPr>
        <w:t>NorthWestern Corp.</w:t>
      </w:r>
    </w:p>
    <w:p>
      <w:pPr>
        <w:spacing w:after="0" w:line="107" w:lineRule="exact"/>
        <w:rPr>
          <w:rFonts w:ascii="Arial" w:cs="Arial" w:eastAsia="Arial" w:hAnsi="Arial"/>
          <w:sz w:val="14"/>
          <w:szCs w:val="14"/>
          <w:color w:val="231F20"/>
        </w:rPr>
      </w:pPr>
    </w:p>
    <w:p>
      <w:pPr>
        <w:ind w:left="300" w:hanging="298"/>
        <w:spacing w:after="0"/>
        <w:tabs>
          <w:tab w:leader="none" w:pos="300" w:val="left"/>
        </w:tabs>
        <w:numPr>
          <w:ilvl w:val="0"/>
          <w:numId w:val="158"/>
        </w:numPr>
        <w:rPr>
          <w:rFonts w:ascii="Arial" w:cs="Arial" w:eastAsia="Arial" w:hAnsi="Arial"/>
          <w:sz w:val="14"/>
          <w:szCs w:val="14"/>
          <w:color w:val="231F20"/>
        </w:rPr>
      </w:pPr>
      <w:r>
        <w:rPr>
          <w:rFonts w:ascii="Arial" w:cs="Arial" w:eastAsia="Arial" w:hAnsi="Arial"/>
          <w:sz w:val="14"/>
          <w:szCs w:val="14"/>
          <w:color w:val="231F20"/>
        </w:rPr>
        <w:t>OGE Energy Corp.</w:t>
      </w:r>
    </w:p>
    <w:p>
      <w:pPr>
        <w:spacing w:after="0" w:line="107" w:lineRule="exact"/>
        <w:rPr>
          <w:rFonts w:ascii="Arial" w:cs="Arial" w:eastAsia="Arial" w:hAnsi="Arial"/>
          <w:sz w:val="14"/>
          <w:szCs w:val="14"/>
          <w:color w:val="231F20"/>
        </w:rPr>
      </w:pPr>
    </w:p>
    <w:p>
      <w:pPr>
        <w:ind w:left="300" w:hanging="298"/>
        <w:spacing w:after="0"/>
        <w:tabs>
          <w:tab w:leader="none" w:pos="300" w:val="left"/>
        </w:tabs>
        <w:numPr>
          <w:ilvl w:val="0"/>
          <w:numId w:val="158"/>
        </w:numPr>
        <w:rPr>
          <w:rFonts w:ascii="Arial" w:cs="Arial" w:eastAsia="Arial" w:hAnsi="Arial"/>
          <w:sz w:val="14"/>
          <w:szCs w:val="14"/>
          <w:color w:val="231F20"/>
        </w:rPr>
      </w:pPr>
      <w:r>
        <w:rPr>
          <w:rFonts w:ascii="Arial" w:cs="Arial" w:eastAsia="Arial" w:hAnsi="Arial"/>
          <w:sz w:val="14"/>
          <w:szCs w:val="14"/>
          <w:color w:val="231F20"/>
        </w:rPr>
        <w:t>One Gas, Inc.</w:t>
      </w:r>
    </w:p>
    <w:p>
      <w:pPr>
        <w:spacing w:after="0" w:line="107" w:lineRule="exact"/>
        <w:rPr>
          <w:rFonts w:ascii="Arial" w:cs="Arial" w:eastAsia="Arial" w:hAnsi="Arial"/>
          <w:sz w:val="14"/>
          <w:szCs w:val="14"/>
          <w:color w:val="231F20"/>
        </w:rPr>
      </w:pPr>
    </w:p>
    <w:p>
      <w:pPr>
        <w:ind w:left="300" w:hanging="298"/>
        <w:spacing w:after="0"/>
        <w:tabs>
          <w:tab w:leader="none" w:pos="300" w:val="left"/>
        </w:tabs>
        <w:numPr>
          <w:ilvl w:val="0"/>
          <w:numId w:val="158"/>
        </w:numPr>
        <w:rPr>
          <w:rFonts w:ascii="Arial" w:cs="Arial" w:eastAsia="Arial" w:hAnsi="Arial"/>
          <w:sz w:val="14"/>
          <w:szCs w:val="14"/>
          <w:color w:val="231F20"/>
        </w:rPr>
      </w:pPr>
      <w:r>
        <w:rPr>
          <w:rFonts w:ascii="Arial" w:cs="Arial" w:eastAsia="Arial" w:hAnsi="Arial"/>
          <w:sz w:val="14"/>
          <w:szCs w:val="14"/>
          <w:color w:val="231F20"/>
        </w:rPr>
        <w:t>South Jersey Industries</w:t>
      </w:r>
    </w:p>
    <w:p>
      <w:pPr>
        <w:spacing w:after="0" w:line="107" w:lineRule="exact"/>
        <w:rPr>
          <w:rFonts w:ascii="Arial" w:cs="Arial" w:eastAsia="Arial" w:hAnsi="Arial"/>
          <w:sz w:val="14"/>
          <w:szCs w:val="14"/>
          <w:color w:val="231F20"/>
        </w:rPr>
      </w:pPr>
    </w:p>
    <w:p>
      <w:pPr>
        <w:ind w:left="300" w:hanging="298"/>
        <w:spacing w:after="0"/>
        <w:tabs>
          <w:tab w:leader="none" w:pos="300" w:val="left"/>
        </w:tabs>
        <w:numPr>
          <w:ilvl w:val="0"/>
          <w:numId w:val="158"/>
        </w:numPr>
        <w:rPr>
          <w:rFonts w:ascii="Arial" w:cs="Arial" w:eastAsia="Arial" w:hAnsi="Arial"/>
          <w:sz w:val="14"/>
          <w:szCs w:val="14"/>
          <w:color w:val="231F20"/>
        </w:rPr>
      </w:pPr>
      <w:r>
        <w:rPr>
          <w:rFonts w:ascii="Arial" w:cs="Arial" w:eastAsia="Arial" w:hAnsi="Arial"/>
          <w:sz w:val="14"/>
          <w:szCs w:val="14"/>
          <w:color w:val="231F20"/>
        </w:rPr>
        <w:t>Southwest Gas</w:t>
      </w:r>
    </w:p>
    <w:p>
      <w:pPr>
        <w:spacing w:after="0" w:line="107" w:lineRule="exact"/>
        <w:rPr>
          <w:rFonts w:ascii="Arial" w:cs="Arial" w:eastAsia="Arial" w:hAnsi="Arial"/>
          <w:sz w:val="14"/>
          <w:szCs w:val="14"/>
          <w:color w:val="231F20"/>
        </w:rPr>
      </w:pPr>
    </w:p>
    <w:p>
      <w:pPr>
        <w:ind w:left="300" w:hanging="298"/>
        <w:spacing w:after="0"/>
        <w:tabs>
          <w:tab w:leader="none" w:pos="300" w:val="left"/>
        </w:tabs>
        <w:numPr>
          <w:ilvl w:val="0"/>
          <w:numId w:val="158"/>
        </w:numPr>
        <w:rPr>
          <w:rFonts w:ascii="Arial" w:cs="Arial" w:eastAsia="Arial" w:hAnsi="Arial"/>
          <w:sz w:val="14"/>
          <w:szCs w:val="14"/>
          <w:color w:val="231F20"/>
        </w:rPr>
      </w:pPr>
      <w:r>
        <w:rPr>
          <w:rFonts w:ascii="Arial" w:cs="Arial" w:eastAsia="Arial" w:hAnsi="Arial"/>
          <w:sz w:val="14"/>
          <w:szCs w:val="14"/>
          <w:color w:val="231F20"/>
        </w:rPr>
        <w:t>Spire,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-2341245</wp:posOffset>
            </wp:positionV>
            <wp:extent cx="3566160" cy="825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3566160" cy="825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-2171065</wp:posOffset>
            </wp:positionV>
            <wp:extent cx="3566160" cy="825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3566160" cy="825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-2000885</wp:posOffset>
            </wp:positionV>
            <wp:extent cx="3566160" cy="825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3566160" cy="825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-1830705</wp:posOffset>
            </wp:positionV>
            <wp:extent cx="3566160" cy="825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3566160" cy="825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-1660525</wp:posOffset>
            </wp:positionV>
            <wp:extent cx="3566160" cy="8255"/>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3566160" cy="825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-1490345</wp:posOffset>
            </wp:positionV>
            <wp:extent cx="3566160" cy="8255"/>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3566160" cy="825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-1320165</wp:posOffset>
            </wp:positionV>
            <wp:extent cx="3566160" cy="8255"/>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3566160" cy="825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-1149985</wp:posOffset>
            </wp:positionV>
            <wp:extent cx="3566160" cy="8255"/>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3566160" cy="825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-979805</wp:posOffset>
            </wp:positionV>
            <wp:extent cx="3566160" cy="8255"/>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3566160" cy="825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-809625</wp:posOffset>
            </wp:positionV>
            <wp:extent cx="3566160" cy="8255"/>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3566160" cy="825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-639445</wp:posOffset>
            </wp:positionV>
            <wp:extent cx="3566160" cy="8255"/>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3566160" cy="825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-469265</wp:posOffset>
            </wp:positionV>
            <wp:extent cx="3566160" cy="8255"/>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3566160" cy="825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-299085</wp:posOffset>
            </wp:positionV>
            <wp:extent cx="3566160" cy="8255"/>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3566160" cy="825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-128905</wp:posOffset>
            </wp:positionV>
            <wp:extent cx="3566160" cy="8255"/>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3566160" cy="825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40640</wp:posOffset>
            </wp:positionV>
            <wp:extent cx="3566160" cy="8255"/>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3566160" cy="825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162560</wp:posOffset>
            </wp:positionV>
            <wp:extent cx="7139940" cy="8255"/>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7139940" cy="8255"/>
                    </a:xfrm>
                    <a:prstGeom prst="rect">
                      <a:avLst/>
                    </a:prstGeom>
                    <a:noFill/>
                  </pic:spPr>
                </pic:pic>
              </a:graphicData>
            </a:graphic>
          </wp:anchor>
        </w:drawing>
      </w:r>
    </w:p>
    <w:p>
      <w:pPr>
        <w:spacing w:after="0" w:line="281" w:lineRule="exact"/>
        <w:rPr>
          <w:sz w:val="20"/>
          <w:szCs w:val="20"/>
          <w:color w:val="auto"/>
        </w:rPr>
      </w:pPr>
    </w:p>
    <w:p>
      <w:pPr>
        <w:spacing w:after="0"/>
        <w:tabs>
          <w:tab w:leader="none" w:pos="340" w:val="left"/>
        </w:tabs>
        <w:rPr>
          <w:sz w:val="20"/>
          <w:szCs w:val="20"/>
          <w:color w:val="auto"/>
        </w:rPr>
      </w:pPr>
      <w:r>
        <w:rPr>
          <w:rFonts w:ascii="Arial" w:cs="Arial" w:eastAsia="Arial" w:hAnsi="Arial"/>
          <w:sz w:val="15"/>
          <w:szCs w:val="15"/>
          <w:color w:val="455986"/>
        </w:rPr>
        <w:t>A-1</w:t>
      </w:r>
      <w:r>
        <w:rPr>
          <w:sz w:val="20"/>
          <w:szCs w:val="20"/>
          <w:color w:val="auto"/>
        </w:rPr>
        <w:tab/>
      </w:r>
      <w:r>
        <w:rPr>
          <w:rFonts w:ascii="Arial" w:cs="Arial" w:eastAsia="Arial" w:hAnsi="Arial"/>
          <w:sz w:val="11"/>
          <w:szCs w:val="11"/>
          <w:color w:val="4395D4"/>
        </w:rPr>
        <w:t xml:space="preserve">ESSENTIAL UTILITIES, INC. </w:t>
      </w:r>
      <w:r>
        <w:rPr>
          <w:rFonts w:ascii="Arial" w:cs="Arial" w:eastAsia="Arial" w:hAnsi="Arial"/>
          <w:sz w:val="11"/>
          <w:szCs w:val="11"/>
          <w:color w:val="455986"/>
        </w:rPr>
        <w:t>2021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339725</wp:posOffset>
            </wp:positionV>
            <wp:extent cx="7139940" cy="24130"/>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7139940" cy="24130"/>
                    </a:xfrm>
                    <a:prstGeom prst="rect">
                      <a:avLst/>
                    </a:prstGeom>
                    <a:noFill/>
                  </pic:spPr>
                </pic:pic>
              </a:graphicData>
            </a:graphic>
          </wp:anchor>
        </w:drawing>
      </w:r>
    </w:p>
    <w:p>
      <w:pPr>
        <w:sectPr>
          <w:pgSz w:w="11900" w:h="16838" w:orient="portrait"/>
          <w:cols w:equalWidth="0" w:num="1">
            <w:col w:w="10139"/>
          </w:cols>
          <w:pgMar w:left="320" w:top="591" w:right="1440" w:bottom="1440" w:gutter="0" w:footer="0" w:header="0"/>
        </w:sectPr>
      </w:pPr>
    </w:p>
    <w:bookmarkStart w:id="95" w:name="page96"/>
    <w:bookmarkEnd w:id="95"/>
    <w:p>
      <w:pPr>
        <w:spacing w:after="0"/>
        <w:rPr>
          <w:sz w:val="20"/>
          <w:szCs w:val="20"/>
          <w:color w:val="auto"/>
        </w:rPr>
      </w:pPr>
      <w:r>
        <w:rPr>
          <w:rFonts w:ascii="Arial" w:cs="Arial" w:eastAsia="Arial" w:hAnsi="Arial"/>
          <w:sz w:val="48"/>
          <w:szCs w:val="48"/>
          <w:color w:val="455986"/>
        </w:rPr>
        <w:t>Appendix B</w:t>
      </w:r>
    </w:p>
    <w:p>
      <w:pPr>
        <w:spacing w:after="0" w:line="175" w:lineRule="exact"/>
        <w:rPr>
          <w:sz w:val="20"/>
          <w:szCs w:val="20"/>
          <w:color w:val="auto"/>
        </w:rPr>
      </w:pPr>
    </w:p>
    <w:p>
      <w:pPr>
        <w:spacing w:after="0"/>
        <w:rPr>
          <w:sz w:val="20"/>
          <w:szCs w:val="20"/>
          <w:color w:val="auto"/>
        </w:rPr>
      </w:pPr>
      <w:r>
        <w:rPr>
          <w:rFonts w:ascii="Arial" w:cs="Arial" w:eastAsia="Arial" w:hAnsi="Arial"/>
          <w:sz w:val="20"/>
          <w:szCs w:val="20"/>
          <w:b w:val="1"/>
          <w:bCs w:val="1"/>
          <w:color w:val="231F20"/>
        </w:rPr>
        <w:t>Reconciliation of Non-GAAP Financial Metrics</w:t>
      </w:r>
    </w:p>
    <w:p>
      <w:pPr>
        <w:spacing w:after="0" w:line="166" w:lineRule="exact"/>
        <w:rPr>
          <w:sz w:val="20"/>
          <w:szCs w:val="20"/>
          <w:color w:val="auto"/>
        </w:rPr>
      </w:pPr>
    </w:p>
    <w:p>
      <w:pPr>
        <w:spacing w:after="0"/>
        <w:rPr>
          <w:sz w:val="20"/>
          <w:szCs w:val="20"/>
          <w:color w:val="auto"/>
        </w:rPr>
      </w:pPr>
      <w:r>
        <w:rPr>
          <w:rFonts w:ascii="Arial" w:cs="Arial" w:eastAsia="Arial" w:hAnsi="Arial"/>
          <w:sz w:val="14"/>
          <w:szCs w:val="14"/>
          <w:color w:val="231F20"/>
        </w:rPr>
        <w:t>Adjusted revenue and adjusted EPS are non-GAAP financial measures that are derived from the following GAAP financial measures: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360" w:type="dxa"/>
            <w:vAlign w:val="bottom"/>
          </w:tcPr>
          <w:p>
            <w:pPr>
              <w:spacing w:after="0"/>
              <w:rPr>
                <w:sz w:val="16"/>
                <w:szCs w:val="16"/>
                <w:color w:val="auto"/>
              </w:rPr>
            </w:pPr>
          </w:p>
        </w:tc>
        <w:tc>
          <w:tcPr>
            <w:tcW w:w="5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740" w:type="dxa"/>
            <w:vAlign w:val="bottom"/>
            <w:gridSpan w:val="4"/>
          </w:tcPr>
          <w:p>
            <w:pPr>
              <w:jc w:val="right"/>
              <w:ind w:right="820"/>
              <w:spacing w:after="0"/>
              <w:rPr>
                <w:sz w:val="20"/>
                <w:szCs w:val="20"/>
                <w:color w:val="auto"/>
              </w:rPr>
            </w:pPr>
            <w:r>
              <w:rPr>
                <w:rFonts w:ascii="Arial" w:cs="Arial" w:eastAsia="Arial" w:hAnsi="Arial"/>
                <w:sz w:val="14"/>
                <w:szCs w:val="14"/>
                <w:color w:val="455986"/>
              </w:rPr>
              <w:t>Quarter Ended December 31,</w:t>
            </w:r>
          </w:p>
        </w:tc>
        <w:tc>
          <w:tcPr>
            <w:tcW w:w="220" w:type="dxa"/>
            <w:vAlign w:val="bottom"/>
          </w:tcPr>
          <w:p>
            <w:pPr>
              <w:spacing w:after="0"/>
              <w:rPr>
                <w:sz w:val="16"/>
                <w:szCs w:val="16"/>
                <w:color w:val="auto"/>
              </w:rPr>
            </w:pPr>
          </w:p>
        </w:tc>
        <w:tc>
          <w:tcPr>
            <w:tcW w:w="2320" w:type="dxa"/>
            <w:vAlign w:val="bottom"/>
            <w:gridSpan w:val="3"/>
          </w:tcPr>
          <w:p>
            <w:pPr>
              <w:jc w:val="right"/>
              <w:ind w:right="452"/>
              <w:spacing w:after="0"/>
              <w:rPr>
                <w:sz w:val="20"/>
                <w:szCs w:val="20"/>
                <w:color w:val="auto"/>
              </w:rPr>
            </w:pPr>
            <w:r>
              <w:rPr>
                <w:rFonts w:ascii="Arial" w:cs="Arial" w:eastAsia="Arial" w:hAnsi="Arial"/>
                <w:sz w:val="14"/>
                <w:szCs w:val="14"/>
                <w:color w:val="455986"/>
              </w:rPr>
              <w:t>Year Ended December 31,</w:t>
            </w:r>
          </w:p>
        </w:tc>
      </w:tr>
      <w:tr>
        <w:trPr>
          <w:trHeight w:val="197"/>
        </w:trPr>
        <w:tc>
          <w:tcPr>
            <w:tcW w:w="360" w:type="dxa"/>
            <w:vAlign w:val="bottom"/>
            <w:tcBorders>
              <w:bottom w:val="single" w:sz="8" w:color="4395D4"/>
            </w:tcBorders>
          </w:tcPr>
          <w:p>
            <w:pPr>
              <w:spacing w:after="0"/>
              <w:rPr>
                <w:sz w:val="17"/>
                <w:szCs w:val="17"/>
                <w:color w:val="auto"/>
              </w:rPr>
            </w:pPr>
          </w:p>
        </w:tc>
        <w:tc>
          <w:tcPr>
            <w:tcW w:w="5160" w:type="dxa"/>
            <w:vAlign w:val="bottom"/>
            <w:tcBorders>
              <w:bottom w:val="single" w:sz="8" w:color="4395D4"/>
            </w:tcBorders>
          </w:tcPr>
          <w:p>
            <w:pPr>
              <w:spacing w:after="0"/>
              <w:rPr>
                <w:sz w:val="17"/>
                <w:szCs w:val="17"/>
                <w:color w:val="auto"/>
              </w:rPr>
            </w:pPr>
          </w:p>
        </w:tc>
        <w:tc>
          <w:tcPr>
            <w:tcW w:w="220" w:type="dxa"/>
            <w:vAlign w:val="bottom"/>
            <w:tcBorders>
              <w:bottom w:val="single" w:sz="8" w:color="4395D4"/>
            </w:tcBorders>
          </w:tcPr>
          <w:p>
            <w:pPr>
              <w:spacing w:after="0"/>
              <w:rPr>
                <w:sz w:val="17"/>
                <w:szCs w:val="17"/>
                <w:color w:val="auto"/>
              </w:rPr>
            </w:pPr>
          </w:p>
        </w:tc>
        <w:tc>
          <w:tcPr>
            <w:tcW w:w="220" w:type="dxa"/>
            <w:vAlign w:val="bottom"/>
            <w:tcBorders>
              <w:top w:val="single" w:sz="8" w:color="4395D4"/>
              <w:bottom w:val="single" w:sz="8" w:color="4395D4"/>
            </w:tcBorders>
          </w:tcPr>
          <w:p>
            <w:pPr>
              <w:spacing w:after="0"/>
              <w:rPr>
                <w:sz w:val="17"/>
                <w:szCs w:val="17"/>
                <w:color w:val="auto"/>
              </w:rPr>
            </w:pPr>
          </w:p>
        </w:tc>
        <w:tc>
          <w:tcPr>
            <w:tcW w:w="1060" w:type="dxa"/>
            <w:vAlign w:val="bottom"/>
            <w:tcBorders>
              <w:top w:val="single" w:sz="8" w:color="4395D4"/>
              <w:bottom w:val="single" w:sz="8" w:color="4395D4"/>
            </w:tcBorders>
          </w:tcPr>
          <w:p>
            <w:pPr>
              <w:jc w:val="right"/>
              <w:ind w:right="552"/>
              <w:spacing w:after="0"/>
              <w:rPr>
                <w:sz w:val="20"/>
                <w:szCs w:val="20"/>
                <w:color w:val="auto"/>
              </w:rPr>
            </w:pPr>
            <w:r>
              <w:rPr>
                <w:rFonts w:ascii="Arial" w:cs="Arial" w:eastAsia="Arial" w:hAnsi="Arial"/>
                <w:sz w:val="14"/>
                <w:szCs w:val="14"/>
                <w:color w:val="455986"/>
              </w:rPr>
              <w:t>2020</w:t>
            </w:r>
          </w:p>
        </w:tc>
        <w:tc>
          <w:tcPr>
            <w:tcW w:w="420" w:type="dxa"/>
            <w:vAlign w:val="bottom"/>
            <w:tcBorders>
              <w:top w:val="single" w:sz="8" w:color="4395D4"/>
              <w:bottom w:val="single" w:sz="8" w:color="4395D4"/>
            </w:tcBorders>
          </w:tcPr>
          <w:p>
            <w:pPr>
              <w:spacing w:after="0"/>
              <w:rPr>
                <w:sz w:val="17"/>
                <w:szCs w:val="17"/>
                <w:color w:val="auto"/>
              </w:rPr>
            </w:pPr>
          </w:p>
        </w:tc>
        <w:tc>
          <w:tcPr>
            <w:tcW w:w="800" w:type="dxa"/>
            <w:vAlign w:val="bottom"/>
            <w:tcBorders>
              <w:top w:val="single" w:sz="8" w:color="4395D4"/>
              <w:bottom w:val="single" w:sz="8" w:color="4395D4"/>
            </w:tcBorders>
          </w:tcPr>
          <w:p>
            <w:pPr>
              <w:jc w:val="right"/>
              <w:ind w:right="292"/>
              <w:spacing w:after="0"/>
              <w:rPr>
                <w:sz w:val="20"/>
                <w:szCs w:val="20"/>
                <w:color w:val="auto"/>
              </w:rPr>
            </w:pPr>
            <w:r>
              <w:rPr>
                <w:rFonts w:ascii="Arial" w:cs="Arial" w:eastAsia="Arial" w:hAnsi="Arial"/>
                <w:sz w:val="14"/>
                <w:szCs w:val="14"/>
                <w:color w:val="455986"/>
              </w:rPr>
              <w:t>2019</w:t>
            </w:r>
          </w:p>
        </w:tc>
        <w:tc>
          <w:tcPr>
            <w:tcW w:w="460" w:type="dxa"/>
            <w:vAlign w:val="bottom"/>
            <w:tcBorders>
              <w:bottom w:val="single" w:sz="8" w:color="4395D4"/>
            </w:tcBorders>
          </w:tcPr>
          <w:p>
            <w:pPr>
              <w:spacing w:after="0"/>
              <w:rPr>
                <w:sz w:val="17"/>
                <w:szCs w:val="17"/>
                <w:color w:val="auto"/>
              </w:rPr>
            </w:pPr>
          </w:p>
        </w:tc>
        <w:tc>
          <w:tcPr>
            <w:tcW w:w="220" w:type="dxa"/>
            <w:vAlign w:val="bottom"/>
            <w:tcBorders>
              <w:top w:val="single" w:sz="8" w:color="4395D4"/>
              <w:bottom w:val="single" w:sz="8" w:color="4395D4"/>
            </w:tcBorders>
          </w:tcPr>
          <w:p>
            <w:pPr>
              <w:spacing w:after="0"/>
              <w:rPr>
                <w:sz w:val="17"/>
                <w:szCs w:val="17"/>
                <w:color w:val="auto"/>
              </w:rPr>
            </w:pPr>
          </w:p>
        </w:tc>
        <w:tc>
          <w:tcPr>
            <w:tcW w:w="1040" w:type="dxa"/>
            <w:vAlign w:val="bottom"/>
            <w:tcBorders>
              <w:top w:val="single" w:sz="8" w:color="4395D4"/>
              <w:bottom w:val="single" w:sz="8" w:color="4395D4"/>
            </w:tcBorders>
          </w:tcPr>
          <w:p>
            <w:pPr>
              <w:jc w:val="right"/>
              <w:ind w:right="532"/>
              <w:spacing w:after="0"/>
              <w:rPr>
                <w:sz w:val="20"/>
                <w:szCs w:val="20"/>
                <w:color w:val="auto"/>
              </w:rPr>
            </w:pPr>
            <w:r>
              <w:rPr>
                <w:rFonts w:ascii="Arial" w:cs="Arial" w:eastAsia="Arial" w:hAnsi="Arial"/>
                <w:sz w:val="14"/>
                <w:szCs w:val="14"/>
                <w:color w:val="455986"/>
              </w:rPr>
              <w:t>2020</w:t>
            </w:r>
          </w:p>
        </w:tc>
        <w:tc>
          <w:tcPr>
            <w:tcW w:w="400" w:type="dxa"/>
            <w:vAlign w:val="bottom"/>
            <w:tcBorders>
              <w:top w:val="single" w:sz="8" w:color="4395D4"/>
              <w:bottom w:val="single" w:sz="8" w:color="4395D4"/>
            </w:tcBorders>
          </w:tcPr>
          <w:p>
            <w:pPr>
              <w:spacing w:after="0"/>
              <w:rPr>
                <w:sz w:val="17"/>
                <w:szCs w:val="17"/>
                <w:color w:val="auto"/>
              </w:rPr>
            </w:pPr>
          </w:p>
        </w:tc>
        <w:tc>
          <w:tcPr>
            <w:tcW w:w="880" w:type="dxa"/>
            <w:vAlign w:val="bottom"/>
            <w:tcBorders>
              <w:top w:val="single" w:sz="8" w:color="4395D4"/>
              <w:bottom w:val="single" w:sz="8" w:color="4395D4"/>
            </w:tcBorders>
          </w:tcPr>
          <w:p>
            <w:pPr>
              <w:jc w:val="right"/>
              <w:ind w:right="372"/>
              <w:spacing w:after="0"/>
              <w:rPr>
                <w:sz w:val="20"/>
                <w:szCs w:val="20"/>
                <w:color w:val="auto"/>
              </w:rPr>
            </w:pPr>
            <w:r>
              <w:rPr>
                <w:rFonts w:ascii="Arial" w:cs="Arial" w:eastAsia="Arial" w:hAnsi="Arial"/>
                <w:sz w:val="14"/>
                <w:szCs w:val="14"/>
                <w:color w:val="455986"/>
              </w:rPr>
              <w:t>2019</w:t>
            </w:r>
          </w:p>
        </w:tc>
      </w:tr>
      <w:tr>
        <w:trPr>
          <w:trHeight w:val="200"/>
        </w:trPr>
        <w:tc>
          <w:tcPr>
            <w:tcW w:w="552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455986"/>
              </w:rPr>
              <w:t>Net income (GAAP financial measure)</w:t>
            </w:r>
          </w:p>
        </w:tc>
        <w:tc>
          <w:tcPr>
            <w:tcW w:w="440" w:type="dxa"/>
            <w:vAlign w:val="bottom"/>
            <w:tcBorders>
              <w:bottom w:val="single" w:sz="8" w:color="auto"/>
            </w:tcBorders>
            <w:gridSpan w:val="2"/>
          </w:tcPr>
          <w:p>
            <w:pPr>
              <w:jc w:val="right"/>
              <w:ind w:right="140"/>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tcPr>
          <w:p>
            <w:pPr>
              <w:jc w:val="right"/>
              <w:ind w:right="192"/>
              <w:spacing w:after="0"/>
              <w:rPr>
                <w:sz w:val="20"/>
                <w:szCs w:val="20"/>
                <w:color w:val="auto"/>
              </w:rPr>
            </w:pPr>
            <w:r>
              <w:rPr>
                <w:rFonts w:ascii="Arial" w:cs="Arial" w:eastAsia="Arial" w:hAnsi="Arial"/>
                <w:sz w:val="14"/>
                <w:szCs w:val="14"/>
                <w:color w:val="auto"/>
              </w:rPr>
              <w:t>102,707</w:t>
            </w:r>
          </w:p>
        </w:tc>
        <w:tc>
          <w:tcPr>
            <w:tcW w:w="420" w:type="dxa"/>
            <w:vAlign w:val="bottom"/>
            <w:tcBorders>
              <w:bottom w:val="single" w:sz="8" w:color="auto"/>
            </w:tcBorders>
          </w:tcPr>
          <w:p>
            <w:pPr>
              <w:jc w:val="right"/>
              <w:ind w:right="72"/>
              <w:spacing w:after="0"/>
              <w:rPr>
                <w:sz w:val="20"/>
                <w:szCs w:val="20"/>
                <w:color w:val="auto"/>
              </w:rPr>
            </w:pPr>
            <w:r>
              <w:rPr>
                <w:rFonts w:ascii="Arial" w:cs="Arial" w:eastAsia="Arial" w:hAnsi="Arial"/>
                <w:sz w:val="14"/>
                <w:szCs w:val="14"/>
                <w:color w:val="231F20"/>
              </w:rPr>
              <w:t>$</w:t>
            </w:r>
          </w:p>
        </w:tc>
        <w:tc>
          <w:tcPr>
            <w:tcW w:w="1260" w:type="dxa"/>
            <w:vAlign w:val="bottom"/>
            <w:tcBorders>
              <w:bottom w:val="single" w:sz="8" w:color="auto"/>
            </w:tcBorders>
            <w:gridSpan w:val="2"/>
          </w:tcPr>
          <w:p>
            <w:pPr>
              <w:jc w:val="right"/>
              <w:ind w:right="460"/>
              <w:spacing w:after="0"/>
              <w:rPr>
                <w:sz w:val="20"/>
                <w:szCs w:val="20"/>
                <w:color w:val="auto"/>
              </w:rPr>
            </w:pPr>
            <w:r>
              <w:rPr>
                <w:rFonts w:ascii="Arial" w:cs="Arial" w:eastAsia="Arial" w:hAnsi="Arial"/>
                <w:sz w:val="14"/>
                <w:szCs w:val="14"/>
                <w:color w:val="231F20"/>
              </w:rPr>
              <w:t>64,227</w:t>
            </w:r>
          </w:p>
        </w:tc>
        <w:tc>
          <w:tcPr>
            <w:tcW w:w="220" w:type="dxa"/>
            <w:vAlign w:val="bottom"/>
            <w:tcBorders>
              <w:bottom w:val="single" w:sz="8" w:color="auto"/>
            </w:tcBorders>
          </w:tcPr>
          <w:p>
            <w:pPr>
              <w:jc w:val="right"/>
              <w:ind w:right="72"/>
              <w:spacing w:after="0"/>
              <w:rPr>
                <w:sz w:val="20"/>
                <w:szCs w:val="20"/>
                <w:color w:val="auto"/>
              </w:rPr>
            </w:pPr>
            <w:r>
              <w:rPr>
                <w:rFonts w:ascii="Arial" w:cs="Arial" w:eastAsia="Arial" w:hAnsi="Arial"/>
                <w:sz w:val="14"/>
                <w:szCs w:val="14"/>
                <w:color w:val="231F20"/>
                <w:w w:val="76"/>
              </w:rPr>
              <w:t>$</w:t>
            </w:r>
          </w:p>
        </w:tc>
        <w:tc>
          <w:tcPr>
            <w:tcW w:w="1040" w:type="dxa"/>
            <w:vAlign w:val="bottom"/>
            <w:tcBorders>
              <w:bottom w:val="single" w:sz="8" w:color="auto"/>
            </w:tcBorders>
          </w:tcPr>
          <w:p>
            <w:pPr>
              <w:jc w:val="right"/>
              <w:ind w:right="172"/>
              <w:spacing w:after="0"/>
              <w:rPr>
                <w:sz w:val="20"/>
                <w:szCs w:val="20"/>
                <w:color w:val="auto"/>
              </w:rPr>
            </w:pPr>
            <w:r>
              <w:rPr>
                <w:rFonts w:ascii="Arial" w:cs="Arial" w:eastAsia="Arial" w:hAnsi="Arial"/>
                <w:sz w:val="14"/>
                <w:szCs w:val="14"/>
                <w:color w:val="231F20"/>
              </w:rPr>
              <w:t>284,849</w:t>
            </w:r>
          </w:p>
        </w:tc>
        <w:tc>
          <w:tcPr>
            <w:tcW w:w="400" w:type="dxa"/>
            <w:vAlign w:val="bottom"/>
            <w:tcBorders>
              <w:bottom w:val="single" w:sz="8" w:color="auto"/>
            </w:tcBorders>
          </w:tcPr>
          <w:p>
            <w:pPr>
              <w:jc w:val="right"/>
              <w:ind w:right="72"/>
              <w:spacing w:after="0"/>
              <w:rPr>
                <w:sz w:val="20"/>
                <w:szCs w:val="20"/>
                <w:color w:val="auto"/>
              </w:rPr>
            </w:pPr>
            <w:r>
              <w:rPr>
                <w:rFonts w:ascii="Arial" w:cs="Arial" w:eastAsia="Arial" w:hAnsi="Arial"/>
                <w:sz w:val="14"/>
                <w:szCs w:val="14"/>
                <w:color w:val="231F20"/>
              </w:rPr>
              <w:t>$</w:t>
            </w:r>
          </w:p>
        </w:tc>
        <w:tc>
          <w:tcPr>
            <w:tcW w:w="88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color w:val="231F20"/>
              </w:rPr>
              <w:t>224,543</w:t>
            </w:r>
          </w:p>
        </w:tc>
      </w:tr>
      <w:tr>
        <w:trPr>
          <w:trHeight w:val="194"/>
        </w:trPr>
        <w:tc>
          <w:tcPr>
            <w:tcW w:w="360" w:type="dxa"/>
            <w:vAlign w:val="bottom"/>
            <w:tcBorders>
              <w:bottom w:val="single" w:sz="8" w:color="auto"/>
            </w:tcBorders>
          </w:tcPr>
          <w:p>
            <w:pPr>
              <w:ind w:left="180"/>
              <w:spacing w:after="0"/>
              <w:rPr>
                <w:sz w:val="20"/>
                <w:szCs w:val="20"/>
                <w:color w:val="auto"/>
              </w:rPr>
            </w:pPr>
            <w:r>
              <w:rPr>
                <w:rFonts w:ascii="Arial" w:cs="Arial" w:eastAsia="Arial" w:hAnsi="Arial"/>
                <w:sz w:val="14"/>
                <w:szCs w:val="14"/>
                <w:color w:val="231F20"/>
                <w:w w:val="93"/>
              </w:rPr>
              <w:t>(1)</w:t>
            </w:r>
          </w:p>
        </w:tc>
        <w:tc>
          <w:tcPr>
            <w:tcW w:w="516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231F20"/>
              </w:rPr>
              <w:t>Transaction-related rate credits issued to utility customers</w:t>
            </w:r>
          </w:p>
        </w:tc>
        <w:tc>
          <w:tcPr>
            <w:tcW w:w="2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192"/>
              <w:spacing w:after="0"/>
              <w:rPr>
                <w:sz w:val="20"/>
                <w:szCs w:val="20"/>
                <w:color w:val="auto"/>
              </w:rPr>
            </w:pPr>
            <w:r>
              <w:rPr>
                <w:rFonts w:ascii="Arial" w:cs="Arial" w:eastAsia="Arial" w:hAnsi="Arial"/>
                <w:sz w:val="14"/>
                <w:szCs w:val="14"/>
                <w:color w:val="231F20"/>
              </w:rPr>
              <w:t>18,924</w:t>
            </w:r>
          </w:p>
        </w:tc>
        <w:tc>
          <w:tcPr>
            <w:tcW w:w="4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2"/>
          </w:tcPr>
          <w:p>
            <w:pPr>
              <w:jc w:val="right"/>
              <w:ind w:right="460"/>
              <w:spacing w:after="0"/>
              <w:rPr>
                <w:sz w:val="20"/>
                <w:szCs w:val="20"/>
                <w:color w:val="auto"/>
              </w:rPr>
            </w:pPr>
            <w:r>
              <w:rPr>
                <w:rFonts w:ascii="Arial" w:cs="Arial" w:eastAsia="Arial" w:hAnsi="Arial"/>
                <w:sz w:val="14"/>
                <w:szCs w:val="14"/>
                <w:color w:val="231F20"/>
              </w:rPr>
              <w:t>—</w:t>
            </w:r>
          </w:p>
        </w:tc>
        <w:tc>
          <w:tcPr>
            <w:tcW w:w="2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172"/>
              <w:spacing w:after="0"/>
              <w:rPr>
                <w:sz w:val="20"/>
                <w:szCs w:val="20"/>
                <w:color w:val="auto"/>
              </w:rPr>
            </w:pPr>
            <w:r>
              <w:rPr>
                <w:rFonts w:ascii="Arial" w:cs="Arial" w:eastAsia="Arial" w:hAnsi="Arial"/>
                <w:sz w:val="14"/>
                <w:szCs w:val="14"/>
                <w:color w:val="231F20"/>
              </w:rPr>
              <w:t>23,004</w:t>
            </w:r>
          </w:p>
        </w:tc>
        <w:tc>
          <w:tcPr>
            <w:tcW w:w="40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color w:val="231F20"/>
              </w:rPr>
              <w:t>—</w:t>
            </w:r>
          </w:p>
        </w:tc>
      </w:tr>
      <w:tr>
        <w:trPr>
          <w:trHeight w:val="197"/>
        </w:trPr>
        <w:tc>
          <w:tcPr>
            <w:tcW w:w="360" w:type="dxa"/>
            <w:vAlign w:val="bottom"/>
            <w:tcBorders>
              <w:bottom w:val="single" w:sz="8" w:color="auto"/>
            </w:tcBorders>
          </w:tcPr>
          <w:p>
            <w:pPr>
              <w:ind w:left="180"/>
              <w:spacing w:after="0"/>
              <w:rPr>
                <w:sz w:val="20"/>
                <w:szCs w:val="20"/>
                <w:color w:val="auto"/>
              </w:rPr>
            </w:pPr>
            <w:r>
              <w:rPr>
                <w:rFonts w:ascii="Arial" w:cs="Arial" w:eastAsia="Arial" w:hAnsi="Arial"/>
                <w:sz w:val="14"/>
                <w:szCs w:val="14"/>
                <w:color w:val="231F20"/>
                <w:w w:val="93"/>
              </w:rPr>
              <w:t>(2)</w:t>
            </w:r>
          </w:p>
        </w:tc>
        <w:tc>
          <w:tcPr>
            <w:tcW w:w="516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231F20"/>
              </w:rPr>
              <w:t>Transaction-related expenses for the Peoples transaction closed March 16, 2020</w:t>
            </w:r>
          </w:p>
        </w:tc>
        <w:tc>
          <w:tcPr>
            <w:tcW w:w="22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192"/>
              <w:spacing w:after="0"/>
              <w:rPr>
                <w:sz w:val="20"/>
                <w:szCs w:val="20"/>
                <w:color w:val="auto"/>
              </w:rPr>
            </w:pPr>
            <w:r>
              <w:rPr>
                <w:rFonts w:ascii="Arial" w:cs="Arial" w:eastAsia="Arial" w:hAnsi="Arial"/>
                <w:sz w:val="14"/>
                <w:szCs w:val="14"/>
                <w:color w:val="231F20"/>
              </w:rPr>
              <w:t>—</w:t>
            </w:r>
          </w:p>
        </w:tc>
        <w:tc>
          <w:tcPr>
            <w:tcW w:w="42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gridSpan w:val="2"/>
          </w:tcPr>
          <w:p>
            <w:pPr>
              <w:jc w:val="right"/>
              <w:ind w:right="460"/>
              <w:spacing w:after="0"/>
              <w:rPr>
                <w:sz w:val="20"/>
                <w:szCs w:val="20"/>
                <w:color w:val="auto"/>
              </w:rPr>
            </w:pPr>
            <w:r>
              <w:rPr>
                <w:rFonts w:ascii="Arial" w:cs="Arial" w:eastAsia="Arial" w:hAnsi="Arial"/>
                <w:sz w:val="14"/>
                <w:szCs w:val="14"/>
                <w:color w:val="231F20"/>
              </w:rPr>
              <w:t>613</w:t>
            </w:r>
          </w:p>
        </w:tc>
        <w:tc>
          <w:tcPr>
            <w:tcW w:w="2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172"/>
              <w:spacing w:after="0"/>
              <w:rPr>
                <w:sz w:val="20"/>
                <w:szCs w:val="20"/>
                <w:color w:val="auto"/>
              </w:rPr>
            </w:pPr>
            <w:r>
              <w:rPr>
                <w:rFonts w:ascii="Arial" w:cs="Arial" w:eastAsia="Arial" w:hAnsi="Arial"/>
                <w:sz w:val="14"/>
                <w:szCs w:val="14"/>
                <w:color w:val="231F20"/>
              </w:rPr>
              <w:t>25,573</w:t>
            </w:r>
          </w:p>
        </w:tc>
        <w:tc>
          <w:tcPr>
            <w:tcW w:w="40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color w:val="231F20"/>
              </w:rPr>
              <w:t>66,066</w:t>
            </w:r>
          </w:p>
        </w:tc>
      </w:tr>
      <w:tr>
        <w:trPr>
          <w:trHeight w:val="163"/>
        </w:trPr>
        <w:tc>
          <w:tcPr>
            <w:tcW w:w="360" w:type="dxa"/>
            <w:vAlign w:val="bottom"/>
          </w:tcPr>
          <w:p>
            <w:pPr>
              <w:ind w:left="180"/>
              <w:spacing w:after="0"/>
              <w:rPr>
                <w:sz w:val="20"/>
                <w:szCs w:val="20"/>
                <w:color w:val="auto"/>
              </w:rPr>
            </w:pPr>
            <w:r>
              <w:rPr>
                <w:rFonts w:ascii="Arial" w:cs="Arial" w:eastAsia="Arial" w:hAnsi="Arial"/>
                <w:sz w:val="14"/>
                <w:szCs w:val="14"/>
                <w:color w:val="231F20"/>
                <w:w w:val="93"/>
              </w:rPr>
              <w:t>(3)</w:t>
            </w:r>
          </w:p>
        </w:tc>
        <w:tc>
          <w:tcPr>
            <w:tcW w:w="5160" w:type="dxa"/>
            <w:vAlign w:val="bottom"/>
          </w:tcPr>
          <w:p>
            <w:pPr>
              <w:ind w:left="20"/>
              <w:spacing w:after="0"/>
              <w:rPr>
                <w:sz w:val="20"/>
                <w:szCs w:val="20"/>
                <w:color w:val="auto"/>
              </w:rPr>
            </w:pPr>
            <w:r>
              <w:rPr>
                <w:rFonts w:ascii="Arial" w:cs="Arial" w:eastAsia="Arial" w:hAnsi="Arial"/>
                <w:sz w:val="14"/>
                <w:szCs w:val="14"/>
                <w:color w:val="231F20"/>
              </w:rPr>
              <w:t>Adjustments to provide full-year 2020 run rate of Peoples operating results,</w:t>
            </w: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87"/>
        </w:trPr>
        <w:tc>
          <w:tcPr>
            <w:tcW w:w="360" w:type="dxa"/>
            <w:vAlign w:val="bottom"/>
            <w:tcBorders>
              <w:bottom w:val="single" w:sz="8" w:color="auto"/>
            </w:tcBorders>
          </w:tcPr>
          <w:p>
            <w:pPr>
              <w:spacing w:after="0"/>
              <w:rPr>
                <w:sz w:val="16"/>
                <w:szCs w:val="16"/>
                <w:color w:val="auto"/>
              </w:rPr>
            </w:pPr>
          </w:p>
        </w:tc>
        <w:tc>
          <w:tcPr>
            <w:tcW w:w="5160" w:type="dxa"/>
            <w:vAlign w:val="bottom"/>
            <w:tcBorders>
              <w:bottom w:val="single" w:sz="8" w:color="auto"/>
            </w:tcBorders>
          </w:tcPr>
          <w:p>
            <w:pPr>
              <w:ind w:left="60"/>
              <w:spacing w:after="0"/>
              <w:rPr>
                <w:sz w:val="20"/>
                <w:szCs w:val="20"/>
                <w:color w:val="auto"/>
              </w:rPr>
            </w:pPr>
            <w:r>
              <w:rPr>
                <w:rFonts w:ascii="Arial" w:cs="Arial" w:eastAsia="Arial" w:hAnsi="Arial"/>
                <w:sz w:val="14"/>
                <w:szCs w:val="14"/>
                <w:color w:val="231F20"/>
              </w:rPr>
              <w:t>including additional net interest expense</w:t>
            </w:r>
          </w:p>
        </w:tc>
        <w:tc>
          <w:tcPr>
            <w:tcW w:w="2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192"/>
              <w:spacing w:after="0"/>
              <w:rPr>
                <w:sz w:val="20"/>
                <w:szCs w:val="20"/>
                <w:color w:val="auto"/>
              </w:rPr>
            </w:pPr>
            <w:r>
              <w:rPr>
                <w:rFonts w:ascii="Arial" w:cs="Arial" w:eastAsia="Arial" w:hAnsi="Arial"/>
                <w:sz w:val="14"/>
                <w:szCs w:val="14"/>
                <w:color w:val="231F20"/>
              </w:rPr>
              <w:t>—</w:t>
            </w:r>
          </w:p>
        </w:tc>
        <w:tc>
          <w:tcPr>
            <w:tcW w:w="4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2"/>
          </w:tcPr>
          <w:p>
            <w:pPr>
              <w:jc w:val="right"/>
              <w:ind w:right="460"/>
              <w:spacing w:after="0"/>
              <w:rPr>
                <w:sz w:val="20"/>
                <w:szCs w:val="20"/>
                <w:color w:val="auto"/>
              </w:rPr>
            </w:pPr>
            <w:r>
              <w:rPr>
                <w:rFonts w:ascii="Arial" w:cs="Arial" w:eastAsia="Arial" w:hAnsi="Arial"/>
                <w:sz w:val="14"/>
                <w:szCs w:val="14"/>
                <w:color w:val="231F20"/>
              </w:rPr>
              <w:t>—</w:t>
            </w:r>
          </w:p>
        </w:tc>
        <w:tc>
          <w:tcPr>
            <w:tcW w:w="2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172"/>
              <w:spacing w:after="0"/>
              <w:rPr>
                <w:sz w:val="20"/>
                <w:szCs w:val="20"/>
                <w:color w:val="auto"/>
              </w:rPr>
            </w:pPr>
            <w:r>
              <w:rPr>
                <w:rFonts w:ascii="Arial" w:cs="Arial" w:eastAsia="Arial" w:hAnsi="Arial"/>
                <w:sz w:val="14"/>
                <w:szCs w:val="14"/>
                <w:color w:val="231F20"/>
              </w:rPr>
              <w:t>108,132</w:t>
            </w:r>
          </w:p>
        </w:tc>
        <w:tc>
          <w:tcPr>
            <w:tcW w:w="40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color w:val="231F20"/>
              </w:rPr>
              <w:t>—</w:t>
            </w:r>
          </w:p>
        </w:tc>
      </w:tr>
      <w:tr>
        <w:trPr>
          <w:trHeight w:val="197"/>
        </w:trPr>
        <w:tc>
          <w:tcPr>
            <w:tcW w:w="360" w:type="dxa"/>
            <w:vAlign w:val="bottom"/>
            <w:tcBorders>
              <w:bottom w:val="single" w:sz="8" w:color="auto"/>
            </w:tcBorders>
          </w:tcPr>
          <w:p>
            <w:pPr>
              <w:ind w:left="180"/>
              <w:spacing w:after="0"/>
              <w:rPr>
                <w:sz w:val="20"/>
                <w:szCs w:val="20"/>
                <w:color w:val="auto"/>
              </w:rPr>
            </w:pPr>
            <w:r>
              <w:rPr>
                <w:rFonts w:ascii="Arial" w:cs="Arial" w:eastAsia="Arial" w:hAnsi="Arial"/>
                <w:sz w:val="14"/>
                <w:szCs w:val="14"/>
                <w:color w:val="231F20"/>
                <w:w w:val="93"/>
              </w:rPr>
              <w:t>(4)</w:t>
            </w:r>
          </w:p>
        </w:tc>
        <w:tc>
          <w:tcPr>
            <w:tcW w:w="516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231F20"/>
              </w:rPr>
              <w:t>Pre-acquisition interest expense for funds borrowed for acquisition of Peoples, net</w:t>
            </w:r>
          </w:p>
        </w:tc>
        <w:tc>
          <w:tcPr>
            <w:tcW w:w="22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192"/>
              <w:spacing w:after="0"/>
              <w:rPr>
                <w:sz w:val="20"/>
                <w:szCs w:val="20"/>
                <w:color w:val="auto"/>
              </w:rPr>
            </w:pPr>
            <w:r>
              <w:rPr>
                <w:rFonts w:ascii="Arial" w:cs="Arial" w:eastAsia="Arial" w:hAnsi="Arial"/>
                <w:sz w:val="14"/>
                <w:szCs w:val="14"/>
                <w:color w:val="231F20"/>
              </w:rPr>
              <w:t>—</w:t>
            </w:r>
          </w:p>
        </w:tc>
        <w:tc>
          <w:tcPr>
            <w:tcW w:w="42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gridSpan w:val="2"/>
          </w:tcPr>
          <w:p>
            <w:pPr>
              <w:jc w:val="right"/>
              <w:ind w:right="460"/>
              <w:spacing w:after="0"/>
              <w:rPr>
                <w:sz w:val="20"/>
                <w:szCs w:val="20"/>
                <w:color w:val="auto"/>
              </w:rPr>
            </w:pPr>
            <w:r>
              <w:rPr>
                <w:rFonts w:ascii="Arial" w:cs="Arial" w:eastAsia="Arial" w:hAnsi="Arial"/>
                <w:sz w:val="14"/>
                <w:szCs w:val="14"/>
                <w:color w:val="231F20"/>
              </w:rPr>
              <w:t>2,643</w:t>
            </w:r>
          </w:p>
        </w:tc>
        <w:tc>
          <w:tcPr>
            <w:tcW w:w="2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172"/>
              <w:spacing w:after="0"/>
              <w:rPr>
                <w:sz w:val="20"/>
                <w:szCs w:val="20"/>
                <w:color w:val="auto"/>
              </w:rPr>
            </w:pPr>
            <w:r>
              <w:rPr>
                <w:rFonts w:ascii="Arial" w:cs="Arial" w:eastAsia="Arial" w:hAnsi="Arial"/>
                <w:sz w:val="14"/>
                <w:szCs w:val="14"/>
                <w:color w:val="231F20"/>
              </w:rPr>
              <w:t>—</w:t>
            </w:r>
          </w:p>
        </w:tc>
        <w:tc>
          <w:tcPr>
            <w:tcW w:w="40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color w:val="231F20"/>
              </w:rPr>
              <w:t>5,961</w:t>
            </w:r>
          </w:p>
        </w:tc>
      </w:tr>
      <w:tr>
        <w:trPr>
          <w:trHeight w:val="197"/>
        </w:trPr>
        <w:tc>
          <w:tcPr>
            <w:tcW w:w="360" w:type="dxa"/>
            <w:vAlign w:val="bottom"/>
            <w:tcBorders>
              <w:bottom w:val="single" w:sz="8" w:color="auto"/>
            </w:tcBorders>
          </w:tcPr>
          <w:p>
            <w:pPr>
              <w:ind w:left="180"/>
              <w:spacing w:after="0"/>
              <w:rPr>
                <w:sz w:val="20"/>
                <w:szCs w:val="20"/>
                <w:color w:val="auto"/>
              </w:rPr>
            </w:pPr>
            <w:r>
              <w:rPr>
                <w:rFonts w:ascii="Arial" w:cs="Arial" w:eastAsia="Arial" w:hAnsi="Arial"/>
                <w:sz w:val="14"/>
                <w:szCs w:val="14"/>
                <w:color w:val="231F20"/>
                <w:w w:val="93"/>
              </w:rPr>
              <w:t>(5)</w:t>
            </w:r>
          </w:p>
        </w:tc>
        <w:tc>
          <w:tcPr>
            <w:tcW w:w="516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231F20"/>
              </w:rPr>
              <w:t>Overlapping interest expense on refinanced debt</w:t>
            </w:r>
          </w:p>
        </w:tc>
        <w:tc>
          <w:tcPr>
            <w:tcW w:w="22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192"/>
              <w:spacing w:after="0"/>
              <w:rPr>
                <w:sz w:val="20"/>
                <w:szCs w:val="20"/>
                <w:color w:val="auto"/>
              </w:rPr>
            </w:pPr>
            <w:r>
              <w:rPr>
                <w:rFonts w:ascii="Arial" w:cs="Arial" w:eastAsia="Arial" w:hAnsi="Arial"/>
                <w:sz w:val="14"/>
                <w:szCs w:val="14"/>
                <w:color w:val="231F20"/>
              </w:rPr>
              <w:t>—</w:t>
            </w:r>
          </w:p>
        </w:tc>
        <w:tc>
          <w:tcPr>
            <w:tcW w:w="42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gridSpan w:val="2"/>
          </w:tcPr>
          <w:p>
            <w:pPr>
              <w:jc w:val="right"/>
              <w:ind w:right="460"/>
              <w:spacing w:after="0"/>
              <w:rPr>
                <w:sz w:val="20"/>
                <w:szCs w:val="20"/>
                <w:color w:val="auto"/>
              </w:rPr>
            </w:pPr>
            <w:r>
              <w:rPr>
                <w:rFonts w:ascii="Arial" w:cs="Arial" w:eastAsia="Arial" w:hAnsi="Arial"/>
                <w:sz w:val="14"/>
                <w:szCs w:val="14"/>
                <w:color w:val="231F20"/>
              </w:rPr>
              <w:t>—</w:t>
            </w:r>
          </w:p>
        </w:tc>
        <w:tc>
          <w:tcPr>
            <w:tcW w:w="2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172"/>
              <w:spacing w:after="0"/>
              <w:rPr>
                <w:sz w:val="20"/>
                <w:szCs w:val="20"/>
                <w:color w:val="auto"/>
              </w:rPr>
            </w:pPr>
            <w:r>
              <w:rPr>
                <w:rFonts w:ascii="Arial" w:cs="Arial" w:eastAsia="Arial" w:hAnsi="Arial"/>
                <w:sz w:val="14"/>
                <w:szCs w:val="14"/>
                <w:color w:val="231F20"/>
              </w:rPr>
              <w:t>—</w:t>
            </w:r>
          </w:p>
        </w:tc>
        <w:tc>
          <w:tcPr>
            <w:tcW w:w="40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color w:val="231F20"/>
              </w:rPr>
              <w:t>452</w:t>
            </w:r>
          </w:p>
        </w:tc>
      </w:tr>
      <w:tr>
        <w:trPr>
          <w:trHeight w:val="197"/>
        </w:trPr>
        <w:tc>
          <w:tcPr>
            <w:tcW w:w="360" w:type="dxa"/>
            <w:vAlign w:val="bottom"/>
            <w:tcBorders>
              <w:bottom w:val="single" w:sz="8" w:color="auto"/>
            </w:tcBorders>
          </w:tcPr>
          <w:p>
            <w:pPr>
              <w:ind w:left="180"/>
              <w:spacing w:after="0"/>
              <w:rPr>
                <w:sz w:val="20"/>
                <w:szCs w:val="20"/>
                <w:color w:val="auto"/>
              </w:rPr>
            </w:pPr>
            <w:r>
              <w:rPr>
                <w:rFonts w:ascii="Arial" w:cs="Arial" w:eastAsia="Arial" w:hAnsi="Arial"/>
                <w:sz w:val="14"/>
                <w:szCs w:val="14"/>
                <w:color w:val="231F20"/>
                <w:w w:val="93"/>
              </w:rPr>
              <w:t>(6)</w:t>
            </w:r>
          </w:p>
        </w:tc>
        <w:tc>
          <w:tcPr>
            <w:tcW w:w="516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231F20"/>
              </w:rPr>
              <w:t>Interest income earned on proceeds from April 2019 equity offerings</w:t>
            </w:r>
          </w:p>
        </w:tc>
        <w:tc>
          <w:tcPr>
            <w:tcW w:w="22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192"/>
              <w:spacing w:after="0"/>
              <w:rPr>
                <w:sz w:val="20"/>
                <w:szCs w:val="20"/>
                <w:color w:val="auto"/>
              </w:rPr>
            </w:pPr>
            <w:r>
              <w:rPr>
                <w:rFonts w:ascii="Arial" w:cs="Arial" w:eastAsia="Arial" w:hAnsi="Arial"/>
                <w:sz w:val="14"/>
                <w:szCs w:val="14"/>
                <w:color w:val="231F20"/>
              </w:rPr>
              <w:t>—</w:t>
            </w:r>
          </w:p>
        </w:tc>
        <w:tc>
          <w:tcPr>
            <w:tcW w:w="42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gridSpan w:val="2"/>
          </w:tcPr>
          <w:p>
            <w:pPr>
              <w:jc w:val="right"/>
              <w:ind w:right="400"/>
              <w:spacing w:after="0"/>
              <w:rPr>
                <w:sz w:val="20"/>
                <w:szCs w:val="20"/>
                <w:color w:val="auto"/>
              </w:rPr>
            </w:pPr>
            <w:r>
              <w:rPr>
                <w:rFonts w:ascii="Arial" w:cs="Arial" w:eastAsia="Arial" w:hAnsi="Arial"/>
                <w:sz w:val="14"/>
                <w:szCs w:val="14"/>
                <w:color w:val="231F20"/>
              </w:rPr>
              <w:t>(6,898)</w:t>
            </w:r>
          </w:p>
        </w:tc>
        <w:tc>
          <w:tcPr>
            <w:tcW w:w="2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172"/>
              <w:spacing w:after="0"/>
              <w:rPr>
                <w:sz w:val="20"/>
                <w:szCs w:val="20"/>
                <w:color w:val="auto"/>
              </w:rPr>
            </w:pPr>
            <w:r>
              <w:rPr>
                <w:rFonts w:ascii="Arial" w:cs="Arial" w:eastAsia="Arial" w:hAnsi="Arial"/>
                <w:sz w:val="14"/>
                <w:szCs w:val="14"/>
                <w:color w:val="231F20"/>
              </w:rPr>
              <w:t>—</w:t>
            </w:r>
          </w:p>
        </w:tc>
        <w:tc>
          <w:tcPr>
            <w:tcW w:w="40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231F20"/>
              </w:rPr>
              <w:t>(23,377)</w:t>
            </w:r>
          </w:p>
        </w:tc>
      </w:tr>
      <w:tr>
        <w:trPr>
          <w:trHeight w:val="197"/>
        </w:trPr>
        <w:tc>
          <w:tcPr>
            <w:tcW w:w="360" w:type="dxa"/>
            <w:vAlign w:val="bottom"/>
            <w:tcBorders>
              <w:bottom w:val="single" w:sz="8" w:color="auto"/>
            </w:tcBorders>
          </w:tcPr>
          <w:p>
            <w:pPr>
              <w:ind w:left="180"/>
              <w:spacing w:after="0"/>
              <w:rPr>
                <w:sz w:val="20"/>
                <w:szCs w:val="20"/>
                <w:color w:val="auto"/>
              </w:rPr>
            </w:pPr>
            <w:r>
              <w:rPr>
                <w:rFonts w:ascii="Arial" w:cs="Arial" w:eastAsia="Arial" w:hAnsi="Arial"/>
                <w:sz w:val="14"/>
                <w:szCs w:val="14"/>
                <w:color w:val="231F20"/>
                <w:w w:val="93"/>
              </w:rPr>
              <w:t>(7)</w:t>
            </w:r>
          </w:p>
        </w:tc>
        <w:tc>
          <w:tcPr>
            <w:tcW w:w="516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231F20"/>
              </w:rPr>
              <w:t>Income tax effect of non-GAAP adjustments</w:t>
            </w:r>
          </w:p>
        </w:tc>
        <w:tc>
          <w:tcPr>
            <w:tcW w:w="22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132"/>
              <w:spacing w:after="0"/>
              <w:rPr>
                <w:sz w:val="20"/>
                <w:szCs w:val="20"/>
                <w:color w:val="auto"/>
              </w:rPr>
            </w:pPr>
            <w:r>
              <w:rPr>
                <w:rFonts w:ascii="Arial" w:cs="Arial" w:eastAsia="Arial" w:hAnsi="Arial"/>
                <w:sz w:val="14"/>
                <w:szCs w:val="14"/>
                <w:color w:val="231F20"/>
              </w:rPr>
              <w:t>(5,468)</w:t>
            </w:r>
          </w:p>
        </w:tc>
        <w:tc>
          <w:tcPr>
            <w:tcW w:w="42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gridSpan w:val="2"/>
          </w:tcPr>
          <w:p>
            <w:pPr>
              <w:jc w:val="right"/>
              <w:ind w:right="460"/>
              <w:spacing w:after="0"/>
              <w:rPr>
                <w:sz w:val="20"/>
                <w:szCs w:val="20"/>
                <w:color w:val="auto"/>
              </w:rPr>
            </w:pPr>
            <w:r>
              <w:rPr>
                <w:rFonts w:ascii="Arial" w:cs="Arial" w:eastAsia="Arial" w:hAnsi="Arial"/>
                <w:sz w:val="14"/>
                <w:szCs w:val="14"/>
                <w:color w:val="231F20"/>
              </w:rPr>
              <w:t>777</w:t>
            </w:r>
          </w:p>
        </w:tc>
        <w:tc>
          <w:tcPr>
            <w:tcW w:w="2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132"/>
              <w:spacing w:after="0"/>
              <w:rPr>
                <w:sz w:val="20"/>
                <w:szCs w:val="20"/>
                <w:color w:val="auto"/>
              </w:rPr>
            </w:pPr>
            <w:r>
              <w:rPr>
                <w:rFonts w:ascii="Arial" w:cs="Arial" w:eastAsia="Arial" w:hAnsi="Arial"/>
                <w:sz w:val="14"/>
                <w:szCs w:val="14"/>
                <w:color w:val="231F20"/>
              </w:rPr>
              <w:t>(38,450)</w:t>
            </w:r>
          </w:p>
        </w:tc>
        <w:tc>
          <w:tcPr>
            <w:tcW w:w="40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231F20"/>
              </w:rPr>
              <w:t>(10,149)</w:t>
            </w:r>
          </w:p>
        </w:tc>
      </w:tr>
      <w:tr>
        <w:trPr>
          <w:trHeight w:val="200"/>
        </w:trPr>
        <w:tc>
          <w:tcPr>
            <w:tcW w:w="552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455986"/>
              </w:rPr>
              <w:t>Adjusted income (Non-GAAP financial measure)</w:t>
            </w:r>
          </w:p>
        </w:tc>
        <w:tc>
          <w:tcPr>
            <w:tcW w:w="440" w:type="dxa"/>
            <w:vAlign w:val="bottom"/>
            <w:tcBorders>
              <w:bottom w:val="single" w:sz="8" w:color="auto"/>
            </w:tcBorders>
            <w:gridSpan w:val="2"/>
          </w:tcPr>
          <w:p>
            <w:pPr>
              <w:jc w:val="right"/>
              <w:ind w:right="140"/>
              <w:spacing w:after="0"/>
              <w:rPr>
                <w:sz w:val="20"/>
                <w:szCs w:val="20"/>
                <w:color w:val="auto"/>
              </w:rPr>
            </w:pPr>
            <w:r>
              <w:rPr>
                <w:rFonts w:ascii="Arial" w:cs="Arial" w:eastAsia="Arial" w:hAnsi="Arial"/>
                <w:sz w:val="14"/>
                <w:szCs w:val="14"/>
                <w:color w:val="231F20"/>
              </w:rPr>
              <w:t>$</w:t>
            </w:r>
          </w:p>
        </w:tc>
        <w:tc>
          <w:tcPr>
            <w:tcW w:w="1060" w:type="dxa"/>
            <w:vAlign w:val="bottom"/>
            <w:tcBorders>
              <w:bottom w:val="single" w:sz="8" w:color="auto"/>
            </w:tcBorders>
          </w:tcPr>
          <w:p>
            <w:pPr>
              <w:jc w:val="right"/>
              <w:ind w:right="192"/>
              <w:spacing w:after="0"/>
              <w:rPr>
                <w:sz w:val="20"/>
                <w:szCs w:val="20"/>
                <w:color w:val="auto"/>
              </w:rPr>
            </w:pPr>
            <w:r>
              <w:rPr>
                <w:rFonts w:ascii="Arial" w:cs="Arial" w:eastAsia="Arial" w:hAnsi="Arial"/>
                <w:sz w:val="14"/>
                <w:szCs w:val="14"/>
                <w:color w:val="231F20"/>
              </w:rPr>
              <w:t>116,163</w:t>
            </w:r>
          </w:p>
        </w:tc>
        <w:tc>
          <w:tcPr>
            <w:tcW w:w="420" w:type="dxa"/>
            <w:vAlign w:val="bottom"/>
            <w:tcBorders>
              <w:bottom w:val="single" w:sz="8" w:color="auto"/>
            </w:tcBorders>
          </w:tcPr>
          <w:p>
            <w:pPr>
              <w:jc w:val="right"/>
              <w:ind w:right="72"/>
              <w:spacing w:after="0"/>
              <w:rPr>
                <w:sz w:val="20"/>
                <w:szCs w:val="20"/>
                <w:color w:val="auto"/>
              </w:rPr>
            </w:pPr>
            <w:r>
              <w:rPr>
                <w:rFonts w:ascii="Arial" w:cs="Arial" w:eastAsia="Arial" w:hAnsi="Arial"/>
                <w:sz w:val="14"/>
                <w:szCs w:val="14"/>
                <w:color w:val="231F20"/>
              </w:rPr>
              <w:t>$</w:t>
            </w:r>
          </w:p>
        </w:tc>
        <w:tc>
          <w:tcPr>
            <w:tcW w:w="1260" w:type="dxa"/>
            <w:vAlign w:val="bottom"/>
            <w:tcBorders>
              <w:bottom w:val="single" w:sz="8" w:color="auto"/>
            </w:tcBorders>
            <w:gridSpan w:val="2"/>
          </w:tcPr>
          <w:p>
            <w:pPr>
              <w:jc w:val="right"/>
              <w:ind w:right="460"/>
              <w:spacing w:after="0"/>
              <w:rPr>
                <w:sz w:val="20"/>
                <w:szCs w:val="20"/>
                <w:color w:val="auto"/>
              </w:rPr>
            </w:pPr>
            <w:r>
              <w:rPr>
                <w:rFonts w:ascii="Arial" w:cs="Arial" w:eastAsia="Arial" w:hAnsi="Arial"/>
                <w:sz w:val="14"/>
                <w:szCs w:val="14"/>
                <w:color w:val="231F20"/>
              </w:rPr>
              <w:t>61,362</w:t>
            </w:r>
          </w:p>
        </w:tc>
        <w:tc>
          <w:tcPr>
            <w:tcW w:w="220" w:type="dxa"/>
            <w:vAlign w:val="bottom"/>
            <w:tcBorders>
              <w:bottom w:val="single" w:sz="8" w:color="auto"/>
            </w:tcBorders>
          </w:tcPr>
          <w:p>
            <w:pPr>
              <w:jc w:val="right"/>
              <w:ind w:right="72"/>
              <w:spacing w:after="0"/>
              <w:rPr>
                <w:sz w:val="20"/>
                <w:szCs w:val="20"/>
                <w:color w:val="auto"/>
              </w:rPr>
            </w:pPr>
            <w:r>
              <w:rPr>
                <w:rFonts w:ascii="Arial" w:cs="Arial" w:eastAsia="Arial" w:hAnsi="Arial"/>
                <w:sz w:val="14"/>
                <w:szCs w:val="14"/>
                <w:color w:val="231F20"/>
                <w:w w:val="76"/>
              </w:rPr>
              <w:t>$</w:t>
            </w:r>
          </w:p>
        </w:tc>
        <w:tc>
          <w:tcPr>
            <w:tcW w:w="1040" w:type="dxa"/>
            <w:vAlign w:val="bottom"/>
            <w:tcBorders>
              <w:bottom w:val="single" w:sz="8" w:color="auto"/>
            </w:tcBorders>
          </w:tcPr>
          <w:p>
            <w:pPr>
              <w:jc w:val="right"/>
              <w:ind w:right="172"/>
              <w:spacing w:after="0"/>
              <w:rPr>
                <w:sz w:val="20"/>
                <w:szCs w:val="20"/>
                <w:color w:val="auto"/>
              </w:rPr>
            </w:pPr>
            <w:r>
              <w:rPr>
                <w:rFonts w:ascii="Arial" w:cs="Arial" w:eastAsia="Arial" w:hAnsi="Arial"/>
                <w:sz w:val="14"/>
                <w:szCs w:val="14"/>
                <w:color w:val="231F20"/>
              </w:rPr>
              <w:t>403,108</w:t>
            </w:r>
          </w:p>
        </w:tc>
        <w:tc>
          <w:tcPr>
            <w:tcW w:w="400" w:type="dxa"/>
            <w:vAlign w:val="bottom"/>
            <w:tcBorders>
              <w:bottom w:val="single" w:sz="8" w:color="auto"/>
            </w:tcBorders>
          </w:tcPr>
          <w:p>
            <w:pPr>
              <w:jc w:val="right"/>
              <w:ind w:right="72"/>
              <w:spacing w:after="0"/>
              <w:rPr>
                <w:sz w:val="20"/>
                <w:szCs w:val="20"/>
                <w:color w:val="auto"/>
              </w:rPr>
            </w:pPr>
            <w:r>
              <w:rPr>
                <w:rFonts w:ascii="Arial" w:cs="Arial" w:eastAsia="Arial" w:hAnsi="Arial"/>
                <w:sz w:val="14"/>
                <w:szCs w:val="14"/>
                <w:color w:val="231F20"/>
              </w:rPr>
              <w:t>$</w:t>
            </w:r>
          </w:p>
        </w:tc>
        <w:tc>
          <w:tcPr>
            <w:tcW w:w="88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color w:val="231F20"/>
              </w:rPr>
              <w:t>263,496</w:t>
            </w:r>
          </w:p>
        </w:tc>
      </w:tr>
      <w:tr>
        <w:trPr>
          <w:trHeight w:val="337"/>
        </w:trPr>
        <w:tc>
          <w:tcPr>
            <w:tcW w:w="552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455986"/>
              </w:rPr>
              <w:t>Net income per common share (GAAP financial measure):</w:t>
            </w:r>
          </w:p>
        </w:tc>
        <w:tc>
          <w:tcPr>
            <w:tcW w:w="2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r>
      <w:tr>
        <w:trPr>
          <w:trHeight w:val="194"/>
        </w:trPr>
        <w:tc>
          <w:tcPr>
            <w:tcW w:w="5520" w:type="dxa"/>
            <w:vAlign w:val="bottom"/>
            <w:tcBorders>
              <w:bottom w:val="single" w:sz="8" w:color="auto"/>
            </w:tcBorders>
            <w:gridSpan w:val="2"/>
          </w:tcPr>
          <w:p>
            <w:pPr>
              <w:ind w:left="160"/>
              <w:spacing w:after="0"/>
              <w:rPr>
                <w:sz w:val="20"/>
                <w:szCs w:val="20"/>
                <w:color w:val="auto"/>
              </w:rPr>
            </w:pPr>
            <w:r>
              <w:rPr>
                <w:rFonts w:ascii="Arial" w:cs="Arial" w:eastAsia="Arial" w:hAnsi="Arial"/>
                <w:sz w:val="14"/>
                <w:szCs w:val="14"/>
                <w:color w:val="231F20"/>
              </w:rPr>
              <w:t>Basic</w:t>
            </w:r>
          </w:p>
        </w:tc>
        <w:tc>
          <w:tcPr>
            <w:tcW w:w="440" w:type="dxa"/>
            <w:vAlign w:val="bottom"/>
            <w:tcBorders>
              <w:bottom w:val="single" w:sz="8" w:color="auto"/>
            </w:tcBorders>
            <w:gridSpan w:val="2"/>
          </w:tcPr>
          <w:p>
            <w:pPr>
              <w:jc w:val="right"/>
              <w:ind w:right="140"/>
              <w:spacing w:after="0"/>
              <w:rPr>
                <w:sz w:val="20"/>
                <w:szCs w:val="20"/>
                <w:color w:val="auto"/>
              </w:rPr>
            </w:pPr>
            <w:r>
              <w:rPr>
                <w:rFonts w:ascii="Arial" w:cs="Arial" w:eastAsia="Arial" w:hAnsi="Arial"/>
                <w:sz w:val="14"/>
                <w:szCs w:val="14"/>
                <w:color w:val="231F20"/>
              </w:rPr>
              <w:t>$</w:t>
            </w:r>
          </w:p>
        </w:tc>
        <w:tc>
          <w:tcPr>
            <w:tcW w:w="1060" w:type="dxa"/>
            <w:vAlign w:val="bottom"/>
            <w:tcBorders>
              <w:bottom w:val="single" w:sz="8" w:color="auto"/>
            </w:tcBorders>
          </w:tcPr>
          <w:p>
            <w:pPr>
              <w:jc w:val="right"/>
              <w:ind w:right="192"/>
              <w:spacing w:after="0"/>
              <w:rPr>
                <w:sz w:val="20"/>
                <w:szCs w:val="20"/>
                <w:color w:val="auto"/>
              </w:rPr>
            </w:pPr>
            <w:r>
              <w:rPr>
                <w:rFonts w:ascii="Arial" w:cs="Arial" w:eastAsia="Arial" w:hAnsi="Arial"/>
                <w:sz w:val="14"/>
                <w:szCs w:val="14"/>
                <w:color w:val="231F20"/>
              </w:rPr>
              <w:t>0.40</w:t>
            </w:r>
          </w:p>
        </w:tc>
        <w:tc>
          <w:tcPr>
            <w:tcW w:w="420" w:type="dxa"/>
            <w:vAlign w:val="bottom"/>
            <w:tcBorders>
              <w:bottom w:val="single" w:sz="8" w:color="auto"/>
            </w:tcBorders>
          </w:tcPr>
          <w:p>
            <w:pPr>
              <w:jc w:val="right"/>
              <w:ind w:right="72"/>
              <w:spacing w:after="0"/>
              <w:rPr>
                <w:sz w:val="20"/>
                <w:szCs w:val="20"/>
                <w:color w:val="auto"/>
              </w:rPr>
            </w:pPr>
            <w:r>
              <w:rPr>
                <w:rFonts w:ascii="Arial" w:cs="Arial" w:eastAsia="Arial" w:hAnsi="Arial"/>
                <w:sz w:val="14"/>
                <w:szCs w:val="14"/>
                <w:color w:val="231F20"/>
              </w:rPr>
              <w:t>$</w:t>
            </w:r>
          </w:p>
        </w:tc>
        <w:tc>
          <w:tcPr>
            <w:tcW w:w="1260" w:type="dxa"/>
            <w:vAlign w:val="bottom"/>
            <w:tcBorders>
              <w:bottom w:val="single" w:sz="8" w:color="auto"/>
            </w:tcBorders>
            <w:gridSpan w:val="2"/>
          </w:tcPr>
          <w:p>
            <w:pPr>
              <w:jc w:val="right"/>
              <w:ind w:right="460"/>
              <w:spacing w:after="0"/>
              <w:rPr>
                <w:sz w:val="20"/>
                <w:szCs w:val="20"/>
                <w:color w:val="auto"/>
              </w:rPr>
            </w:pPr>
            <w:r>
              <w:rPr>
                <w:rFonts w:ascii="Arial" w:cs="Arial" w:eastAsia="Arial" w:hAnsi="Arial"/>
                <w:sz w:val="14"/>
                <w:szCs w:val="14"/>
                <w:color w:val="231F20"/>
              </w:rPr>
              <w:t>0.28</w:t>
            </w:r>
          </w:p>
        </w:tc>
        <w:tc>
          <w:tcPr>
            <w:tcW w:w="220" w:type="dxa"/>
            <w:vAlign w:val="bottom"/>
            <w:tcBorders>
              <w:bottom w:val="single" w:sz="8" w:color="auto"/>
            </w:tcBorders>
          </w:tcPr>
          <w:p>
            <w:pPr>
              <w:jc w:val="right"/>
              <w:ind w:right="72"/>
              <w:spacing w:after="0"/>
              <w:rPr>
                <w:sz w:val="20"/>
                <w:szCs w:val="20"/>
                <w:color w:val="auto"/>
              </w:rPr>
            </w:pPr>
            <w:r>
              <w:rPr>
                <w:rFonts w:ascii="Arial" w:cs="Arial" w:eastAsia="Arial" w:hAnsi="Arial"/>
                <w:sz w:val="14"/>
                <w:szCs w:val="14"/>
                <w:color w:val="231F20"/>
                <w:w w:val="76"/>
              </w:rPr>
              <w:t>$</w:t>
            </w:r>
          </w:p>
        </w:tc>
        <w:tc>
          <w:tcPr>
            <w:tcW w:w="1040" w:type="dxa"/>
            <w:vAlign w:val="bottom"/>
            <w:tcBorders>
              <w:bottom w:val="single" w:sz="8" w:color="auto"/>
            </w:tcBorders>
          </w:tcPr>
          <w:p>
            <w:pPr>
              <w:jc w:val="right"/>
              <w:ind w:right="172"/>
              <w:spacing w:after="0"/>
              <w:rPr>
                <w:sz w:val="20"/>
                <w:szCs w:val="20"/>
                <w:color w:val="auto"/>
              </w:rPr>
            </w:pPr>
            <w:r>
              <w:rPr>
                <w:rFonts w:ascii="Arial" w:cs="Arial" w:eastAsia="Arial" w:hAnsi="Arial"/>
                <w:sz w:val="14"/>
                <w:szCs w:val="14"/>
                <w:color w:val="231F20"/>
              </w:rPr>
              <w:t>1.14</w:t>
            </w:r>
          </w:p>
        </w:tc>
        <w:tc>
          <w:tcPr>
            <w:tcW w:w="400" w:type="dxa"/>
            <w:vAlign w:val="bottom"/>
            <w:tcBorders>
              <w:bottom w:val="single" w:sz="8" w:color="auto"/>
            </w:tcBorders>
          </w:tcPr>
          <w:p>
            <w:pPr>
              <w:jc w:val="right"/>
              <w:ind w:right="72"/>
              <w:spacing w:after="0"/>
              <w:rPr>
                <w:sz w:val="20"/>
                <w:szCs w:val="20"/>
                <w:color w:val="auto"/>
              </w:rPr>
            </w:pPr>
            <w:r>
              <w:rPr>
                <w:rFonts w:ascii="Arial" w:cs="Arial" w:eastAsia="Arial" w:hAnsi="Arial"/>
                <w:sz w:val="14"/>
                <w:szCs w:val="14"/>
                <w:color w:val="231F20"/>
              </w:rPr>
              <w:t>$</w:t>
            </w:r>
          </w:p>
        </w:tc>
        <w:tc>
          <w:tcPr>
            <w:tcW w:w="88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color w:val="231F20"/>
              </w:rPr>
              <w:t>1.04</w:t>
            </w:r>
          </w:p>
        </w:tc>
      </w:tr>
      <w:tr>
        <w:trPr>
          <w:trHeight w:val="197"/>
        </w:trPr>
        <w:tc>
          <w:tcPr>
            <w:tcW w:w="5520" w:type="dxa"/>
            <w:vAlign w:val="bottom"/>
            <w:tcBorders>
              <w:bottom w:val="single" w:sz="8" w:color="auto"/>
            </w:tcBorders>
            <w:gridSpan w:val="2"/>
          </w:tcPr>
          <w:p>
            <w:pPr>
              <w:ind w:left="160"/>
              <w:spacing w:after="0"/>
              <w:rPr>
                <w:sz w:val="20"/>
                <w:szCs w:val="20"/>
                <w:color w:val="auto"/>
              </w:rPr>
            </w:pPr>
            <w:r>
              <w:rPr>
                <w:rFonts w:ascii="Arial" w:cs="Arial" w:eastAsia="Arial" w:hAnsi="Arial"/>
                <w:sz w:val="14"/>
                <w:szCs w:val="14"/>
                <w:color w:val="231F20"/>
              </w:rPr>
              <w:t>Diluted</w:t>
            </w:r>
          </w:p>
        </w:tc>
        <w:tc>
          <w:tcPr>
            <w:tcW w:w="440" w:type="dxa"/>
            <w:vAlign w:val="bottom"/>
            <w:tcBorders>
              <w:bottom w:val="single" w:sz="8" w:color="auto"/>
            </w:tcBorders>
            <w:gridSpan w:val="2"/>
          </w:tcPr>
          <w:p>
            <w:pPr>
              <w:jc w:val="right"/>
              <w:ind w:right="140"/>
              <w:spacing w:after="0"/>
              <w:rPr>
                <w:sz w:val="20"/>
                <w:szCs w:val="20"/>
                <w:color w:val="auto"/>
              </w:rPr>
            </w:pPr>
            <w:r>
              <w:rPr>
                <w:rFonts w:ascii="Arial" w:cs="Arial" w:eastAsia="Arial" w:hAnsi="Arial"/>
                <w:sz w:val="14"/>
                <w:szCs w:val="14"/>
                <w:color w:val="231F20"/>
              </w:rPr>
              <w:t>$</w:t>
            </w:r>
          </w:p>
        </w:tc>
        <w:tc>
          <w:tcPr>
            <w:tcW w:w="1060" w:type="dxa"/>
            <w:vAlign w:val="bottom"/>
            <w:tcBorders>
              <w:bottom w:val="single" w:sz="8" w:color="auto"/>
            </w:tcBorders>
          </w:tcPr>
          <w:p>
            <w:pPr>
              <w:jc w:val="right"/>
              <w:ind w:right="192"/>
              <w:spacing w:after="0"/>
              <w:rPr>
                <w:sz w:val="20"/>
                <w:szCs w:val="20"/>
                <w:color w:val="auto"/>
              </w:rPr>
            </w:pPr>
            <w:r>
              <w:rPr>
                <w:rFonts w:ascii="Arial" w:cs="Arial" w:eastAsia="Arial" w:hAnsi="Arial"/>
                <w:sz w:val="14"/>
                <w:szCs w:val="14"/>
                <w:color w:val="231F20"/>
              </w:rPr>
              <w:t>0.40</w:t>
            </w:r>
          </w:p>
        </w:tc>
        <w:tc>
          <w:tcPr>
            <w:tcW w:w="420" w:type="dxa"/>
            <w:vAlign w:val="bottom"/>
            <w:tcBorders>
              <w:bottom w:val="single" w:sz="8" w:color="auto"/>
            </w:tcBorders>
          </w:tcPr>
          <w:p>
            <w:pPr>
              <w:jc w:val="right"/>
              <w:ind w:right="72"/>
              <w:spacing w:after="0"/>
              <w:rPr>
                <w:sz w:val="20"/>
                <w:szCs w:val="20"/>
                <w:color w:val="auto"/>
              </w:rPr>
            </w:pPr>
            <w:r>
              <w:rPr>
                <w:rFonts w:ascii="Arial" w:cs="Arial" w:eastAsia="Arial" w:hAnsi="Arial"/>
                <w:sz w:val="14"/>
                <w:szCs w:val="14"/>
                <w:color w:val="231F20"/>
              </w:rPr>
              <w:t>$</w:t>
            </w:r>
          </w:p>
        </w:tc>
        <w:tc>
          <w:tcPr>
            <w:tcW w:w="1260" w:type="dxa"/>
            <w:vAlign w:val="bottom"/>
            <w:tcBorders>
              <w:bottom w:val="single" w:sz="8" w:color="auto"/>
            </w:tcBorders>
            <w:gridSpan w:val="2"/>
          </w:tcPr>
          <w:p>
            <w:pPr>
              <w:jc w:val="right"/>
              <w:ind w:right="460"/>
              <w:spacing w:after="0"/>
              <w:rPr>
                <w:sz w:val="20"/>
                <w:szCs w:val="20"/>
                <w:color w:val="auto"/>
              </w:rPr>
            </w:pPr>
            <w:r>
              <w:rPr>
                <w:rFonts w:ascii="Arial" w:cs="Arial" w:eastAsia="Arial" w:hAnsi="Arial"/>
                <w:sz w:val="14"/>
                <w:szCs w:val="14"/>
                <w:color w:val="231F20"/>
              </w:rPr>
              <w:t>0.28</w:t>
            </w:r>
          </w:p>
        </w:tc>
        <w:tc>
          <w:tcPr>
            <w:tcW w:w="220" w:type="dxa"/>
            <w:vAlign w:val="bottom"/>
            <w:tcBorders>
              <w:bottom w:val="single" w:sz="8" w:color="auto"/>
            </w:tcBorders>
          </w:tcPr>
          <w:p>
            <w:pPr>
              <w:jc w:val="right"/>
              <w:ind w:right="72"/>
              <w:spacing w:after="0"/>
              <w:rPr>
                <w:sz w:val="20"/>
                <w:szCs w:val="20"/>
                <w:color w:val="auto"/>
              </w:rPr>
            </w:pPr>
            <w:r>
              <w:rPr>
                <w:rFonts w:ascii="Arial" w:cs="Arial" w:eastAsia="Arial" w:hAnsi="Arial"/>
                <w:sz w:val="14"/>
                <w:szCs w:val="14"/>
                <w:color w:val="231F20"/>
                <w:w w:val="76"/>
              </w:rPr>
              <w:t>$</w:t>
            </w:r>
          </w:p>
        </w:tc>
        <w:tc>
          <w:tcPr>
            <w:tcW w:w="1040" w:type="dxa"/>
            <w:vAlign w:val="bottom"/>
            <w:tcBorders>
              <w:bottom w:val="single" w:sz="8" w:color="auto"/>
            </w:tcBorders>
          </w:tcPr>
          <w:p>
            <w:pPr>
              <w:jc w:val="right"/>
              <w:ind w:right="172"/>
              <w:spacing w:after="0"/>
              <w:rPr>
                <w:sz w:val="20"/>
                <w:szCs w:val="20"/>
                <w:color w:val="auto"/>
              </w:rPr>
            </w:pPr>
            <w:r>
              <w:rPr>
                <w:rFonts w:ascii="Arial" w:cs="Arial" w:eastAsia="Arial" w:hAnsi="Arial"/>
                <w:sz w:val="14"/>
                <w:szCs w:val="14"/>
                <w:color w:val="231F20"/>
              </w:rPr>
              <w:t>1.12</w:t>
            </w:r>
          </w:p>
        </w:tc>
        <w:tc>
          <w:tcPr>
            <w:tcW w:w="400" w:type="dxa"/>
            <w:vAlign w:val="bottom"/>
            <w:tcBorders>
              <w:bottom w:val="single" w:sz="8" w:color="auto"/>
            </w:tcBorders>
          </w:tcPr>
          <w:p>
            <w:pPr>
              <w:jc w:val="right"/>
              <w:ind w:right="72"/>
              <w:spacing w:after="0"/>
              <w:rPr>
                <w:sz w:val="20"/>
                <w:szCs w:val="20"/>
                <w:color w:val="auto"/>
              </w:rPr>
            </w:pPr>
            <w:r>
              <w:rPr>
                <w:rFonts w:ascii="Arial" w:cs="Arial" w:eastAsia="Arial" w:hAnsi="Arial"/>
                <w:sz w:val="14"/>
                <w:szCs w:val="14"/>
                <w:color w:val="231F20"/>
              </w:rPr>
              <w:t>$</w:t>
            </w:r>
          </w:p>
        </w:tc>
        <w:tc>
          <w:tcPr>
            <w:tcW w:w="88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color w:val="231F20"/>
              </w:rPr>
              <w:t>1.04</w:t>
            </w:r>
          </w:p>
        </w:tc>
      </w:tr>
      <w:tr>
        <w:trPr>
          <w:trHeight w:val="340"/>
        </w:trPr>
        <w:tc>
          <w:tcPr>
            <w:tcW w:w="552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455986"/>
              </w:rPr>
              <w:t>Adjusted income per common share (Non-GAAP financial measure):</w:t>
            </w:r>
          </w:p>
        </w:tc>
        <w:tc>
          <w:tcPr>
            <w:tcW w:w="2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r>
      <w:tr>
        <w:trPr>
          <w:trHeight w:val="194"/>
        </w:trPr>
        <w:tc>
          <w:tcPr>
            <w:tcW w:w="5520" w:type="dxa"/>
            <w:vAlign w:val="bottom"/>
            <w:tcBorders>
              <w:bottom w:val="single" w:sz="8" w:color="auto"/>
            </w:tcBorders>
            <w:gridSpan w:val="2"/>
          </w:tcPr>
          <w:p>
            <w:pPr>
              <w:ind w:left="160"/>
              <w:spacing w:after="0"/>
              <w:rPr>
                <w:sz w:val="20"/>
                <w:szCs w:val="20"/>
                <w:color w:val="auto"/>
              </w:rPr>
            </w:pPr>
            <w:r>
              <w:rPr>
                <w:rFonts w:ascii="Arial" w:cs="Arial" w:eastAsia="Arial" w:hAnsi="Arial"/>
                <w:sz w:val="14"/>
                <w:szCs w:val="14"/>
                <w:color w:val="231F20"/>
              </w:rPr>
              <w:t>Diluted</w:t>
            </w:r>
          </w:p>
        </w:tc>
        <w:tc>
          <w:tcPr>
            <w:tcW w:w="440" w:type="dxa"/>
            <w:vAlign w:val="bottom"/>
            <w:tcBorders>
              <w:bottom w:val="single" w:sz="8" w:color="auto"/>
            </w:tcBorders>
            <w:gridSpan w:val="2"/>
          </w:tcPr>
          <w:p>
            <w:pPr>
              <w:jc w:val="right"/>
              <w:ind w:right="140"/>
              <w:spacing w:after="0"/>
              <w:rPr>
                <w:sz w:val="20"/>
                <w:szCs w:val="20"/>
                <w:color w:val="auto"/>
              </w:rPr>
            </w:pPr>
            <w:r>
              <w:rPr>
                <w:rFonts w:ascii="Arial" w:cs="Arial" w:eastAsia="Arial" w:hAnsi="Arial"/>
                <w:sz w:val="14"/>
                <w:szCs w:val="14"/>
                <w:color w:val="231F20"/>
              </w:rPr>
              <w:t>$</w:t>
            </w:r>
          </w:p>
        </w:tc>
        <w:tc>
          <w:tcPr>
            <w:tcW w:w="1060" w:type="dxa"/>
            <w:vAlign w:val="bottom"/>
            <w:tcBorders>
              <w:bottom w:val="single" w:sz="8" w:color="auto"/>
            </w:tcBorders>
          </w:tcPr>
          <w:p>
            <w:pPr>
              <w:jc w:val="right"/>
              <w:ind w:right="192"/>
              <w:spacing w:after="0"/>
              <w:rPr>
                <w:sz w:val="20"/>
                <w:szCs w:val="20"/>
                <w:color w:val="auto"/>
              </w:rPr>
            </w:pPr>
            <w:r>
              <w:rPr>
                <w:rFonts w:ascii="Arial" w:cs="Arial" w:eastAsia="Arial" w:hAnsi="Arial"/>
                <w:sz w:val="14"/>
                <w:szCs w:val="14"/>
                <w:color w:val="231F20"/>
              </w:rPr>
              <w:t>0.46</w:t>
            </w:r>
          </w:p>
        </w:tc>
        <w:tc>
          <w:tcPr>
            <w:tcW w:w="420" w:type="dxa"/>
            <w:vAlign w:val="bottom"/>
            <w:tcBorders>
              <w:bottom w:val="single" w:sz="8" w:color="auto"/>
            </w:tcBorders>
          </w:tcPr>
          <w:p>
            <w:pPr>
              <w:jc w:val="right"/>
              <w:ind w:right="72"/>
              <w:spacing w:after="0"/>
              <w:rPr>
                <w:sz w:val="20"/>
                <w:szCs w:val="20"/>
                <w:color w:val="auto"/>
              </w:rPr>
            </w:pPr>
            <w:r>
              <w:rPr>
                <w:rFonts w:ascii="Arial" w:cs="Arial" w:eastAsia="Arial" w:hAnsi="Arial"/>
                <w:sz w:val="14"/>
                <w:szCs w:val="14"/>
                <w:color w:val="231F20"/>
              </w:rPr>
              <w:t>$</w:t>
            </w:r>
          </w:p>
        </w:tc>
        <w:tc>
          <w:tcPr>
            <w:tcW w:w="1260" w:type="dxa"/>
            <w:vAlign w:val="bottom"/>
            <w:tcBorders>
              <w:bottom w:val="single" w:sz="8" w:color="auto"/>
            </w:tcBorders>
            <w:gridSpan w:val="2"/>
          </w:tcPr>
          <w:p>
            <w:pPr>
              <w:jc w:val="right"/>
              <w:ind w:right="460"/>
              <w:spacing w:after="0"/>
              <w:rPr>
                <w:sz w:val="20"/>
                <w:szCs w:val="20"/>
                <w:color w:val="auto"/>
              </w:rPr>
            </w:pPr>
            <w:r>
              <w:rPr>
                <w:rFonts w:ascii="Arial" w:cs="Arial" w:eastAsia="Arial" w:hAnsi="Arial"/>
                <w:sz w:val="14"/>
                <w:szCs w:val="14"/>
                <w:color w:val="231F20"/>
              </w:rPr>
              <w:t>0.34</w:t>
            </w:r>
          </w:p>
        </w:tc>
        <w:tc>
          <w:tcPr>
            <w:tcW w:w="220" w:type="dxa"/>
            <w:vAlign w:val="bottom"/>
            <w:tcBorders>
              <w:bottom w:val="single" w:sz="8" w:color="auto"/>
            </w:tcBorders>
          </w:tcPr>
          <w:p>
            <w:pPr>
              <w:jc w:val="right"/>
              <w:ind w:right="72"/>
              <w:spacing w:after="0"/>
              <w:rPr>
                <w:sz w:val="20"/>
                <w:szCs w:val="20"/>
                <w:color w:val="auto"/>
              </w:rPr>
            </w:pPr>
            <w:r>
              <w:rPr>
                <w:rFonts w:ascii="Arial" w:cs="Arial" w:eastAsia="Arial" w:hAnsi="Arial"/>
                <w:sz w:val="14"/>
                <w:szCs w:val="14"/>
                <w:color w:val="231F20"/>
                <w:w w:val="76"/>
              </w:rPr>
              <w:t>$</w:t>
            </w:r>
          </w:p>
        </w:tc>
        <w:tc>
          <w:tcPr>
            <w:tcW w:w="1040" w:type="dxa"/>
            <w:vAlign w:val="bottom"/>
            <w:tcBorders>
              <w:bottom w:val="single" w:sz="8" w:color="auto"/>
            </w:tcBorders>
          </w:tcPr>
          <w:p>
            <w:pPr>
              <w:jc w:val="right"/>
              <w:ind w:right="172"/>
              <w:spacing w:after="0"/>
              <w:rPr>
                <w:sz w:val="20"/>
                <w:szCs w:val="20"/>
                <w:color w:val="auto"/>
              </w:rPr>
            </w:pPr>
            <w:r>
              <w:rPr>
                <w:rFonts w:ascii="Arial" w:cs="Arial" w:eastAsia="Arial" w:hAnsi="Arial"/>
                <w:sz w:val="14"/>
                <w:szCs w:val="14"/>
                <w:color w:val="231F20"/>
              </w:rPr>
              <w:t>1.58</w:t>
            </w:r>
          </w:p>
        </w:tc>
        <w:tc>
          <w:tcPr>
            <w:tcW w:w="400" w:type="dxa"/>
            <w:vAlign w:val="bottom"/>
            <w:tcBorders>
              <w:bottom w:val="single" w:sz="8" w:color="auto"/>
            </w:tcBorders>
          </w:tcPr>
          <w:p>
            <w:pPr>
              <w:jc w:val="right"/>
              <w:ind w:right="72"/>
              <w:spacing w:after="0"/>
              <w:rPr>
                <w:sz w:val="20"/>
                <w:szCs w:val="20"/>
                <w:color w:val="auto"/>
              </w:rPr>
            </w:pPr>
            <w:r>
              <w:rPr>
                <w:rFonts w:ascii="Arial" w:cs="Arial" w:eastAsia="Arial" w:hAnsi="Arial"/>
                <w:sz w:val="14"/>
                <w:szCs w:val="14"/>
                <w:color w:val="231F20"/>
              </w:rPr>
              <w:t>$</w:t>
            </w:r>
          </w:p>
        </w:tc>
        <w:tc>
          <w:tcPr>
            <w:tcW w:w="88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color w:val="231F20"/>
              </w:rPr>
              <w:t>1.47</w:t>
            </w:r>
          </w:p>
        </w:tc>
      </w:tr>
      <w:tr>
        <w:trPr>
          <w:trHeight w:val="340"/>
        </w:trPr>
        <w:tc>
          <w:tcPr>
            <w:tcW w:w="552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455986"/>
              </w:rPr>
              <w:t>Average common shares outstanding:</w:t>
            </w:r>
          </w:p>
        </w:tc>
        <w:tc>
          <w:tcPr>
            <w:tcW w:w="2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r>
      <w:tr>
        <w:trPr>
          <w:trHeight w:val="194"/>
        </w:trPr>
        <w:tc>
          <w:tcPr>
            <w:tcW w:w="5520" w:type="dxa"/>
            <w:vAlign w:val="bottom"/>
            <w:tcBorders>
              <w:bottom w:val="single" w:sz="8" w:color="auto"/>
            </w:tcBorders>
            <w:gridSpan w:val="2"/>
          </w:tcPr>
          <w:p>
            <w:pPr>
              <w:ind w:left="160"/>
              <w:spacing w:after="0"/>
              <w:rPr>
                <w:sz w:val="20"/>
                <w:szCs w:val="20"/>
                <w:color w:val="auto"/>
              </w:rPr>
            </w:pPr>
            <w:r>
              <w:rPr>
                <w:rFonts w:ascii="Arial" w:cs="Arial" w:eastAsia="Arial" w:hAnsi="Arial"/>
                <w:sz w:val="14"/>
                <w:szCs w:val="14"/>
                <w:color w:val="231F20"/>
              </w:rPr>
              <w:t>Basic</w:t>
            </w:r>
          </w:p>
        </w:tc>
        <w:tc>
          <w:tcPr>
            <w:tcW w:w="2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192"/>
              <w:spacing w:after="0"/>
              <w:rPr>
                <w:sz w:val="20"/>
                <w:szCs w:val="20"/>
                <w:color w:val="auto"/>
              </w:rPr>
            </w:pPr>
            <w:r>
              <w:rPr>
                <w:rFonts w:ascii="Arial" w:cs="Arial" w:eastAsia="Arial" w:hAnsi="Arial"/>
                <w:sz w:val="14"/>
                <w:szCs w:val="14"/>
                <w:color w:val="231F20"/>
              </w:rPr>
              <w:t>254,403</w:t>
            </w:r>
          </w:p>
        </w:tc>
        <w:tc>
          <w:tcPr>
            <w:tcW w:w="4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2"/>
          </w:tcPr>
          <w:p>
            <w:pPr>
              <w:jc w:val="right"/>
              <w:ind w:right="460"/>
              <w:spacing w:after="0"/>
              <w:rPr>
                <w:sz w:val="20"/>
                <w:szCs w:val="20"/>
                <w:color w:val="auto"/>
              </w:rPr>
            </w:pPr>
            <w:r>
              <w:rPr>
                <w:rFonts w:ascii="Arial" w:cs="Arial" w:eastAsia="Arial" w:hAnsi="Arial"/>
                <w:sz w:val="14"/>
                <w:szCs w:val="14"/>
                <w:color w:val="231F20"/>
              </w:rPr>
              <w:t>232,107</w:t>
            </w:r>
          </w:p>
        </w:tc>
        <w:tc>
          <w:tcPr>
            <w:tcW w:w="2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172"/>
              <w:spacing w:after="0"/>
              <w:rPr>
                <w:sz w:val="20"/>
                <w:szCs w:val="20"/>
                <w:color w:val="auto"/>
              </w:rPr>
            </w:pPr>
            <w:r>
              <w:rPr>
                <w:rFonts w:ascii="Arial" w:cs="Arial" w:eastAsia="Arial" w:hAnsi="Arial"/>
                <w:sz w:val="14"/>
                <w:szCs w:val="14"/>
                <w:color w:val="231F20"/>
              </w:rPr>
              <w:t>249,768</w:t>
            </w:r>
          </w:p>
        </w:tc>
        <w:tc>
          <w:tcPr>
            <w:tcW w:w="40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color w:val="231F20"/>
              </w:rPr>
              <w:t>215,550</w:t>
            </w:r>
          </w:p>
        </w:tc>
      </w:tr>
      <w:tr>
        <w:trPr>
          <w:trHeight w:val="197"/>
        </w:trPr>
        <w:tc>
          <w:tcPr>
            <w:tcW w:w="5520" w:type="dxa"/>
            <w:vAlign w:val="bottom"/>
            <w:tcBorders>
              <w:bottom w:val="single" w:sz="8" w:color="auto"/>
            </w:tcBorders>
            <w:gridSpan w:val="2"/>
          </w:tcPr>
          <w:p>
            <w:pPr>
              <w:ind w:left="160"/>
              <w:spacing w:after="0"/>
              <w:rPr>
                <w:sz w:val="20"/>
                <w:szCs w:val="20"/>
                <w:color w:val="auto"/>
              </w:rPr>
            </w:pPr>
            <w:r>
              <w:rPr>
                <w:rFonts w:ascii="Arial" w:cs="Arial" w:eastAsia="Arial" w:hAnsi="Arial"/>
                <w:sz w:val="14"/>
                <w:szCs w:val="14"/>
                <w:color w:val="231F20"/>
              </w:rPr>
              <w:t>Diluted</w:t>
            </w:r>
          </w:p>
        </w:tc>
        <w:tc>
          <w:tcPr>
            <w:tcW w:w="22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192"/>
              <w:spacing w:after="0"/>
              <w:rPr>
                <w:sz w:val="20"/>
                <w:szCs w:val="20"/>
                <w:color w:val="auto"/>
              </w:rPr>
            </w:pPr>
            <w:r>
              <w:rPr>
                <w:rFonts w:ascii="Arial" w:cs="Arial" w:eastAsia="Arial" w:hAnsi="Arial"/>
                <w:sz w:val="14"/>
                <w:szCs w:val="14"/>
                <w:color w:val="231F20"/>
              </w:rPr>
              <w:t>254,774</w:t>
            </w:r>
          </w:p>
        </w:tc>
        <w:tc>
          <w:tcPr>
            <w:tcW w:w="42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gridSpan w:val="2"/>
          </w:tcPr>
          <w:p>
            <w:pPr>
              <w:jc w:val="right"/>
              <w:ind w:right="460"/>
              <w:spacing w:after="0"/>
              <w:rPr>
                <w:sz w:val="20"/>
                <w:szCs w:val="20"/>
                <w:color w:val="auto"/>
              </w:rPr>
            </w:pPr>
            <w:r>
              <w:rPr>
                <w:rFonts w:ascii="Arial" w:cs="Arial" w:eastAsia="Arial" w:hAnsi="Arial"/>
                <w:sz w:val="14"/>
                <w:szCs w:val="14"/>
                <w:color w:val="231F20"/>
              </w:rPr>
              <w:t>232,581</w:t>
            </w:r>
          </w:p>
        </w:tc>
        <w:tc>
          <w:tcPr>
            <w:tcW w:w="2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172"/>
              <w:spacing w:after="0"/>
              <w:rPr>
                <w:sz w:val="20"/>
                <w:szCs w:val="20"/>
                <w:color w:val="auto"/>
              </w:rPr>
            </w:pPr>
            <w:r>
              <w:rPr>
                <w:rFonts w:ascii="Arial" w:cs="Arial" w:eastAsia="Arial" w:hAnsi="Arial"/>
                <w:sz w:val="14"/>
                <w:szCs w:val="14"/>
                <w:color w:val="231F20"/>
              </w:rPr>
              <w:t>254,629</w:t>
            </w:r>
          </w:p>
        </w:tc>
        <w:tc>
          <w:tcPr>
            <w:tcW w:w="40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color w:val="231F20"/>
              </w:rPr>
              <w:t>215,931</w:t>
            </w:r>
          </w:p>
        </w:tc>
      </w:tr>
      <w:tr>
        <w:trPr>
          <w:trHeight w:val="340"/>
        </w:trPr>
        <w:tc>
          <w:tcPr>
            <w:tcW w:w="552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455986"/>
              </w:rPr>
              <w:t>Average common shares outstanding:</w:t>
            </w:r>
          </w:p>
        </w:tc>
        <w:tc>
          <w:tcPr>
            <w:tcW w:w="2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r>
      <w:tr>
        <w:trPr>
          <w:trHeight w:val="197"/>
        </w:trPr>
        <w:tc>
          <w:tcPr>
            <w:tcW w:w="552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455986"/>
              </w:rPr>
              <w:t>Shares used in calculating diluted net income per common share</w:t>
            </w:r>
          </w:p>
        </w:tc>
        <w:tc>
          <w:tcPr>
            <w:tcW w:w="22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192"/>
              <w:spacing w:after="0"/>
              <w:rPr>
                <w:sz w:val="20"/>
                <w:szCs w:val="20"/>
                <w:color w:val="auto"/>
              </w:rPr>
            </w:pPr>
            <w:r>
              <w:rPr>
                <w:rFonts w:ascii="Arial" w:cs="Arial" w:eastAsia="Arial" w:hAnsi="Arial"/>
                <w:sz w:val="14"/>
                <w:szCs w:val="14"/>
                <w:color w:val="231F20"/>
              </w:rPr>
              <w:t>254,774</w:t>
            </w:r>
          </w:p>
        </w:tc>
        <w:tc>
          <w:tcPr>
            <w:tcW w:w="42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gridSpan w:val="2"/>
          </w:tcPr>
          <w:p>
            <w:pPr>
              <w:jc w:val="right"/>
              <w:ind w:right="460"/>
              <w:spacing w:after="0"/>
              <w:rPr>
                <w:sz w:val="20"/>
                <w:szCs w:val="20"/>
                <w:color w:val="auto"/>
              </w:rPr>
            </w:pPr>
            <w:r>
              <w:rPr>
                <w:rFonts w:ascii="Arial" w:cs="Arial" w:eastAsia="Arial" w:hAnsi="Arial"/>
                <w:sz w:val="14"/>
                <w:szCs w:val="14"/>
                <w:color w:val="231F20"/>
              </w:rPr>
              <w:t>232,581</w:t>
            </w:r>
          </w:p>
        </w:tc>
        <w:tc>
          <w:tcPr>
            <w:tcW w:w="2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172"/>
              <w:spacing w:after="0"/>
              <w:rPr>
                <w:sz w:val="20"/>
                <w:szCs w:val="20"/>
                <w:color w:val="auto"/>
              </w:rPr>
            </w:pPr>
            <w:r>
              <w:rPr>
                <w:rFonts w:ascii="Arial" w:cs="Arial" w:eastAsia="Arial" w:hAnsi="Arial"/>
                <w:sz w:val="14"/>
                <w:szCs w:val="14"/>
                <w:color w:val="231F20"/>
              </w:rPr>
              <w:t>254,629</w:t>
            </w:r>
          </w:p>
        </w:tc>
        <w:tc>
          <w:tcPr>
            <w:tcW w:w="40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color w:val="231F20"/>
              </w:rPr>
              <w:t>215,931</w:t>
            </w:r>
          </w:p>
        </w:tc>
      </w:tr>
      <w:tr>
        <w:trPr>
          <w:trHeight w:val="194"/>
        </w:trPr>
        <w:tc>
          <w:tcPr>
            <w:tcW w:w="360" w:type="dxa"/>
            <w:vAlign w:val="bottom"/>
            <w:tcBorders>
              <w:bottom w:val="single" w:sz="8" w:color="auto"/>
            </w:tcBorders>
          </w:tcPr>
          <w:p>
            <w:pPr>
              <w:ind w:left="180"/>
              <w:spacing w:after="0"/>
              <w:rPr>
                <w:sz w:val="20"/>
                <w:szCs w:val="20"/>
                <w:color w:val="auto"/>
              </w:rPr>
            </w:pPr>
            <w:r>
              <w:rPr>
                <w:rFonts w:ascii="Arial" w:cs="Arial" w:eastAsia="Arial" w:hAnsi="Arial"/>
                <w:sz w:val="14"/>
                <w:szCs w:val="14"/>
                <w:color w:val="231F20"/>
                <w:w w:val="93"/>
              </w:rPr>
              <w:t>(8)</w:t>
            </w:r>
          </w:p>
        </w:tc>
        <w:tc>
          <w:tcPr>
            <w:tcW w:w="516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231F20"/>
              </w:rPr>
              <w:t>Less: Adjustment for effects of April 2019 common share issuance</w:t>
            </w:r>
          </w:p>
        </w:tc>
        <w:tc>
          <w:tcPr>
            <w:tcW w:w="2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192"/>
              <w:spacing w:after="0"/>
              <w:rPr>
                <w:sz w:val="20"/>
                <w:szCs w:val="20"/>
                <w:color w:val="auto"/>
              </w:rPr>
            </w:pPr>
            <w:r>
              <w:rPr>
                <w:rFonts w:ascii="Arial" w:cs="Arial" w:eastAsia="Arial" w:hAnsi="Arial"/>
                <w:sz w:val="14"/>
                <w:szCs w:val="14"/>
                <w:color w:val="231F20"/>
              </w:rPr>
              <w:t>—</w:t>
            </w:r>
          </w:p>
        </w:tc>
        <w:tc>
          <w:tcPr>
            <w:tcW w:w="4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2"/>
          </w:tcPr>
          <w:p>
            <w:pPr>
              <w:jc w:val="right"/>
              <w:ind w:right="400"/>
              <w:spacing w:after="0"/>
              <w:rPr>
                <w:sz w:val="20"/>
                <w:szCs w:val="20"/>
                <w:color w:val="auto"/>
              </w:rPr>
            </w:pPr>
            <w:r>
              <w:rPr>
                <w:rFonts w:ascii="Arial" w:cs="Arial" w:eastAsia="Arial" w:hAnsi="Arial"/>
                <w:sz w:val="14"/>
                <w:szCs w:val="14"/>
                <w:color w:val="231F20"/>
              </w:rPr>
              <w:t>(37,370)</w:t>
            </w:r>
          </w:p>
        </w:tc>
        <w:tc>
          <w:tcPr>
            <w:tcW w:w="2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172"/>
              <w:spacing w:after="0"/>
              <w:rPr>
                <w:sz w:val="20"/>
                <w:szCs w:val="20"/>
                <w:color w:val="auto"/>
              </w:rPr>
            </w:pPr>
            <w:r>
              <w:rPr>
                <w:rFonts w:ascii="Arial" w:cs="Arial" w:eastAsia="Arial" w:hAnsi="Arial"/>
                <w:sz w:val="14"/>
                <w:szCs w:val="14"/>
                <w:color w:val="231F20"/>
              </w:rPr>
              <w:t>—</w:t>
            </w:r>
          </w:p>
        </w:tc>
        <w:tc>
          <w:tcPr>
            <w:tcW w:w="40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231F20"/>
              </w:rPr>
              <w:t>(25,903)</w:t>
            </w:r>
          </w:p>
        </w:tc>
      </w:tr>
      <w:tr>
        <w:trPr>
          <w:trHeight w:val="197"/>
        </w:trPr>
        <w:tc>
          <w:tcPr>
            <w:tcW w:w="360" w:type="dxa"/>
            <w:vAlign w:val="bottom"/>
            <w:tcBorders>
              <w:bottom w:val="single" w:sz="8" w:color="auto"/>
            </w:tcBorders>
          </w:tcPr>
          <w:p>
            <w:pPr>
              <w:ind w:left="180"/>
              <w:spacing w:after="0"/>
              <w:rPr>
                <w:sz w:val="20"/>
                <w:szCs w:val="20"/>
                <w:color w:val="auto"/>
              </w:rPr>
            </w:pPr>
            <w:r>
              <w:rPr>
                <w:rFonts w:ascii="Arial" w:cs="Arial" w:eastAsia="Arial" w:hAnsi="Arial"/>
                <w:sz w:val="14"/>
                <w:szCs w:val="14"/>
                <w:color w:val="231F20"/>
                <w:w w:val="93"/>
              </w:rPr>
              <w:t>(8)</w:t>
            </w:r>
          </w:p>
        </w:tc>
        <w:tc>
          <w:tcPr>
            <w:tcW w:w="516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231F20"/>
              </w:rPr>
              <w:t>Less: Adjustment for effects of April 2019 tangible equity unit issuance</w:t>
            </w:r>
          </w:p>
        </w:tc>
        <w:tc>
          <w:tcPr>
            <w:tcW w:w="22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192"/>
              <w:spacing w:after="0"/>
              <w:rPr>
                <w:sz w:val="20"/>
                <w:szCs w:val="20"/>
                <w:color w:val="auto"/>
              </w:rPr>
            </w:pPr>
            <w:r>
              <w:rPr>
                <w:rFonts w:ascii="Arial" w:cs="Arial" w:eastAsia="Arial" w:hAnsi="Arial"/>
                <w:sz w:val="14"/>
                <w:szCs w:val="14"/>
                <w:color w:val="231F20"/>
              </w:rPr>
              <w:t>—</w:t>
            </w:r>
          </w:p>
        </w:tc>
        <w:tc>
          <w:tcPr>
            <w:tcW w:w="42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gridSpan w:val="2"/>
          </w:tcPr>
          <w:p>
            <w:pPr>
              <w:jc w:val="right"/>
              <w:ind w:right="400"/>
              <w:spacing w:after="0"/>
              <w:rPr>
                <w:sz w:val="20"/>
                <w:szCs w:val="20"/>
                <w:color w:val="auto"/>
              </w:rPr>
            </w:pPr>
            <w:r>
              <w:rPr>
                <w:rFonts w:ascii="Arial" w:cs="Arial" w:eastAsia="Arial" w:hAnsi="Arial"/>
                <w:sz w:val="14"/>
                <w:szCs w:val="14"/>
                <w:color w:val="231F20"/>
              </w:rPr>
              <w:t>(16,271)</w:t>
            </w:r>
          </w:p>
        </w:tc>
        <w:tc>
          <w:tcPr>
            <w:tcW w:w="2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172"/>
              <w:spacing w:after="0"/>
              <w:rPr>
                <w:sz w:val="20"/>
                <w:szCs w:val="20"/>
                <w:color w:val="auto"/>
              </w:rPr>
            </w:pPr>
            <w:r>
              <w:rPr>
                <w:rFonts w:ascii="Arial" w:cs="Arial" w:eastAsia="Arial" w:hAnsi="Arial"/>
                <w:sz w:val="14"/>
                <w:szCs w:val="14"/>
                <w:color w:val="231F20"/>
              </w:rPr>
              <w:t>—</w:t>
            </w:r>
          </w:p>
        </w:tc>
        <w:tc>
          <w:tcPr>
            <w:tcW w:w="40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231F20"/>
              </w:rPr>
              <w:t>(11,278)</w:t>
            </w:r>
          </w:p>
        </w:tc>
      </w:tr>
      <w:tr>
        <w:trPr>
          <w:trHeight w:val="199"/>
        </w:trPr>
        <w:tc>
          <w:tcPr>
            <w:tcW w:w="5520" w:type="dxa"/>
            <w:vAlign w:val="bottom"/>
            <w:gridSpan w:val="2"/>
          </w:tcPr>
          <w:p>
            <w:pPr>
              <w:spacing w:after="0"/>
              <w:rPr>
                <w:sz w:val="20"/>
                <w:szCs w:val="20"/>
                <w:color w:val="auto"/>
              </w:rPr>
            </w:pPr>
            <w:r>
              <w:rPr>
                <w:rFonts w:ascii="Arial" w:cs="Arial" w:eastAsia="Arial" w:hAnsi="Arial"/>
                <w:sz w:val="14"/>
                <w:szCs w:val="14"/>
                <w:b w:val="1"/>
                <w:bCs w:val="1"/>
                <w:color w:val="455986"/>
              </w:rPr>
              <w:t>Shares used in calculating adjusted diluted income per common share</w:t>
            </w: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205"/>
        </w:trPr>
        <w:tc>
          <w:tcPr>
            <w:tcW w:w="5520" w:type="dxa"/>
            <w:vAlign w:val="bottom"/>
            <w:tcBorders>
              <w:bottom w:val="single" w:sz="8" w:color="auto"/>
            </w:tcBorders>
            <w:gridSpan w:val="2"/>
          </w:tcPr>
          <w:p>
            <w:pPr>
              <w:ind w:left="140"/>
              <w:spacing w:after="0"/>
              <w:rPr>
                <w:sz w:val="20"/>
                <w:szCs w:val="20"/>
                <w:color w:val="auto"/>
              </w:rPr>
            </w:pPr>
            <w:r>
              <w:rPr>
                <w:rFonts w:ascii="Arial" w:cs="Arial" w:eastAsia="Arial" w:hAnsi="Arial"/>
                <w:sz w:val="14"/>
                <w:szCs w:val="14"/>
                <w:b w:val="1"/>
                <w:bCs w:val="1"/>
                <w:color w:val="455986"/>
              </w:rPr>
              <w:t>(Non-GAAP financial measure)</w:t>
            </w:r>
          </w:p>
        </w:tc>
        <w:tc>
          <w:tcPr>
            <w:tcW w:w="22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192"/>
              <w:spacing w:after="0"/>
              <w:rPr>
                <w:sz w:val="20"/>
                <w:szCs w:val="20"/>
                <w:color w:val="auto"/>
              </w:rPr>
            </w:pPr>
            <w:r>
              <w:rPr>
                <w:rFonts w:ascii="Arial" w:cs="Arial" w:eastAsia="Arial" w:hAnsi="Arial"/>
                <w:sz w:val="14"/>
                <w:szCs w:val="14"/>
                <w:color w:val="231F20"/>
              </w:rPr>
              <w:t>254,774</w:t>
            </w:r>
          </w:p>
        </w:tc>
        <w:tc>
          <w:tcPr>
            <w:tcW w:w="42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gridSpan w:val="2"/>
          </w:tcPr>
          <w:p>
            <w:pPr>
              <w:jc w:val="right"/>
              <w:ind w:right="460"/>
              <w:spacing w:after="0"/>
              <w:rPr>
                <w:sz w:val="20"/>
                <w:szCs w:val="20"/>
                <w:color w:val="auto"/>
              </w:rPr>
            </w:pPr>
            <w:r>
              <w:rPr>
                <w:rFonts w:ascii="Arial" w:cs="Arial" w:eastAsia="Arial" w:hAnsi="Arial"/>
                <w:sz w:val="14"/>
                <w:szCs w:val="14"/>
                <w:color w:val="231F20"/>
              </w:rPr>
              <w:t>178,940</w:t>
            </w:r>
          </w:p>
        </w:tc>
        <w:tc>
          <w:tcPr>
            <w:tcW w:w="2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172"/>
              <w:spacing w:after="0"/>
              <w:rPr>
                <w:sz w:val="20"/>
                <w:szCs w:val="20"/>
                <w:color w:val="auto"/>
              </w:rPr>
            </w:pPr>
            <w:r>
              <w:rPr>
                <w:rFonts w:ascii="Arial" w:cs="Arial" w:eastAsia="Arial" w:hAnsi="Arial"/>
                <w:sz w:val="14"/>
                <w:szCs w:val="14"/>
                <w:color w:val="231F20"/>
              </w:rPr>
              <w:t>254,629</w:t>
            </w:r>
          </w:p>
        </w:tc>
        <w:tc>
          <w:tcPr>
            <w:tcW w:w="40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color w:val="231F20"/>
              </w:rPr>
              <w:t>178,750</w:t>
            </w:r>
          </w:p>
        </w:tc>
      </w:tr>
    </w:tbl>
    <w:p>
      <w:pPr>
        <w:spacing w:after="0" w:line="132" w:lineRule="exact"/>
        <w:rPr>
          <w:sz w:val="20"/>
          <w:szCs w:val="20"/>
          <w:color w:val="auto"/>
        </w:rPr>
      </w:pPr>
    </w:p>
    <w:p>
      <w:pPr>
        <w:spacing w:after="0"/>
        <w:rPr>
          <w:sz w:val="20"/>
          <w:szCs w:val="20"/>
          <w:color w:val="auto"/>
        </w:rPr>
      </w:pPr>
      <w:r>
        <w:rPr>
          <w:rFonts w:ascii="Arial" w:cs="Arial" w:eastAsia="Arial" w:hAnsi="Arial"/>
          <w:sz w:val="14"/>
          <w:szCs w:val="14"/>
          <w:color w:val="231F20"/>
        </w:rPr>
        <w:t>Adjusted income per share is a key measure of our financial and operational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130175</wp:posOffset>
            </wp:positionV>
            <wp:extent cx="7139940" cy="8255"/>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7139940" cy="8255"/>
                    </a:xfrm>
                    <a:prstGeom prst="rect">
                      <a:avLst/>
                    </a:prstGeom>
                    <a:noFill/>
                  </pic:spPr>
                </pic:pic>
              </a:graphicData>
            </a:graphic>
          </wp:anchor>
        </w:drawing>
      </w:r>
    </w:p>
    <w:p>
      <w:pPr>
        <w:spacing w:after="0" w:line="230" w:lineRule="exact"/>
        <w:rPr>
          <w:sz w:val="20"/>
          <w:szCs w:val="20"/>
          <w:color w:val="auto"/>
        </w:rPr>
      </w:pPr>
    </w:p>
    <w:p>
      <w:pPr>
        <w:jc w:val="right"/>
        <w:spacing w:after="0"/>
        <w:tabs>
          <w:tab w:leader="none" w:pos="220" w:val="left"/>
        </w:tabs>
        <w:rPr>
          <w:sz w:val="20"/>
          <w:szCs w:val="20"/>
          <w:color w:val="auto"/>
        </w:rPr>
      </w:pPr>
      <w:r>
        <w:rPr>
          <w:rFonts w:ascii="Arial" w:cs="Arial" w:eastAsia="Arial" w:hAnsi="Arial"/>
          <w:sz w:val="12"/>
          <w:szCs w:val="12"/>
          <w:color w:val="4395D4"/>
        </w:rPr>
        <w:t xml:space="preserve">ESSENTIAL UTILITIES, INC. </w:t>
      </w:r>
      <w:r>
        <w:rPr>
          <w:rFonts w:ascii="Arial" w:cs="Arial" w:eastAsia="Arial" w:hAnsi="Arial"/>
          <w:sz w:val="12"/>
          <w:szCs w:val="12"/>
          <w:color w:val="455986"/>
        </w:rPr>
        <w:t>2021 PROXY STATEMENT</w:t>
      </w:r>
      <w:r>
        <w:rPr>
          <w:sz w:val="20"/>
          <w:szCs w:val="20"/>
          <w:color w:val="auto"/>
        </w:rPr>
        <w:tab/>
      </w:r>
      <w:r>
        <w:rPr>
          <w:rFonts w:ascii="Arial" w:cs="Arial" w:eastAsia="Arial" w:hAnsi="Arial"/>
          <w:sz w:val="15"/>
          <w:szCs w:val="15"/>
          <w:color w:val="455986"/>
        </w:rPr>
        <w:t>B-1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339725</wp:posOffset>
            </wp:positionV>
            <wp:extent cx="7139940" cy="24130"/>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7139940" cy="24130"/>
                    </a:xfrm>
                    <a:prstGeom prst="rect">
                      <a:avLst/>
                    </a:prstGeom>
                    <a:noFill/>
                  </pic:spPr>
                </pic:pic>
              </a:graphicData>
            </a:graphic>
          </wp:anchor>
        </w:drawing>
      </w:r>
    </w:p>
    <w:p>
      <w:pPr>
        <w:sectPr>
          <w:pgSz w:w="11900" w:h="16838" w:orient="portrait"/>
          <w:cols w:equalWidth="0" w:num="1">
            <w:col w:w="11240"/>
          </w:cols>
          <w:pgMar w:left="320" w:top="591" w:right="339" w:bottom="1440" w:gutter="0" w:footer="0" w:header="0"/>
        </w:sectPr>
      </w:pPr>
    </w:p>
    <w:bookmarkStart w:id="96" w:name="page97"/>
    <w:bookmarkEnd w:id="96"/>
    <w:p>
      <w:pPr>
        <w:spacing w:after="0"/>
        <w:rPr>
          <w:sz w:val="20"/>
          <w:szCs w:val="20"/>
          <w:color w:val="auto"/>
        </w:rPr>
      </w:pPr>
      <w:r>
        <w:rPr>
          <w:rFonts w:ascii="Arial" w:cs="Arial" w:eastAsia="Arial" w:hAnsi="Arial"/>
          <w:sz w:val="48"/>
          <w:szCs w:val="48"/>
          <w:color w:val="455986"/>
        </w:rPr>
        <w:t>Appendix C</w:t>
      </w:r>
    </w:p>
    <w:p>
      <w:pPr>
        <w:spacing w:after="0" w:line="188" w:lineRule="exact"/>
        <w:rPr>
          <w:sz w:val="20"/>
          <w:szCs w:val="20"/>
          <w:color w:val="auto"/>
        </w:rPr>
      </w:pPr>
    </w:p>
    <w:p>
      <w:pPr>
        <w:jc w:val="center"/>
        <w:ind w:right="20"/>
        <w:spacing w:after="0"/>
        <w:rPr>
          <w:sz w:val="20"/>
          <w:szCs w:val="20"/>
          <w:color w:val="auto"/>
        </w:rPr>
      </w:pPr>
      <w:r>
        <w:rPr>
          <w:rFonts w:ascii="Arial" w:cs="Arial" w:eastAsia="Arial" w:hAnsi="Arial"/>
          <w:sz w:val="14"/>
          <w:szCs w:val="14"/>
          <w:color w:val="231F20"/>
        </w:rPr>
        <w:t>Bylaws of</w:t>
      </w:r>
    </w:p>
    <w:p>
      <w:pPr>
        <w:spacing w:after="0" w:line="1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231F20"/>
        </w:rPr>
        <w:t>Essential Utilities, Inc.</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231F20"/>
        </w:rPr>
        <w:t>(Shareholder Proxy Access)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106045</wp:posOffset>
            </wp:positionV>
            <wp:extent cx="7139940" cy="8255"/>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7139940" cy="8255"/>
                    </a:xfrm>
                    <a:prstGeom prst="rect">
                      <a:avLst/>
                    </a:prstGeom>
                    <a:noFill/>
                  </pic:spPr>
                </pic:pic>
              </a:graphicData>
            </a:graphic>
          </wp:anchor>
        </w:drawing>
      </w:r>
    </w:p>
    <w:p>
      <w:pPr>
        <w:spacing w:after="0" w:line="304" w:lineRule="exact"/>
        <w:rPr>
          <w:sz w:val="20"/>
          <w:szCs w:val="20"/>
          <w:color w:val="auto"/>
        </w:rPr>
      </w:pPr>
    </w:p>
    <w:p>
      <w:pPr>
        <w:spacing w:after="0"/>
        <w:rPr>
          <w:sz w:val="20"/>
          <w:szCs w:val="20"/>
          <w:color w:val="auto"/>
        </w:rPr>
      </w:pPr>
      <w:r>
        <w:rPr>
          <w:rFonts w:ascii="Arial" w:cs="Arial" w:eastAsia="Arial" w:hAnsi="Arial"/>
          <w:sz w:val="14"/>
          <w:szCs w:val="14"/>
          <w:color w:val="231F20"/>
        </w:rPr>
        <w:t>Section 4.15 of Article IV of the Amended and Restated Bylaws of the Corporation, as amended, has been amended to read as follows:</w:t>
      </w:r>
    </w:p>
    <w:p>
      <w:pPr>
        <w:spacing w:after="0" w:line="148" w:lineRule="exact"/>
        <w:rPr>
          <w:sz w:val="20"/>
          <w:szCs w:val="20"/>
          <w:color w:val="auto"/>
        </w:rPr>
      </w:pPr>
    </w:p>
    <w:p>
      <w:pPr>
        <w:spacing w:after="0"/>
        <w:rPr>
          <w:sz w:val="20"/>
          <w:szCs w:val="20"/>
          <w:color w:val="auto"/>
        </w:rPr>
      </w:pPr>
      <w:r>
        <w:rPr>
          <w:rFonts w:ascii="Arial" w:cs="Arial" w:eastAsia="Arial" w:hAnsi="Arial"/>
          <w:sz w:val="15"/>
          <w:szCs w:val="15"/>
          <w:b w:val="1"/>
          <w:bCs w:val="1"/>
          <w:color w:val="231F20"/>
        </w:rPr>
        <w:t>Section 4.15. Proxy Access.</w:t>
      </w:r>
    </w:p>
    <w:p>
      <w:pPr>
        <w:spacing w:after="0" w:line="154" w:lineRule="exact"/>
        <w:rPr>
          <w:sz w:val="20"/>
          <w:szCs w:val="20"/>
          <w:color w:val="auto"/>
        </w:rPr>
      </w:pPr>
    </w:p>
    <w:p>
      <w:pPr>
        <w:ind w:left="300" w:hanging="298"/>
        <w:spacing w:after="0"/>
        <w:tabs>
          <w:tab w:leader="none" w:pos="300" w:val="left"/>
        </w:tabs>
        <w:numPr>
          <w:ilvl w:val="0"/>
          <w:numId w:val="159"/>
        </w:numPr>
        <w:rPr>
          <w:rFonts w:ascii="Arial" w:cs="Arial" w:eastAsia="Arial" w:hAnsi="Arial"/>
          <w:sz w:val="14"/>
          <w:szCs w:val="14"/>
          <w:b w:val="1"/>
          <w:bCs w:val="1"/>
          <w:color w:val="231F20"/>
        </w:rPr>
      </w:pPr>
      <w:r>
        <w:rPr>
          <w:rFonts w:ascii="Arial" w:cs="Arial" w:eastAsia="Arial" w:hAnsi="Arial"/>
          <w:sz w:val="14"/>
          <w:szCs w:val="14"/>
          <w:b w:val="1"/>
          <w:bCs w:val="1"/>
          <w:color w:val="231F20"/>
        </w:rPr>
        <w:t>Inclusion of shareholder nominees in corporation’s proxy statement</w:t>
      </w:r>
    </w:p>
    <w:p>
      <w:pPr>
        <w:spacing w:after="0" w:line="236" w:lineRule="exact"/>
        <w:rPr>
          <w:rFonts w:ascii="Arial" w:cs="Arial" w:eastAsia="Arial" w:hAnsi="Arial"/>
          <w:sz w:val="14"/>
          <w:szCs w:val="14"/>
          <w:b w:val="1"/>
          <w:bCs w:val="1"/>
          <w:color w:val="231F20"/>
        </w:rPr>
      </w:pPr>
    </w:p>
    <w:p>
      <w:pPr>
        <w:ind w:firstLine="615"/>
        <w:spacing w:after="0" w:line="233" w:lineRule="auto"/>
        <w:tabs>
          <w:tab w:leader="none" w:pos="910" w:val="left"/>
        </w:tabs>
        <w:numPr>
          <w:ilvl w:val="1"/>
          <w:numId w:val="159"/>
        </w:numPr>
        <w:rPr>
          <w:rFonts w:ascii="Arial" w:cs="Arial" w:eastAsia="Arial" w:hAnsi="Arial"/>
          <w:sz w:val="14"/>
          <w:szCs w:val="14"/>
          <w:b w:val="1"/>
          <w:bCs w:val="1"/>
          <w:color w:val="231F20"/>
        </w:rPr>
      </w:pPr>
      <w:r>
        <w:rPr>
          <w:rFonts w:ascii="Arial" w:cs="Arial" w:eastAsia="Arial" w:hAnsi="Arial"/>
          <w:sz w:val="14"/>
          <w:szCs w:val="14"/>
          <w:color w:val="231F20"/>
        </w:rPr>
        <w:t>Subject to the provisions of this Section 4.15, if expressly requested in the relevant Proxy Access Nomination Notice (as defined below in Section 4.15(d)(1)), the corporation shall include in its proxy statement for any annual meeting of shareholders (but not at any special meeting of shareholders) and on the corporation’s form of proxy and ballot: (A) the names of any person or persons therein nominated for the election of directors (each, a Shareholder Nominee) by any Eligible Shareholder (as defined below in Section 4.15(c) (1)) or group of up to 20 Eligible Shareholders that, as determined by the board of directors, has (individually and collectively, in the case of a group) satisfied all applicable conditions and complied with all applicable procedures and requirements set forth in this Section 4.15 (such Eligible Shareholder or group of Eligible Shareholders being a Nominating Shareholder); (B) disclosure about each Shareholder Nominee and the Nominating Shareholder required under the rules of the Securities and Exchange Commission or other applicable law to be included in the proxy statement; (C) any statement included by the Nominating Shareholder in the Proxy Access Nomination Notice for inclusion in the proxy statement in support of each Shareholder Nominee’s election to the board of directors (subject, without limitation, to Section 4.15 (e)(2), and provided that such statement does not exceed 500 words and fully complies with Section 14 of the Exchange Act, including Rule 14a-9 thereunder (the Supporting Statement)); and (D) any other information that the corporation or the board of directors determines, in their discretion, to include in the proxy statement relating to the Nominating Shareholder and the nomination of each Shareholder Nominee, including, without limitation, any statement in opposition to the nomination, any of the information provided pursuant to this Section 4.15 and any solicitation materials or related information with respect to a Shareholder Nominee.</w:t>
      </w:r>
    </w:p>
    <w:p>
      <w:pPr>
        <w:spacing w:after="0" w:line="115" w:lineRule="exact"/>
        <w:rPr>
          <w:rFonts w:ascii="Arial" w:cs="Arial" w:eastAsia="Arial" w:hAnsi="Arial"/>
          <w:sz w:val="14"/>
          <w:szCs w:val="14"/>
          <w:b w:val="1"/>
          <w:bCs w:val="1"/>
          <w:color w:val="231F20"/>
        </w:rPr>
      </w:pPr>
    </w:p>
    <w:p>
      <w:pPr>
        <w:ind w:right="20" w:firstLine="615"/>
        <w:spacing w:after="0"/>
        <w:tabs>
          <w:tab w:leader="none" w:pos="910" w:val="left"/>
        </w:tabs>
        <w:numPr>
          <w:ilvl w:val="1"/>
          <w:numId w:val="159"/>
        </w:numPr>
        <w:rPr>
          <w:rFonts w:ascii="Arial" w:cs="Arial" w:eastAsia="Arial" w:hAnsi="Arial"/>
          <w:sz w:val="14"/>
          <w:szCs w:val="14"/>
          <w:b w:val="1"/>
          <w:bCs w:val="1"/>
          <w:color w:val="231F20"/>
        </w:rPr>
      </w:pPr>
      <w:r>
        <w:rPr>
          <w:rFonts w:ascii="Arial" w:cs="Arial" w:eastAsia="Arial" w:hAnsi="Arial"/>
          <w:sz w:val="14"/>
          <w:szCs w:val="14"/>
          <w:color w:val="231F20"/>
        </w:rPr>
        <w:t>For purposes of this Section 4.15, any determination to be made by the board of directors may be made by the board of directors, a committee of the board of directors or any officer of the corporation designated by the board of directors or a committee of the board of directors, and any such determination shall be final and binding on any Eligible Shareholder, any Nominating Shareholder, any Shareholder Nominee and any other person so long as made in good faith (without any further requirements). If any intervening events, facts or circumstances arise subsequent to any such determination, the presiding officer of any annual meeting of shareholders, in addition to making any other determinations that may be appropriate to the conduct of the meeting, shall have the power and duty to determine whether a Shareholder Nominee has been nominated in accordance with the requirements of this Section 4.15 and, if not so nominated, shall direct and declare at the meeting that such Shareholder Nominee shall not be considered.</w:t>
      </w:r>
    </w:p>
    <w:p>
      <w:pPr>
        <w:spacing w:after="0" w:line="257" w:lineRule="exact"/>
        <w:rPr>
          <w:rFonts w:ascii="Arial" w:cs="Arial" w:eastAsia="Arial" w:hAnsi="Arial"/>
          <w:sz w:val="14"/>
          <w:szCs w:val="14"/>
          <w:b w:val="1"/>
          <w:bCs w:val="1"/>
          <w:color w:val="231F20"/>
        </w:rPr>
      </w:pPr>
    </w:p>
    <w:p>
      <w:pPr>
        <w:ind w:left="300" w:hanging="298"/>
        <w:spacing w:after="0"/>
        <w:tabs>
          <w:tab w:leader="none" w:pos="300" w:val="left"/>
        </w:tabs>
        <w:numPr>
          <w:ilvl w:val="0"/>
          <w:numId w:val="159"/>
        </w:numPr>
        <w:rPr>
          <w:rFonts w:ascii="Arial" w:cs="Arial" w:eastAsia="Arial" w:hAnsi="Arial"/>
          <w:sz w:val="14"/>
          <w:szCs w:val="14"/>
          <w:b w:val="1"/>
          <w:bCs w:val="1"/>
          <w:color w:val="231F20"/>
        </w:rPr>
      </w:pPr>
      <w:r>
        <w:rPr>
          <w:rFonts w:ascii="Arial" w:cs="Arial" w:eastAsia="Arial" w:hAnsi="Arial"/>
          <w:sz w:val="14"/>
          <w:szCs w:val="14"/>
          <w:b w:val="1"/>
          <w:bCs w:val="1"/>
          <w:color w:val="231F20"/>
        </w:rPr>
        <w:t>Maximum number of shareholder nominees</w:t>
      </w:r>
    </w:p>
    <w:p>
      <w:pPr>
        <w:spacing w:after="0" w:line="236" w:lineRule="exact"/>
        <w:rPr>
          <w:rFonts w:ascii="Arial" w:cs="Arial" w:eastAsia="Arial" w:hAnsi="Arial"/>
          <w:sz w:val="14"/>
          <w:szCs w:val="14"/>
          <w:b w:val="1"/>
          <w:bCs w:val="1"/>
          <w:color w:val="231F20"/>
        </w:rPr>
      </w:pPr>
    </w:p>
    <w:p>
      <w:pPr>
        <w:ind w:right="120" w:firstLine="615"/>
        <w:spacing w:after="0" w:line="253" w:lineRule="auto"/>
        <w:tabs>
          <w:tab w:leader="none" w:pos="910" w:val="left"/>
        </w:tabs>
        <w:numPr>
          <w:ilvl w:val="1"/>
          <w:numId w:val="159"/>
        </w:numPr>
        <w:rPr>
          <w:rFonts w:ascii="Arial" w:cs="Arial" w:eastAsia="Arial" w:hAnsi="Arial"/>
          <w:sz w:val="14"/>
          <w:szCs w:val="14"/>
          <w:b w:val="1"/>
          <w:bCs w:val="1"/>
          <w:color w:val="231F20"/>
        </w:rPr>
      </w:pPr>
      <w:r>
        <w:rPr>
          <w:rFonts w:ascii="Arial" w:cs="Arial" w:eastAsia="Arial" w:hAnsi="Arial"/>
          <w:sz w:val="14"/>
          <w:szCs w:val="14"/>
          <w:color w:val="231F20"/>
        </w:rPr>
        <w:t>The corporation shall not be required to include in the proxy statement for an annual meeting of shareholders more Shareholder Nominees than that number constituting the greater of one (1) and 20% of the total number of directors of the corporation then serving on the last day on which a Proxy Access Nomination Notice may be submitted pursuant to this Section 4.15 (rounded down to the nearest whole number) (the Maximum Number).</w:t>
      </w:r>
    </w:p>
    <w:p>
      <w:pPr>
        <w:spacing w:after="0" w:line="103" w:lineRule="exact"/>
        <w:rPr>
          <w:rFonts w:ascii="Arial" w:cs="Arial" w:eastAsia="Arial" w:hAnsi="Arial"/>
          <w:sz w:val="14"/>
          <w:szCs w:val="14"/>
          <w:b w:val="1"/>
          <w:bCs w:val="1"/>
          <w:color w:val="231F20"/>
        </w:rPr>
      </w:pPr>
    </w:p>
    <w:p>
      <w:pPr>
        <w:ind w:right="40" w:firstLine="615"/>
        <w:spacing w:after="0"/>
        <w:tabs>
          <w:tab w:leader="none" w:pos="910" w:val="left"/>
        </w:tabs>
        <w:numPr>
          <w:ilvl w:val="1"/>
          <w:numId w:val="159"/>
        </w:numPr>
        <w:rPr>
          <w:rFonts w:ascii="Arial" w:cs="Arial" w:eastAsia="Arial" w:hAnsi="Arial"/>
          <w:sz w:val="14"/>
          <w:szCs w:val="14"/>
          <w:b w:val="1"/>
          <w:bCs w:val="1"/>
          <w:color w:val="231F20"/>
        </w:rPr>
      </w:pPr>
      <w:r>
        <w:rPr>
          <w:rFonts w:ascii="Arial" w:cs="Arial" w:eastAsia="Arial" w:hAnsi="Arial"/>
          <w:sz w:val="14"/>
          <w:szCs w:val="14"/>
          <w:color w:val="231F20"/>
        </w:rPr>
        <w:t>The Maximum Number for a particular annual meeting shall be reduced by: (A) each Shareholder Nominee whose nomination is withdrawn by the Nominating Shareholder or who becomes unwilling to serve on the board of directors; (B) each Shareholder Nominee who ceases to satisfy, or each Shareholder Nominee of a Nominating Shareholder that ceases to satisfy, the eligibility requirements in this Section 4.15, as determined by the board of directors; (C) each Shareholder Nominee who the board of directors itself decides to nominate for election at such annual meeting; and (D) the number of incumbent Directors who had been Shareholder Nominees at either of the preceding two annual meetings of shareholders and whose reelection at the upcoming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102235</wp:posOffset>
            </wp:positionV>
            <wp:extent cx="7139940" cy="8255"/>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7139940" cy="8255"/>
                    </a:xfrm>
                    <a:prstGeom prst="rect">
                      <a:avLst/>
                    </a:prstGeom>
                    <a:noFill/>
                  </pic:spPr>
                </pic:pic>
              </a:graphicData>
            </a:graphic>
          </wp:anchor>
        </w:drawing>
      </w:r>
    </w:p>
    <w:p>
      <w:pPr>
        <w:spacing w:after="0" w:line="186" w:lineRule="exact"/>
        <w:rPr>
          <w:sz w:val="20"/>
          <w:szCs w:val="20"/>
          <w:color w:val="auto"/>
        </w:rPr>
      </w:pPr>
    </w:p>
    <w:p>
      <w:pPr>
        <w:spacing w:after="0"/>
        <w:tabs>
          <w:tab w:leader="none" w:pos="360" w:val="left"/>
        </w:tabs>
        <w:rPr>
          <w:sz w:val="20"/>
          <w:szCs w:val="20"/>
          <w:color w:val="auto"/>
        </w:rPr>
      </w:pPr>
      <w:r>
        <w:rPr>
          <w:rFonts w:ascii="Arial" w:cs="Arial" w:eastAsia="Arial" w:hAnsi="Arial"/>
          <w:sz w:val="15"/>
          <w:szCs w:val="15"/>
          <w:color w:val="455986"/>
        </w:rPr>
        <w:t>C-1</w:t>
      </w:r>
      <w:r>
        <w:rPr>
          <w:sz w:val="20"/>
          <w:szCs w:val="20"/>
          <w:color w:val="auto"/>
        </w:rPr>
        <w:tab/>
      </w:r>
      <w:r>
        <w:rPr>
          <w:rFonts w:ascii="Arial" w:cs="Arial" w:eastAsia="Arial" w:hAnsi="Arial"/>
          <w:sz w:val="11"/>
          <w:szCs w:val="11"/>
          <w:color w:val="4395D4"/>
        </w:rPr>
        <w:t xml:space="preserve">ESSENTIAL UTILITIES, INC. </w:t>
      </w:r>
      <w:r>
        <w:rPr>
          <w:rFonts w:ascii="Arial" w:cs="Arial" w:eastAsia="Arial" w:hAnsi="Arial"/>
          <w:sz w:val="11"/>
          <w:szCs w:val="11"/>
          <w:color w:val="455986"/>
        </w:rPr>
        <w:t>2021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331470</wp:posOffset>
            </wp:positionV>
            <wp:extent cx="7139940" cy="24130"/>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7139940" cy="24130"/>
                    </a:xfrm>
                    <a:prstGeom prst="rect">
                      <a:avLst/>
                    </a:prstGeom>
                    <a:noFill/>
                  </pic:spPr>
                </pic:pic>
              </a:graphicData>
            </a:graphic>
          </wp:anchor>
        </w:drawing>
      </w:r>
    </w:p>
    <w:p>
      <w:pPr>
        <w:sectPr>
          <w:pgSz w:w="11900" w:h="16838" w:orient="portrait"/>
          <w:cols w:equalWidth="0" w:num="1">
            <w:col w:w="11220"/>
          </w:cols>
          <w:pgMar w:left="320" w:top="591" w:right="359" w:bottom="1440" w:gutter="0" w:footer="0" w:header="0"/>
        </w:sectPr>
      </w:pPr>
    </w:p>
    <w:bookmarkStart w:id="97" w:name="page98"/>
    <w:bookmarkEnd w:id="97"/>
    <w:p>
      <w:pPr>
        <w:spacing w:after="0"/>
        <w:rPr>
          <w:sz w:val="20"/>
          <w:szCs w:val="20"/>
          <w:color w:val="auto"/>
        </w:rPr>
      </w:pPr>
      <w:r>
        <w:rPr>
          <w:rFonts w:ascii="Arial" w:cs="Arial" w:eastAsia="Arial" w:hAnsi="Arial"/>
          <w:sz w:val="14"/>
          <w:szCs w:val="14"/>
          <w:b w:val="1"/>
          <w:bCs w:val="1"/>
          <w:color w:val="455986"/>
        </w:rPr>
        <w:t>Appendix 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27940</wp:posOffset>
            </wp:positionV>
            <wp:extent cx="7139940" cy="8255"/>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7139940" cy="8255"/>
                    </a:xfrm>
                    <a:prstGeom prst="rect">
                      <a:avLst/>
                    </a:prstGeom>
                    <a:noFill/>
                  </pic:spPr>
                </pic:pic>
              </a:graphicData>
            </a:graphic>
          </wp:anchor>
        </w:drawing>
      </w:r>
    </w:p>
    <w:p>
      <w:pPr>
        <w:spacing w:after="0" w:line="258" w:lineRule="exact"/>
        <w:rPr>
          <w:sz w:val="20"/>
          <w:szCs w:val="20"/>
          <w:color w:val="auto"/>
        </w:rPr>
      </w:pPr>
    </w:p>
    <w:p>
      <w:pPr>
        <w:ind w:right="20"/>
        <w:spacing w:after="0" w:line="245" w:lineRule="auto"/>
        <w:rPr>
          <w:sz w:val="20"/>
          <w:szCs w:val="20"/>
          <w:color w:val="auto"/>
        </w:rPr>
      </w:pPr>
      <w:r>
        <w:rPr>
          <w:rFonts w:ascii="Arial" w:cs="Arial" w:eastAsia="Arial" w:hAnsi="Arial"/>
          <w:sz w:val="14"/>
          <w:szCs w:val="14"/>
          <w:color w:val="231F20"/>
        </w:rPr>
        <w:t>annual meeting of shareholders is being recommended by the board of directors. In the event that one or more vacancies for any reason occurs on the board of directors after the deadline for submitting a Proxy Access Nomination Notice as set forth in Section 4.15(d) but before the date of the annual meeting of shareholders and the board of directors resolves to reduce the size of the board of directors in connection therewith, the Maximum Number shall be calculated based on the number of directors in office as so reduced.</w:t>
      </w:r>
    </w:p>
    <w:p>
      <w:pPr>
        <w:spacing w:after="0" w:line="273" w:lineRule="exact"/>
        <w:rPr>
          <w:sz w:val="20"/>
          <w:szCs w:val="20"/>
          <w:color w:val="auto"/>
        </w:rPr>
      </w:pPr>
    </w:p>
    <w:p>
      <w:pPr>
        <w:ind w:right="20" w:firstLine="615"/>
        <w:spacing w:after="0"/>
        <w:tabs>
          <w:tab w:leader="none" w:pos="910" w:val="left"/>
        </w:tabs>
        <w:numPr>
          <w:ilvl w:val="1"/>
          <w:numId w:val="160"/>
        </w:numPr>
        <w:rPr>
          <w:rFonts w:ascii="Arial" w:cs="Arial" w:eastAsia="Arial" w:hAnsi="Arial"/>
          <w:sz w:val="14"/>
          <w:szCs w:val="14"/>
          <w:b w:val="1"/>
          <w:bCs w:val="1"/>
          <w:color w:val="231F20"/>
        </w:rPr>
      </w:pPr>
      <w:r>
        <w:rPr>
          <w:rFonts w:ascii="Arial" w:cs="Arial" w:eastAsia="Arial" w:hAnsi="Arial"/>
          <w:sz w:val="14"/>
          <w:szCs w:val="14"/>
          <w:color w:val="231F20"/>
        </w:rPr>
        <w:t>If the number of Shareholder Nominees pursuant to this Section 4.15 for any annual meeting of shareholders exceeds the Maximum Number then, promptly upon notice from the corporation, each Nominating Shareholder will select one Shareholder Nominee for inclusion in the proxy statement until the Maximum Number is reached, going in order of the amount (largest to smallest) of shares of the corporation’s common stock that each Nominating Shareholder disclosed as owned in its Proxy Access Nomination Notice, with the process repeated if the Maximum Number is not reached after each Nominating Shareholder has selected one Shareholder Nominee. If, after the deadline for submitting a Proxy Access Nomination Notice as set forth in Section 4.15(d), a Nominating Shareholder or a Shareholder Nominee ceases to satisfy the eligibility requirements in this Section 4.15, as determined by the board of directors, a Nominating Shareholder withdraws its nomination or a Shareholder Nominee becomes unwilling to serve on the board of directors, whether before or after the mailing or other distribution of the definitive proxy statement, then the corporation: (A) shall not be required to include in its proxy statement or on any ballot or form of proxy the Shareholder Nominee or any successor or replacement Shareholder Nominee proposed by the Nominating Shareholder or by any other Nominating Shareholder and (B) may otherwise communicate to the shareholders of the corporation, including without limitation by amending or supplementing its proxy statement or ballot or form of proxy, that the Shareholder Nominee will not be included as a Shareholder Nominee in the proxy statement or on any ballot or form of proxy and will not be voted on at the annual meeting of shareholders (notwithstanding that proxies in respect of such vote may have been received by the corporation).</w:t>
      </w:r>
    </w:p>
    <w:p>
      <w:pPr>
        <w:spacing w:after="0" w:line="218" w:lineRule="exact"/>
        <w:rPr>
          <w:rFonts w:ascii="Arial" w:cs="Arial" w:eastAsia="Arial" w:hAnsi="Arial"/>
          <w:sz w:val="14"/>
          <w:szCs w:val="14"/>
          <w:b w:val="1"/>
          <w:bCs w:val="1"/>
          <w:color w:val="231F20"/>
        </w:rPr>
      </w:pPr>
    </w:p>
    <w:p>
      <w:pPr>
        <w:ind w:left="300" w:hanging="298"/>
        <w:spacing w:after="0"/>
        <w:tabs>
          <w:tab w:leader="none" w:pos="300" w:val="left"/>
        </w:tabs>
        <w:numPr>
          <w:ilvl w:val="0"/>
          <w:numId w:val="161"/>
        </w:numPr>
        <w:rPr>
          <w:rFonts w:ascii="Arial" w:cs="Arial" w:eastAsia="Arial" w:hAnsi="Arial"/>
          <w:sz w:val="14"/>
          <w:szCs w:val="14"/>
          <w:b w:val="1"/>
          <w:bCs w:val="1"/>
          <w:color w:val="231F20"/>
        </w:rPr>
      </w:pPr>
      <w:r>
        <w:rPr>
          <w:rFonts w:ascii="Arial" w:cs="Arial" w:eastAsia="Arial" w:hAnsi="Arial"/>
          <w:sz w:val="14"/>
          <w:szCs w:val="14"/>
          <w:b w:val="1"/>
          <w:bCs w:val="1"/>
          <w:color w:val="231F20"/>
        </w:rPr>
        <w:t>Eligibility of nominating shareholder</w:t>
      </w:r>
    </w:p>
    <w:p>
      <w:pPr>
        <w:spacing w:after="0" w:line="223" w:lineRule="exact"/>
        <w:rPr>
          <w:rFonts w:ascii="Arial" w:cs="Arial" w:eastAsia="Arial" w:hAnsi="Arial"/>
          <w:sz w:val="14"/>
          <w:szCs w:val="14"/>
          <w:b w:val="1"/>
          <w:bCs w:val="1"/>
          <w:color w:val="231F20"/>
        </w:rPr>
      </w:pPr>
    </w:p>
    <w:p>
      <w:pPr>
        <w:ind w:right="140" w:firstLine="615"/>
        <w:spacing w:after="0" w:line="245" w:lineRule="auto"/>
        <w:tabs>
          <w:tab w:leader="none" w:pos="910" w:val="left"/>
        </w:tabs>
        <w:numPr>
          <w:ilvl w:val="1"/>
          <w:numId w:val="161"/>
        </w:numPr>
        <w:rPr>
          <w:rFonts w:ascii="Arial" w:cs="Arial" w:eastAsia="Arial" w:hAnsi="Arial"/>
          <w:sz w:val="14"/>
          <w:szCs w:val="14"/>
          <w:b w:val="1"/>
          <w:bCs w:val="1"/>
          <w:color w:val="231F20"/>
        </w:rPr>
      </w:pPr>
      <w:r>
        <w:rPr>
          <w:rFonts w:ascii="Arial" w:cs="Arial" w:eastAsia="Arial" w:hAnsi="Arial"/>
          <w:sz w:val="14"/>
          <w:szCs w:val="14"/>
          <w:color w:val="231F20"/>
        </w:rPr>
        <w:t>An Eligible Shareholder is a person who has either (A) been a record holder of the shares of common stock of the corporation used to satisfy the eligibility requirements in this Section 4.15(c) continuously for the three-year period specified in Section 4.15 (c)(2) or (B) provides to the secretary of the corporation, within the time period referred to in Section 4.15(d), evidence of continuous ownership of such shares for such three-year period from one or more securities intermediaries in a form that the board of directors determines acceptable.</w:t>
      </w:r>
    </w:p>
    <w:p>
      <w:pPr>
        <w:spacing w:after="0" w:line="108" w:lineRule="exact"/>
        <w:rPr>
          <w:rFonts w:ascii="Arial" w:cs="Arial" w:eastAsia="Arial" w:hAnsi="Arial"/>
          <w:sz w:val="14"/>
          <w:szCs w:val="14"/>
          <w:b w:val="1"/>
          <w:bCs w:val="1"/>
          <w:color w:val="231F20"/>
        </w:rPr>
      </w:pPr>
    </w:p>
    <w:p>
      <w:pPr>
        <w:ind w:firstLine="615"/>
        <w:spacing w:after="0" w:line="233" w:lineRule="auto"/>
        <w:tabs>
          <w:tab w:leader="none" w:pos="910" w:val="left"/>
        </w:tabs>
        <w:numPr>
          <w:ilvl w:val="1"/>
          <w:numId w:val="161"/>
        </w:numPr>
        <w:rPr>
          <w:rFonts w:ascii="Arial" w:cs="Arial" w:eastAsia="Arial" w:hAnsi="Arial"/>
          <w:sz w:val="14"/>
          <w:szCs w:val="14"/>
          <w:b w:val="1"/>
          <w:bCs w:val="1"/>
          <w:color w:val="231F20"/>
        </w:rPr>
      </w:pPr>
      <w:r>
        <w:rPr>
          <w:rFonts w:ascii="Arial" w:cs="Arial" w:eastAsia="Arial" w:hAnsi="Arial"/>
          <w:sz w:val="14"/>
          <w:szCs w:val="14"/>
          <w:color w:val="231F20"/>
        </w:rPr>
        <w:t>An Eligible Shareholder or group of up to 20 Eligible Shareholders may submit a nomination in accordance with this Section 4.15 only if the person or group (in the aggregate) has continuously owned at least the Minimum Number (as defined below) (as adjusted for any stock splits, reverse stock splits, stock dividends or similar events) of shares of the corporation’s common stock throughout the three-year period preceding and including the date of submission of the Proxy Access Nomination Notice, and continues to own at least the Minimum Number of shares through the date of the annual meeting of shareholders. The following shall be treated as one Eligible Shareholder if such Eligible Shareholder shall provide together with the Proxy Access Nomination Notice documentation satisfactory to the board of directors that the Eligible Shareholder consists only of funds that are: (A) under common management and investment control; (B) under common management and funded primarily by the same employer; or (C) a group of investment companies (as defined in the Investment Company Act of 1940, as amended). In the event of a nomination by a Nominating Shareholder that includes a group of Eligible Shareholders, any and all requirements and obligations for an Eligible Shareholder shall apply to each Eligible Shareholder in such group; provided, however, that the Minimum Number shall apply to the aggregate ownership of the group of Eligible Shareholders constituting the Nominating Shareholder. Should any Eligible Shareholder cease to satisfy the eligibility requirements in this Section 4.15, as determined by the board of directors, or withdraw from a group of Eligible Shareholders constituting a Nominating Shareholder at any time prior to the annual meeting of shareholders, the Nominating Shareholder shall be deemed to own only the shares held by the remaining Eligible Shareholders. As used in this Section 4.15, any reference to a group or group of Eligible Shareholders refers to any Nominating Shareholder that consists of more than one Eligible Shareholder and to all the Eligible Shareholders that make up such Nominating Shareholder.</w:t>
      </w:r>
    </w:p>
    <w:p>
      <w:pPr>
        <w:spacing w:after="0" w:line="112" w:lineRule="exact"/>
        <w:rPr>
          <w:rFonts w:ascii="Arial" w:cs="Arial" w:eastAsia="Arial" w:hAnsi="Arial"/>
          <w:sz w:val="14"/>
          <w:szCs w:val="14"/>
          <w:b w:val="1"/>
          <w:bCs w:val="1"/>
          <w:color w:val="231F20"/>
        </w:rPr>
      </w:pPr>
    </w:p>
    <w:p>
      <w:pPr>
        <w:ind w:right="20" w:firstLine="615"/>
        <w:spacing w:after="0" w:line="253" w:lineRule="auto"/>
        <w:tabs>
          <w:tab w:leader="none" w:pos="910" w:val="left"/>
        </w:tabs>
        <w:numPr>
          <w:ilvl w:val="1"/>
          <w:numId w:val="161"/>
        </w:numPr>
        <w:rPr>
          <w:rFonts w:ascii="Arial" w:cs="Arial" w:eastAsia="Arial" w:hAnsi="Arial"/>
          <w:sz w:val="14"/>
          <w:szCs w:val="14"/>
          <w:b w:val="1"/>
          <w:bCs w:val="1"/>
          <w:color w:val="231F20"/>
        </w:rPr>
      </w:pPr>
      <w:r>
        <w:rPr>
          <w:rFonts w:ascii="Arial" w:cs="Arial" w:eastAsia="Arial" w:hAnsi="Arial"/>
          <w:sz w:val="14"/>
          <w:szCs w:val="14"/>
          <w:color w:val="231F20"/>
        </w:rPr>
        <w:t>The Minimum Number of shares of the corporation’s common stock means 3% of the aggregate number of shares of the corporation’s common stock outstanding as of the most recent date for which such amount is given in any filing by the corporation with the Securities and Exchange Commission prior to the submission of the Proxy Access Nomination Notice.</w:t>
      </w:r>
    </w:p>
    <w:p>
      <w:pPr>
        <w:spacing w:after="0" w:line="103" w:lineRule="exact"/>
        <w:rPr>
          <w:rFonts w:ascii="Arial" w:cs="Arial" w:eastAsia="Arial" w:hAnsi="Arial"/>
          <w:sz w:val="14"/>
          <w:szCs w:val="14"/>
          <w:b w:val="1"/>
          <w:bCs w:val="1"/>
          <w:color w:val="231F20"/>
        </w:rPr>
      </w:pPr>
    </w:p>
    <w:p>
      <w:pPr>
        <w:ind w:right="20" w:firstLine="615"/>
        <w:spacing w:after="0"/>
        <w:tabs>
          <w:tab w:leader="none" w:pos="910" w:val="left"/>
        </w:tabs>
        <w:numPr>
          <w:ilvl w:val="1"/>
          <w:numId w:val="161"/>
        </w:numPr>
        <w:rPr>
          <w:rFonts w:ascii="Arial" w:cs="Arial" w:eastAsia="Arial" w:hAnsi="Arial"/>
          <w:sz w:val="14"/>
          <w:szCs w:val="14"/>
          <w:b w:val="1"/>
          <w:bCs w:val="1"/>
          <w:color w:val="231F20"/>
        </w:rPr>
      </w:pPr>
      <w:r>
        <w:rPr>
          <w:rFonts w:ascii="Arial" w:cs="Arial" w:eastAsia="Arial" w:hAnsi="Arial"/>
          <w:sz w:val="14"/>
          <w:szCs w:val="14"/>
          <w:color w:val="231F20"/>
        </w:rPr>
        <w:t>For purposes of this Section 4.15, an Eligible Shareholder owns only those outstanding shares of the corporation’s common stock as to which such Eligible Shareholder possesses both: (A) the full voting and investment rights pertaining to such shares and (B) the full economic interest in (including the opportunity for profit from and the risk of loss on) such shares; provided that the number of shares calculated in accordance with clauses (A) and (B) shall not include any shares: (w) purchased or sold by such Eligible Shareholder or any of its affiliates in any transaction that has not been settled or closed, (x) that are subject to short positions or were otherwise sold short by such Eligible Shareholder or any of its affiliates, (y) borrowed by such Eligible Shareholder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109855</wp:posOffset>
            </wp:positionV>
            <wp:extent cx="7139940" cy="8255"/>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7139940" cy="8255"/>
                    </a:xfrm>
                    <a:prstGeom prst="rect">
                      <a:avLst/>
                    </a:prstGeom>
                    <a:noFill/>
                  </pic:spPr>
                </pic:pic>
              </a:graphicData>
            </a:graphic>
          </wp:anchor>
        </w:drawing>
      </w:r>
    </w:p>
    <w:p>
      <w:pPr>
        <w:spacing w:after="0" w:line="199" w:lineRule="exact"/>
        <w:rPr>
          <w:sz w:val="20"/>
          <w:szCs w:val="20"/>
          <w:color w:val="auto"/>
        </w:rPr>
      </w:pPr>
    </w:p>
    <w:p>
      <w:pPr>
        <w:jc w:val="right"/>
        <w:spacing w:after="0"/>
        <w:tabs>
          <w:tab w:leader="none" w:pos="220" w:val="left"/>
        </w:tabs>
        <w:rPr>
          <w:sz w:val="20"/>
          <w:szCs w:val="20"/>
          <w:color w:val="auto"/>
        </w:rPr>
      </w:pPr>
      <w:r>
        <w:rPr>
          <w:rFonts w:ascii="Arial" w:cs="Arial" w:eastAsia="Arial" w:hAnsi="Arial"/>
          <w:sz w:val="12"/>
          <w:szCs w:val="12"/>
          <w:color w:val="4395D4"/>
        </w:rPr>
        <w:t xml:space="preserve">ESSENTIAL UTILITIES, INC. </w:t>
      </w:r>
      <w:r>
        <w:rPr>
          <w:rFonts w:ascii="Arial" w:cs="Arial" w:eastAsia="Arial" w:hAnsi="Arial"/>
          <w:sz w:val="12"/>
          <w:szCs w:val="12"/>
          <w:color w:val="455986"/>
        </w:rPr>
        <w:t>2021 PROXY STATEMENT</w:t>
      </w:r>
      <w:r>
        <w:rPr>
          <w:sz w:val="20"/>
          <w:szCs w:val="20"/>
          <w:color w:val="auto"/>
        </w:rPr>
        <w:tab/>
      </w:r>
      <w:r>
        <w:rPr>
          <w:rFonts w:ascii="Arial" w:cs="Arial" w:eastAsia="Arial" w:hAnsi="Arial"/>
          <w:sz w:val="14"/>
          <w:szCs w:val="14"/>
          <w:color w:val="455986"/>
        </w:rPr>
        <w:t>C-2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346710</wp:posOffset>
            </wp:positionV>
            <wp:extent cx="7139940" cy="24130"/>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7139940" cy="24130"/>
                    </a:xfrm>
                    <a:prstGeom prst="rect">
                      <a:avLst/>
                    </a:prstGeom>
                    <a:noFill/>
                  </pic:spPr>
                </pic:pic>
              </a:graphicData>
            </a:graphic>
          </wp:anchor>
        </w:drawing>
      </w:r>
    </w:p>
    <w:p>
      <w:pPr>
        <w:sectPr>
          <w:pgSz w:w="11900" w:h="16838" w:orient="portrait"/>
          <w:cols w:equalWidth="0" w:num="1">
            <w:col w:w="11240"/>
          </w:cols>
          <w:pgMar w:left="320" w:top="636" w:right="339" w:bottom="1440" w:gutter="0" w:footer="0" w:header="0"/>
        </w:sectPr>
      </w:pPr>
    </w:p>
    <w:bookmarkStart w:id="98" w:name="page99"/>
    <w:bookmarkEnd w:id="98"/>
    <w:p>
      <w:pPr>
        <w:spacing w:after="0"/>
        <w:rPr>
          <w:sz w:val="20"/>
          <w:szCs w:val="20"/>
          <w:color w:val="auto"/>
        </w:rPr>
      </w:pPr>
      <w:r>
        <w:rPr>
          <w:rFonts w:ascii="Arial" w:cs="Arial" w:eastAsia="Arial" w:hAnsi="Arial"/>
          <w:sz w:val="14"/>
          <w:szCs w:val="14"/>
          <w:b w:val="1"/>
          <w:bCs w:val="1"/>
          <w:color w:val="455986"/>
        </w:rPr>
        <w:t>Appendix 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27940</wp:posOffset>
            </wp:positionV>
            <wp:extent cx="7139940" cy="8255"/>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7139940" cy="8255"/>
                    </a:xfrm>
                    <a:prstGeom prst="rect">
                      <a:avLst/>
                    </a:prstGeom>
                    <a:noFill/>
                  </pic:spPr>
                </pic:pic>
              </a:graphicData>
            </a:graphic>
          </wp:anchor>
        </w:drawing>
      </w:r>
    </w:p>
    <w:p>
      <w:pPr>
        <w:spacing w:after="0" w:line="258" w:lineRule="exact"/>
        <w:rPr>
          <w:sz w:val="20"/>
          <w:szCs w:val="20"/>
          <w:color w:val="auto"/>
        </w:rPr>
      </w:pPr>
    </w:p>
    <w:p>
      <w:pPr>
        <w:spacing w:after="0"/>
        <w:rPr>
          <w:sz w:val="20"/>
          <w:szCs w:val="20"/>
          <w:color w:val="auto"/>
        </w:rPr>
      </w:pPr>
      <w:r>
        <w:rPr>
          <w:rFonts w:ascii="Arial" w:cs="Arial" w:eastAsia="Arial" w:hAnsi="Arial"/>
          <w:sz w:val="14"/>
          <w:szCs w:val="14"/>
          <w:color w:val="231F20"/>
        </w:rPr>
        <w:t>or any of its affiliates for any purpose or purchased by such Eligible Shareholder or any of its affiliates pursuant to an agreement to resell or subject to any other obligation to resell to another person, or (z) subject to any option, warrant, forward contract, swap, contract of sale, other derivative or similar agreement entered into by such Eligible Shareholder or any of its affiliates, whether any such instrument or agreement is to be settled with shares, with cash based on the notional amount or value of outstanding shares of common stock of the corporation or a combination thereof, in any such case, which instrument or agreement has, or is intended to have, or if exercised or settled would have, the purpose or effect of: (1) reducing in any manner, to any extent or at any time in the future, such Eligible Shareholder’s or any of its affiliates’ full right to vote or direct the voting of any such shares and/or (2) hedging, offsetting or altering to any degree any gain or loss arising from the full economic interest in such shares by such Eligible Shareholder or any of its affiliates. An Eligible Shareholder owns shares held in the name of a nominee or other intermediary so long as the Eligible Shareholder retains the right to instruct how the shares are voted with respect to the election of directors and possesses the full economic interest in the shares. An Eligible Shareholder’s ownership of shares shall be deemed to continue during any period in which the Eligible Shareholder has delegated any voting power by means of a proxy, power of attorney or other similar instrument or arrangement that is revocable at any time by the Eligible Shareholder. An Eligible Shareholder’s ownership of shares shall be deemed to continue during any period in which the Eligible Shareholder has loaned such shares; provided that the Eligible Shareholder has the power to recall such loaned shares on not more than five business days’ notice. The terms owned, owning and other variations of the word own shall have correlative meanings. Whether outstanding shares of the corporation are owned for these purposes shall be determined by the board of directors. For purposes of this Section 4.15(c)(4), the term affiliate or affiliates shall have the meaning ascribed thereto under the General Rules and Regulations under the Exchange Act.</w:t>
      </w:r>
    </w:p>
    <w:p>
      <w:pPr>
        <w:spacing w:after="0" w:line="204" w:lineRule="exact"/>
        <w:rPr>
          <w:sz w:val="20"/>
          <w:szCs w:val="20"/>
          <w:color w:val="auto"/>
        </w:rPr>
      </w:pPr>
    </w:p>
    <w:p>
      <w:pPr>
        <w:ind w:right="60" w:firstLine="615"/>
        <w:spacing w:after="0" w:line="253" w:lineRule="auto"/>
        <w:tabs>
          <w:tab w:leader="none" w:pos="910" w:val="left"/>
        </w:tabs>
        <w:numPr>
          <w:ilvl w:val="1"/>
          <w:numId w:val="162"/>
        </w:numPr>
        <w:rPr>
          <w:rFonts w:ascii="Arial" w:cs="Arial" w:eastAsia="Arial" w:hAnsi="Arial"/>
          <w:sz w:val="14"/>
          <w:szCs w:val="14"/>
          <w:b w:val="1"/>
          <w:bCs w:val="1"/>
          <w:color w:val="231F20"/>
        </w:rPr>
      </w:pPr>
      <w:r>
        <w:rPr>
          <w:rFonts w:ascii="Arial" w:cs="Arial" w:eastAsia="Arial" w:hAnsi="Arial"/>
          <w:sz w:val="14"/>
          <w:szCs w:val="14"/>
          <w:color w:val="231F20"/>
        </w:rPr>
        <w:t>No Eligible Shareholder shall be permitted to be in more than one group constituting a Nominating Shareholder, and if any Eligible Shareholder appears as a member of more than one group, such Eligible Shareholder shall be deemed to be a member of only the group that owns the largest aggregate number of shares of each class of the corporation’s common stock, as reflected in the Proxy Access Nomination Notice</w:t>
      </w:r>
    </w:p>
    <w:p>
      <w:pPr>
        <w:spacing w:after="0" w:line="101" w:lineRule="exact"/>
        <w:rPr>
          <w:rFonts w:ascii="Arial" w:cs="Arial" w:eastAsia="Arial" w:hAnsi="Arial"/>
          <w:sz w:val="14"/>
          <w:szCs w:val="14"/>
          <w:b w:val="1"/>
          <w:bCs w:val="1"/>
          <w:color w:val="231F20"/>
        </w:rPr>
      </w:pPr>
    </w:p>
    <w:p>
      <w:pPr>
        <w:ind w:left="300" w:hanging="298"/>
        <w:spacing w:after="0"/>
        <w:tabs>
          <w:tab w:leader="none" w:pos="300" w:val="left"/>
        </w:tabs>
        <w:numPr>
          <w:ilvl w:val="0"/>
          <w:numId w:val="163"/>
        </w:numPr>
        <w:rPr>
          <w:rFonts w:ascii="Arial" w:cs="Arial" w:eastAsia="Arial" w:hAnsi="Arial"/>
          <w:sz w:val="14"/>
          <w:szCs w:val="14"/>
          <w:b w:val="1"/>
          <w:bCs w:val="1"/>
          <w:color w:val="231F20"/>
        </w:rPr>
      </w:pPr>
      <w:r>
        <w:rPr>
          <w:rFonts w:ascii="Arial" w:cs="Arial" w:eastAsia="Arial" w:hAnsi="Arial"/>
          <w:sz w:val="14"/>
          <w:szCs w:val="14"/>
          <w:b w:val="1"/>
          <w:bCs w:val="1"/>
          <w:color w:val="231F20"/>
        </w:rPr>
        <w:t>Proxy access nomination notice</w:t>
      </w:r>
    </w:p>
    <w:p>
      <w:pPr>
        <w:spacing w:after="0" w:line="223" w:lineRule="exact"/>
        <w:rPr>
          <w:rFonts w:ascii="Arial" w:cs="Arial" w:eastAsia="Arial" w:hAnsi="Arial"/>
          <w:sz w:val="14"/>
          <w:szCs w:val="14"/>
          <w:b w:val="1"/>
          <w:bCs w:val="1"/>
          <w:color w:val="231F20"/>
        </w:rPr>
      </w:pPr>
    </w:p>
    <w:p>
      <w:pPr>
        <w:ind w:firstLine="615"/>
        <w:spacing w:after="0" w:line="235" w:lineRule="auto"/>
        <w:tabs>
          <w:tab w:leader="none" w:pos="910" w:val="left"/>
        </w:tabs>
        <w:numPr>
          <w:ilvl w:val="1"/>
          <w:numId w:val="163"/>
        </w:numPr>
        <w:rPr>
          <w:rFonts w:ascii="Arial" w:cs="Arial" w:eastAsia="Arial" w:hAnsi="Arial"/>
          <w:sz w:val="14"/>
          <w:szCs w:val="14"/>
          <w:b w:val="1"/>
          <w:bCs w:val="1"/>
          <w:color w:val="231F20"/>
        </w:rPr>
      </w:pPr>
      <w:r>
        <w:rPr>
          <w:rFonts w:ascii="Arial" w:cs="Arial" w:eastAsia="Arial" w:hAnsi="Arial"/>
          <w:sz w:val="14"/>
          <w:szCs w:val="14"/>
          <w:color w:val="231F20"/>
        </w:rPr>
        <w:t>To nominate a Shareholder Nominee pursuant to this Section 4.15 the Nominating Shareholder (including each Eligible Shareholder in the case of a Nominating Shareholder consisting of a group of Eligible Shareholders) must deliver to the secretary of the corporation at the principal executive offices of the corporation all of the following information and documents in a form that the board of directors determines acceptable (collectively, the Proxy Access Nomination Notice), not less than 120 days nor more than 150 days prior to the anniversary of the date that the corporation first mailed or otherwise distributed its proxy statement for the prior year’s annual meeting of shareholders; provided, however, that if (and only if) the annual meeting of shareholders is not scheduled to be held within a period that commences 30 days before and concludes 30 days after the first anniversary date of the preceding year’s annual meeting of shareholders (an annual meeting date outside such period being referred to herein as an Other Meeting Date), the Proxy Access Nomination Notice shall be given in the manner provided herein by the later of the close of business on the date that is 180 days prior to such Other Meeting Date or the tenth day following the date such Other Meeting Date is first publicly announced or disclosed (in no event shall the adjournment or postponement of an annual meeting, or the public announcement thereof, commence a new time period (or extend any time period) for the giving of the Proxy Access Nomination Notice):</w:t>
      </w:r>
    </w:p>
    <w:p>
      <w:pPr>
        <w:spacing w:after="0" w:line="112" w:lineRule="exact"/>
        <w:rPr>
          <w:rFonts w:ascii="Arial" w:cs="Arial" w:eastAsia="Arial" w:hAnsi="Arial"/>
          <w:sz w:val="14"/>
          <w:szCs w:val="14"/>
          <w:b w:val="1"/>
          <w:bCs w:val="1"/>
          <w:color w:val="231F20"/>
        </w:rPr>
      </w:pPr>
    </w:p>
    <w:p>
      <w:pPr>
        <w:ind w:right="80" w:firstLine="921"/>
        <w:spacing w:after="0"/>
        <w:tabs>
          <w:tab w:leader="none" w:pos="1176" w:val="left"/>
        </w:tabs>
        <w:numPr>
          <w:ilvl w:val="2"/>
          <w:numId w:val="163"/>
        </w:numPr>
        <w:rPr>
          <w:rFonts w:ascii="Arial" w:cs="Arial" w:eastAsia="Arial" w:hAnsi="Arial"/>
          <w:sz w:val="14"/>
          <w:szCs w:val="14"/>
          <w:b w:val="1"/>
          <w:bCs w:val="1"/>
          <w:color w:val="231F20"/>
        </w:rPr>
      </w:pPr>
      <w:r>
        <w:rPr>
          <w:rFonts w:ascii="Arial" w:cs="Arial" w:eastAsia="Arial" w:hAnsi="Arial"/>
          <w:sz w:val="14"/>
          <w:szCs w:val="14"/>
          <w:color w:val="231F20"/>
        </w:rPr>
        <w:t>one or more written statements from the record holder of the shares (and from each intermediary through which the shares are or have been held during the requisite three-year holding period) verifying that, as of a date within seven days prior to the date of the Proxy Access Nomination Notice, the Nominating Shareholder owns, and has continuously owned for the preceding three years, the Minimum Number of shares, and the Nominating Shareholder’s agreement to provide, within five business days after the record date for the annual meeting, written statements from the record holder and intermediaries verifying the Nominating Shareholder’s continuous ownership of the Minimum Number of shares through the record date;</w:t>
      </w:r>
    </w:p>
    <w:p>
      <w:pPr>
        <w:spacing w:after="0" w:line="113" w:lineRule="exact"/>
        <w:rPr>
          <w:rFonts w:ascii="Arial" w:cs="Arial" w:eastAsia="Arial" w:hAnsi="Arial"/>
          <w:sz w:val="14"/>
          <w:szCs w:val="14"/>
          <w:b w:val="1"/>
          <w:bCs w:val="1"/>
          <w:color w:val="231F20"/>
        </w:rPr>
      </w:pPr>
    </w:p>
    <w:p>
      <w:pPr>
        <w:ind w:right="100" w:firstLine="921"/>
        <w:spacing w:after="0" w:line="278" w:lineRule="auto"/>
        <w:tabs>
          <w:tab w:leader="none" w:pos="1216" w:val="left"/>
        </w:tabs>
        <w:numPr>
          <w:ilvl w:val="2"/>
          <w:numId w:val="163"/>
        </w:numPr>
        <w:rPr>
          <w:rFonts w:ascii="Arial" w:cs="Arial" w:eastAsia="Arial" w:hAnsi="Arial"/>
          <w:sz w:val="14"/>
          <w:szCs w:val="14"/>
          <w:b w:val="1"/>
          <w:bCs w:val="1"/>
          <w:color w:val="231F20"/>
        </w:rPr>
      </w:pPr>
      <w:r>
        <w:rPr>
          <w:rFonts w:ascii="Arial" w:cs="Arial" w:eastAsia="Arial" w:hAnsi="Arial"/>
          <w:sz w:val="14"/>
          <w:szCs w:val="14"/>
          <w:color w:val="231F20"/>
        </w:rPr>
        <w:t>an agreement to hold the Minimum Number of shares through the annual meeting and to provide immediate notice if the Nominating Shareholder ceases to own the Minimum Number of shares at any time prior to the date of the annual meeting;</w:t>
      </w:r>
    </w:p>
    <w:p>
      <w:pPr>
        <w:spacing w:after="0" w:line="86" w:lineRule="exact"/>
        <w:rPr>
          <w:rFonts w:ascii="Arial" w:cs="Arial" w:eastAsia="Arial" w:hAnsi="Arial"/>
          <w:sz w:val="14"/>
          <w:szCs w:val="14"/>
          <w:b w:val="1"/>
          <w:bCs w:val="1"/>
          <w:color w:val="231F20"/>
        </w:rPr>
      </w:pPr>
    </w:p>
    <w:p>
      <w:pPr>
        <w:ind w:right="140" w:firstLine="921"/>
        <w:spacing w:after="0" w:line="278" w:lineRule="auto"/>
        <w:tabs>
          <w:tab w:leader="none" w:pos="1256" w:val="left"/>
        </w:tabs>
        <w:numPr>
          <w:ilvl w:val="2"/>
          <w:numId w:val="163"/>
        </w:numPr>
        <w:rPr>
          <w:rFonts w:ascii="Arial" w:cs="Arial" w:eastAsia="Arial" w:hAnsi="Arial"/>
          <w:sz w:val="14"/>
          <w:szCs w:val="14"/>
          <w:b w:val="1"/>
          <w:bCs w:val="1"/>
          <w:color w:val="231F20"/>
        </w:rPr>
      </w:pPr>
      <w:r>
        <w:rPr>
          <w:rFonts w:ascii="Arial" w:cs="Arial" w:eastAsia="Arial" w:hAnsi="Arial"/>
          <w:sz w:val="14"/>
          <w:szCs w:val="14"/>
          <w:color w:val="231F20"/>
        </w:rPr>
        <w:t>a Schedule 14N (or any successor form) relating to each Shareholder Nominee, completed and filed with the Securities and Exchange Commission by the Nominating Shareholder, as applicable, in accordance with Securities and Exchange Commission rules;</w:t>
      </w:r>
    </w:p>
    <w:p>
      <w:pPr>
        <w:spacing w:after="0" w:line="86" w:lineRule="exact"/>
        <w:rPr>
          <w:rFonts w:ascii="Arial" w:cs="Arial" w:eastAsia="Arial" w:hAnsi="Arial"/>
          <w:sz w:val="14"/>
          <w:szCs w:val="14"/>
          <w:b w:val="1"/>
          <w:bCs w:val="1"/>
          <w:color w:val="231F20"/>
        </w:rPr>
      </w:pPr>
    </w:p>
    <w:p>
      <w:pPr>
        <w:ind w:right="100" w:firstLine="921"/>
        <w:spacing w:after="0" w:line="278" w:lineRule="auto"/>
        <w:tabs>
          <w:tab w:leader="none" w:pos="1256" w:val="left"/>
        </w:tabs>
        <w:numPr>
          <w:ilvl w:val="2"/>
          <w:numId w:val="163"/>
        </w:numPr>
        <w:rPr>
          <w:rFonts w:ascii="Arial" w:cs="Arial" w:eastAsia="Arial" w:hAnsi="Arial"/>
          <w:sz w:val="14"/>
          <w:szCs w:val="14"/>
          <w:b w:val="1"/>
          <w:bCs w:val="1"/>
          <w:color w:val="231F20"/>
        </w:rPr>
      </w:pPr>
      <w:r>
        <w:rPr>
          <w:rFonts w:ascii="Arial" w:cs="Arial" w:eastAsia="Arial" w:hAnsi="Arial"/>
          <w:sz w:val="14"/>
          <w:szCs w:val="14"/>
          <w:color w:val="231F20"/>
        </w:rPr>
        <w:t>the written consent of each Shareholder Nominee to being named in the corporation’s proxy statement, form of proxy and ballot as a Shareholder Nominee and to serving as a director if elected;</w:t>
      </w:r>
    </w:p>
    <w:p>
      <w:pPr>
        <w:spacing w:after="0" w:line="86" w:lineRule="exact"/>
        <w:rPr>
          <w:rFonts w:ascii="Arial" w:cs="Arial" w:eastAsia="Arial" w:hAnsi="Arial"/>
          <w:sz w:val="14"/>
          <w:szCs w:val="14"/>
          <w:b w:val="1"/>
          <w:bCs w:val="1"/>
          <w:color w:val="231F20"/>
        </w:rPr>
      </w:pPr>
    </w:p>
    <w:p>
      <w:pPr>
        <w:ind w:right="620" w:firstLine="921"/>
        <w:spacing w:after="0" w:line="278" w:lineRule="auto"/>
        <w:tabs>
          <w:tab w:leader="none" w:pos="1216" w:val="left"/>
        </w:tabs>
        <w:numPr>
          <w:ilvl w:val="2"/>
          <w:numId w:val="163"/>
        </w:numPr>
        <w:rPr>
          <w:rFonts w:ascii="Arial" w:cs="Arial" w:eastAsia="Arial" w:hAnsi="Arial"/>
          <w:sz w:val="14"/>
          <w:szCs w:val="14"/>
          <w:b w:val="1"/>
          <w:bCs w:val="1"/>
          <w:color w:val="231F20"/>
        </w:rPr>
      </w:pPr>
      <w:r>
        <w:rPr>
          <w:rFonts w:ascii="Arial" w:cs="Arial" w:eastAsia="Arial" w:hAnsi="Arial"/>
          <w:sz w:val="14"/>
          <w:szCs w:val="14"/>
          <w:color w:val="231F20"/>
        </w:rPr>
        <w:t>a written notice, in a form deemed satisfactory by the board of directors, of the nomination of each Shareholder Nominee that includes the following additional information, agreements, representations and warranties by the Nominating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84455</wp:posOffset>
            </wp:positionV>
            <wp:extent cx="7139940" cy="8255"/>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7139940" cy="8255"/>
                    </a:xfrm>
                    <a:prstGeom prst="rect">
                      <a:avLst/>
                    </a:prstGeom>
                    <a:noFill/>
                  </pic:spPr>
                </pic:pic>
              </a:graphicData>
            </a:graphic>
          </wp:anchor>
        </w:drawing>
      </w:r>
    </w:p>
    <w:p>
      <w:pPr>
        <w:spacing w:after="0" w:line="159" w:lineRule="exact"/>
        <w:rPr>
          <w:sz w:val="20"/>
          <w:szCs w:val="20"/>
          <w:color w:val="auto"/>
        </w:rPr>
      </w:pPr>
    </w:p>
    <w:p>
      <w:pPr>
        <w:spacing w:after="0"/>
        <w:tabs>
          <w:tab w:leader="none" w:pos="360" w:val="left"/>
        </w:tabs>
        <w:rPr>
          <w:sz w:val="20"/>
          <w:szCs w:val="20"/>
          <w:color w:val="auto"/>
        </w:rPr>
      </w:pPr>
      <w:r>
        <w:rPr>
          <w:rFonts w:ascii="Arial" w:cs="Arial" w:eastAsia="Arial" w:hAnsi="Arial"/>
          <w:sz w:val="15"/>
          <w:szCs w:val="15"/>
          <w:color w:val="455986"/>
        </w:rPr>
        <w:t>C-3</w:t>
      </w:r>
      <w:r>
        <w:rPr>
          <w:sz w:val="20"/>
          <w:szCs w:val="20"/>
          <w:color w:val="auto"/>
        </w:rPr>
        <w:tab/>
      </w:r>
      <w:r>
        <w:rPr>
          <w:rFonts w:ascii="Arial" w:cs="Arial" w:eastAsia="Arial" w:hAnsi="Arial"/>
          <w:sz w:val="11"/>
          <w:szCs w:val="11"/>
          <w:color w:val="4395D4"/>
        </w:rPr>
        <w:t xml:space="preserve">ESSENTIAL UTILITIES, INC. </w:t>
      </w:r>
      <w:r>
        <w:rPr>
          <w:rFonts w:ascii="Arial" w:cs="Arial" w:eastAsia="Arial" w:hAnsi="Arial"/>
          <w:sz w:val="11"/>
          <w:szCs w:val="11"/>
          <w:color w:val="455986"/>
        </w:rPr>
        <w:t>2021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339725</wp:posOffset>
            </wp:positionV>
            <wp:extent cx="7139940" cy="24130"/>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7139940" cy="24130"/>
                    </a:xfrm>
                    <a:prstGeom prst="rect">
                      <a:avLst/>
                    </a:prstGeom>
                    <a:noFill/>
                  </pic:spPr>
                </pic:pic>
              </a:graphicData>
            </a:graphic>
          </wp:anchor>
        </w:drawing>
      </w:r>
    </w:p>
    <w:p>
      <w:pPr>
        <w:sectPr>
          <w:pgSz w:w="11900" w:h="16838" w:orient="portrait"/>
          <w:cols w:equalWidth="0" w:num="1">
            <w:col w:w="11240"/>
          </w:cols>
          <w:pgMar w:left="320" w:top="636" w:right="339" w:bottom="1440" w:gutter="0" w:footer="0" w:header="0"/>
        </w:sectPr>
      </w:pPr>
    </w:p>
    <w:bookmarkStart w:id="99" w:name="page100"/>
    <w:bookmarkEnd w:id="99"/>
    <w:p>
      <w:pPr>
        <w:spacing w:after="0"/>
        <w:rPr>
          <w:sz w:val="20"/>
          <w:szCs w:val="20"/>
          <w:color w:val="auto"/>
        </w:rPr>
      </w:pPr>
      <w:r>
        <w:rPr>
          <w:rFonts w:ascii="Arial" w:cs="Arial" w:eastAsia="Arial" w:hAnsi="Arial"/>
          <w:sz w:val="14"/>
          <w:szCs w:val="14"/>
          <w:b w:val="1"/>
          <w:bCs w:val="1"/>
          <w:color w:val="455986"/>
        </w:rPr>
        <w:t>Appendix 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27940</wp:posOffset>
            </wp:positionV>
            <wp:extent cx="7139940" cy="8255"/>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7139940" cy="8255"/>
                    </a:xfrm>
                    <a:prstGeom prst="rect">
                      <a:avLst/>
                    </a:prstGeom>
                    <a:noFill/>
                  </pic:spPr>
                </pic:pic>
              </a:graphicData>
            </a:graphic>
          </wp:anchor>
        </w:drawing>
      </w:r>
    </w:p>
    <w:p>
      <w:pPr>
        <w:spacing w:after="0" w:line="258" w:lineRule="exact"/>
        <w:rPr>
          <w:sz w:val="20"/>
          <w:szCs w:val="20"/>
          <w:color w:val="auto"/>
        </w:rPr>
      </w:pPr>
    </w:p>
    <w:p>
      <w:pPr>
        <w:ind w:right="40"/>
        <w:spacing w:after="0"/>
        <w:rPr>
          <w:sz w:val="20"/>
          <w:szCs w:val="20"/>
          <w:color w:val="auto"/>
        </w:rPr>
      </w:pPr>
      <w:r>
        <w:rPr>
          <w:rFonts w:ascii="Arial" w:cs="Arial" w:eastAsia="Arial" w:hAnsi="Arial"/>
          <w:sz w:val="14"/>
          <w:szCs w:val="14"/>
          <w:color w:val="231F20"/>
        </w:rPr>
        <w:t>Shareholder: (a) the information that would be required to be set forth in an Advance Nomination Notice pursuant to Section 4.14; (b) a representation and warranty that the Nominating Shareholder acquired the securities of the corporation in the ordinary course of business and did not acquire, and is not holding, securities of the corporation for the purpose or with the intent of changing or influencing control of the corporation; (c) a representation and warranty that the Nominating Shareholder has not nominated and will not nominate for election to the board of directors at the annual meeting any person other than such Nominating Shareholder’s Shareholder Nominee(s); (d) a representation and warranty that the Nominating Shareholder has not engaged in and will not engage in a solicitation within the meaning of Rule 14a-1(l) under the Exchange Act (without reference to the exception in Section 14a-1(l)(2)(iv)) with respect to the annual meeting, other than with respect to such Nominating Shareholder’s Shareholder Nominee(s) or any nominee of the board of directors; (e) a representation and warranty that the Nominating Shareholder will not use any form of proxy and ballot other than the corporation’s form of proxy and ballot in soliciting shareholders in connection with the election of a Shareholder Nominee at the annual meeting; (f) a representation and warranty that each Shareholder Nominee’s candidacy or, if elected, membership on the board of directors would not violate the articles or these bylaws, any applicable law, rule, regulation, order or decree to which the corporation is subject, including rules or regulations of any stock exchange on which the corporation’s shares of common stock are listed; (g) a representation and warranty that each Shareholder Nominee: (i) does not have any direct or indirect relationship with the corporation that would cause the Shareholder Nominee to be deemed not independent pursuant to the corporation’s standards in its Corporate Governance Guidelines and otherwise qualifies as independent under any other standards established by the corporation and the rules of any stock exchange on which the corporation’s shares of common stock are listed; (ii) meets the audit committee and compensation committee independence requirements under the rules of any stock exchange on which the corporation’s shares of common stock are listed; (iii) is a non-employee director for the purposes of Rule 16b-3 under the Exchange Act (or any successor rule); (iv) is an outside director for the purposes of Section 162(m) of the Internal Revenue Code (or any successor provision); (v) is not and has not been subject to any event specified in Rule 506(d) (1) of Regulation D (or any successor rule) under the Securities Act of 1933 or Item 401(f) of Regulation S-K (or any successor rule) under the Exchange Act, without reference to whether the event is material to an evaluation of the ability or integrity of such Shareholder Nominee; and (vi) meets the director qualifications set forth in the corporation’s Corporate Governance Guidelines and any other standards established by the corporation (notwithstanding this clause (g), for the avoidance of doubt, the board of directors is responsible for making the final determination of the Shareholder Nominee’s independence); (h) a representation and warranty that the Nominating Shareholder satisfies the eligibility requirements set forth in Section 4.15(c) and intends to continue to satisfy such eligibility requirements through the date of the annual meeting; (i) details of any position of a Shareholder Nominee as an employee, officer or director of any entity, and of any other material relationship with or material financial interest in any entity, within the three years preceding the submission of the Proxy Access Nomination Notice; (j) if desired, a Supporting Statement; and (k) in the case of a nomination by a Nominating Shareholder comprised of a group, the designation by all Eligible Shareholders in such group of one Eligible Shareholder that is authorized to act on behalf of the Nominating Shareholder with respect to matters relating to the nomination, including withdrawal of the nomination;</w:t>
      </w:r>
    </w:p>
    <w:p>
      <w:pPr>
        <w:spacing w:after="0" w:line="118" w:lineRule="exact"/>
        <w:rPr>
          <w:sz w:val="20"/>
          <w:szCs w:val="20"/>
          <w:color w:val="auto"/>
        </w:rPr>
      </w:pPr>
    </w:p>
    <w:p>
      <w:pPr>
        <w:ind w:right="20" w:firstLine="921"/>
        <w:spacing w:after="0" w:line="232" w:lineRule="auto"/>
        <w:tabs>
          <w:tab w:leader="none" w:pos="1256" w:val="left"/>
        </w:tabs>
        <w:numPr>
          <w:ilvl w:val="1"/>
          <w:numId w:val="164"/>
        </w:numPr>
        <w:rPr>
          <w:rFonts w:ascii="Arial" w:cs="Arial" w:eastAsia="Arial" w:hAnsi="Arial"/>
          <w:sz w:val="14"/>
          <w:szCs w:val="14"/>
          <w:b w:val="1"/>
          <w:bCs w:val="1"/>
          <w:color w:val="231F20"/>
        </w:rPr>
      </w:pPr>
      <w:r>
        <w:rPr>
          <w:rFonts w:ascii="Arial" w:cs="Arial" w:eastAsia="Arial" w:hAnsi="Arial"/>
          <w:sz w:val="14"/>
          <w:szCs w:val="14"/>
          <w:color w:val="231F20"/>
        </w:rPr>
        <w:t>an executed agreement, in a form deemed satisfactory by the board of directors, pursuant to which the Nominating Shareholder (including in the case of a group, each Eligible Shareholder in that group) agrees: (a) to comply with all applicable laws, rules and regulations in connection with the nomination, solicitation and election of the Shareholder Nominee; (b) to file any written solicitation or other communication with the corporation’s shareholders relating to one or more of the corporation’s directors or director nominees or any Shareholder Nominee with the Securities and Exchange Commission, regardless of whether any such filing is required under any rule or regulation or whether any exemption from filing is available for such materials under any rule or regulation; (c) to assume all liability stemming from any action, suit or proceeding concerning any actual or alleged legal or regulatory violation arising out of any communication by the Nominating Shareholder or any of its Shareholder Nominees with the corporation, the shareholders of the corporation or any other person in connection with the nomination or election of Directors, including, without limitation, the Proxy Access Nomination Notice;</w:t>
      </w:r>
    </w:p>
    <w:p>
      <w:pPr>
        <w:ind w:firstLine="2"/>
        <w:spacing w:after="0"/>
        <w:tabs>
          <w:tab w:leader="none" w:pos="217" w:val="left"/>
        </w:tabs>
        <w:numPr>
          <w:ilvl w:val="0"/>
          <w:numId w:val="165"/>
        </w:numPr>
        <w:rPr>
          <w:rFonts w:ascii="Arial" w:cs="Arial" w:eastAsia="Arial" w:hAnsi="Arial"/>
          <w:sz w:val="14"/>
          <w:szCs w:val="14"/>
          <w:color w:val="231F20"/>
        </w:rPr>
      </w:pPr>
      <w:r>
        <w:rPr>
          <w:rFonts w:ascii="Arial" w:cs="Arial" w:eastAsia="Arial" w:hAnsi="Arial"/>
          <w:sz w:val="14"/>
          <w:szCs w:val="14"/>
          <w:color w:val="231F20"/>
        </w:rPr>
        <w:t>to indemnify and hold harmless (jointly with all other Eligible Shareholders, in the case of a group of Eligible Shareholders) the corporation and each of its directors, officers and employees individually against any liability, loss, damages, expenses or other costs (including attorneys’ fees) incurred in connection with any threatened or pending action, suit or proceeding, whether legal, administrative or investigative, against the corporation or any of its directors, officers or employees arising out of or relating to a failure or alleged failure of the Nominating Shareholder or any of its Shareholder Nominees to comply with, or any breach or alleged breach of, its or their obligations, agreements or representations under, this Section 4.15; (e) in the event that any information included in the Proxy Access Nomination Notice or any other communication by the Nominating Shareholder (including with respect to any Eligible Shareholder included in a group) with the corporation, the shareholders of the corporation or any other person in connection with the nomination or election ceases to be true and accurate in all material respects (or omits a material fact necessary to make the statements made not misleading), to promptly (and in any event within 48 hours of discovering such misstatement or omission) notify the corporation and any other recipient of such communication of the misstatement or omission in such previously provided information and of the information that is required to correct the misstatement or omission; and (f) in the event that the Nominating Shareholder (including any Eligible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175895</wp:posOffset>
            </wp:positionV>
            <wp:extent cx="7139940" cy="8255"/>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7139940" cy="8255"/>
                    </a:xfrm>
                    <a:prstGeom prst="rect">
                      <a:avLst/>
                    </a:prstGeom>
                    <a:noFill/>
                  </pic:spPr>
                </pic:pic>
              </a:graphicData>
            </a:graphic>
          </wp:anchor>
        </w:drawing>
      </w:r>
    </w:p>
    <w:p>
      <w:pPr>
        <w:spacing w:after="0" w:line="303" w:lineRule="exact"/>
        <w:rPr>
          <w:sz w:val="20"/>
          <w:szCs w:val="20"/>
          <w:color w:val="auto"/>
        </w:rPr>
      </w:pPr>
    </w:p>
    <w:p>
      <w:pPr>
        <w:jc w:val="right"/>
        <w:spacing w:after="0"/>
        <w:tabs>
          <w:tab w:leader="none" w:pos="220" w:val="left"/>
        </w:tabs>
        <w:rPr>
          <w:sz w:val="20"/>
          <w:szCs w:val="20"/>
          <w:color w:val="auto"/>
        </w:rPr>
      </w:pPr>
      <w:r>
        <w:rPr>
          <w:rFonts w:ascii="Arial" w:cs="Arial" w:eastAsia="Arial" w:hAnsi="Arial"/>
          <w:sz w:val="12"/>
          <w:szCs w:val="12"/>
          <w:color w:val="4395D4"/>
        </w:rPr>
        <w:t xml:space="preserve">ESSENTIAL UTILITIES, INC. </w:t>
      </w:r>
      <w:r>
        <w:rPr>
          <w:rFonts w:ascii="Arial" w:cs="Arial" w:eastAsia="Arial" w:hAnsi="Arial"/>
          <w:sz w:val="12"/>
          <w:szCs w:val="12"/>
          <w:color w:val="455986"/>
        </w:rPr>
        <w:t>2021 PROXY STATEMENT</w:t>
      </w:r>
      <w:r>
        <w:rPr>
          <w:sz w:val="20"/>
          <w:szCs w:val="20"/>
          <w:color w:val="auto"/>
        </w:rPr>
        <w:tab/>
      </w:r>
      <w:r>
        <w:rPr>
          <w:rFonts w:ascii="Arial" w:cs="Arial" w:eastAsia="Arial" w:hAnsi="Arial"/>
          <w:sz w:val="14"/>
          <w:szCs w:val="14"/>
          <w:color w:val="455986"/>
        </w:rPr>
        <w:t>C-4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339090</wp:posOffset>
            </wp:positionV>
            <wp:extent cx="7139940" cy="24130"/>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7139940" cy="24130"/>
                    </a:xfrm>
                    <a:prstGeom prst="rect">
                      <a:avLst/>
                    </a:prstGeom>
                    <a:noFill/>
                  </pic:spPr>
                </pic:pic>
              </a:graphicData>
            </a:graphic>
          </wp:anchor>
        </w:drawing>
      </w:r>
    </w:p>
    <w:p>
      <w:pPr>
        <w:sectPr>
          <w:pgSz w:w="11900" w:h="16838" w:orient="portrait"/>
          <w:cols w:equalWidth="0" w:num="1">
            <w:col w:w="11240"/>
          </w:cols>
          <w:pgMar w:left="320" w:top="636" w:right="339" w:bottom="1440" w:gutter="0" w:footer="0" w:header="0"/>
        </w:sectPr>
      </w:pPr>
    </w:p>
    <w:bookmarkStart w:id="100" w:name="page101"/>
    <w:bookmarkEnd w:id="100"/>
    <w:p>
      <w:pPr>
        <w:spacing w:after="0"/>
        <w:rPr>
          <w:sz w:val="20"/>
          <w:szCs w:val="20"/>
          <w:color w:val="auto"/>
        </w:rPr>
      </w:pPr>
      <w:r>
        <w:rPr>
          <w:rFonts w:ascii="Arial" w:cs="Arial" w:eastAsia="Arial" w:hAnsi="Arial"/>
          <w:sz w:val="14"/>
          <w:szCs w:val="14"/>
          <w:b w:val="1"/>
          <w:bCs w:val="1"/>
          <w:color w:val="455986"/>
        </w:rPr>
        <w:t>Appendix 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27940</wp:posOffset>
            </wp:positionV>
            <wp:extent cx="7139940" cy="8255"/>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7139940" cy="8255"/>
                    </a:xfrm>
                    <a:prstGeom prst="rect">
                      <a:avLst/>
                    </a:prstGeom>
                    <a:noFill/>
                  </pic:spPr>
                </pic:pic>
              </a:graphicData>
            </a:graphic>
          </wp:anchor>
        </w:drawing>
      </w:r>
    </w:p>
    <w:p>
      <w:pPr>
        <w:spacing w:after="0" w:line="258" w:lineRule="exact"/>
        <w:rPr>
          <w:sz w:val="20"/>
          <w:szCs w:val="20"/>
          <w:color w:val="auto"/>
        </w:rPr>
      </w:pPr>
    </w:p>
    <w:p>
      <w:pPr>
        <w:spacing w:after="0"/>
        <w:rPr>
          <w:sz w:val="20"/>
          <w:szCs w:val="20"/>
          <w:color w:val="auto"/>
        </w:rPr>
      </w:pPr>
      <w:r>
        <w:rPr>
          <w:rFonts w:ascii="Arial" w:cs="Arial" w:eastAsia="Arial" w:hAnsi="Arial"/>
          <w:sz w:val="14"/>
          <w:szCs w:val="14"/>
          <w:color w:val="231F20"/>
        </w:rPr>
        <w:t>Shareholder in a group) has failed to continue to satisfy the eligibility requirements described in Section 4.15(c), to promptly notify the corporation; and</w:t>
      </w:r>
    </w:p>
    <w:p>
      <w:pPr>
        <w:spacing w:after="0" w:line="145" w:lineRule="exact"/>
        <w:rPr>
          <w:sz w:val="20"/>
          <w:szCs w:val="20"/>
          <w:color w:val="auto"/>
        </w:rPr>
      </w:pPr>
    </w:p>
    <w:p>
      <w:pPr>
        <w:ind w:firstLine="921"/>
        <w:spacing w:after="0"/>
        <w:tabs>
          <w:tab w:leader="none" w:pos="1216" w:val="left"/>
        </w:tabs>
        <w:numPr>
          <w:ilvl w:val="0"/>
          <w:numId w:val="166"/>
        </w:numPr>
        <w:rPr>
          <w:rFonts w:ascii="Arial" w:cs="Arial" w:eastAsia="Arial" w:hAnsi="Arial"/>
          <w:sz w:val="14"/>
          <w:szCs w:val="14"/>
          <w:b w:val="1"/>
          <w:bCs w:val="1"/>
          <w:color w:val="231F20"/>
        </w:rPr>
      </w:pPr>
      <w:r>
        <w:rPr>
          <w:rFonts w:ascii="Arial" w:cs="Arial" w:eastAsia="Arial" w:hAnsi="Arial"/>
          <w:sz w:val="14"/>
          <w:szCs w:val="14"/>
          <w:color w:val="231F20"/>
        </w:rPr>
        <w:t>an executed agreement, in a form deemed satisfactory by the board of directors, by each Shareholder Nominee: (a) to promptly, but in any event within ten business days after such request, provide to the corporation such other information and certifications, including completion of a director nominee questionnaire, as the corporation may reasonably request; (b) at the reasonable request of the board of directors, any committee or any officer of the corporation, to meet with the board of directors, any committee or any officer of the corporation to discuss matters relating to the nomination of such Shareholder Nominee to the board of directors, including the information provided by such Shareholder Nominee to the corporation in connection with his or her nomination and such Shareholder Nominee’s eligibility to serve as a member of the board of directors; (c) that such Shareholder Nominee has read and agrees, if elected, to comply with all of the corporation’s corporate governance, conflict of interest, confidentiality, and stock ownership and trading policies and guidelines, and any other corporation policies and guidelines applicable to directors; (d) understands his or her duties as a director under Pennsylvania law and agrees to act in accordance with those duties while serving as a director, and (e) that such Shareholder Nominee is not and will not become a party to: (i) any agreement, arrangement or understanding with any person with respect to any direct or indirect compensation, reimbursement or indemnification of the Shareholder Nominee in connection with being a Shareholder Nominee that has not been fully disclosed in writing to the corporation prior to or concurrently with the Nominating Shareholder’s submission of the Proxy Access Nomination Notice; (ii) any agreement, arrangement, or understanding with any person other than the corporation with respect to any direct or indirect compensation, reimbursement, or indemnification of the Shareholder Nominee in connection with service or action as a director of the corporation if so elected; (iii) any agreement, arrangement or understanding with any person or entity as to how such Shareholder Nominee, if elected, will vote or act on any issue (a Voting Commitment) except such as is already existing and has been fully disclosed to the corporation prior to or concurrently with the Nominating Shareholder’s submission of the Proxy Access Nomination Notice; or (iv) any Voting Commitment that could limit or interfere with such Shareholder Nominee’s ability to comply, if elected, with his or her fiduciary duties under applicable law.</w:t>
      </w:r>
    </w:p>
    <w:p>
      <w:pPr>
        <w:spacing w:after="0" w:line="189" w:lineRule="exact"/>
        <w:rPr>
          <w:sz w:val="20"/>
          <w:szCs w:val="20"/>
          <w:color w:val="auto"/>
        </w:rPr>
      </w:pPr>
    </w:p>
    <w:p>
      <w:pPr>
        <w:ind w:right="20" w:firstLine="921"/>
        <w:spacing w:after="0"/>
        <w:tabs>
          <w:tab w:leader="none" w:pos="1136" w:val="left"/>
        </w:tabs>
        <w:numPr>
          <w:ilvl w:val="1"/>
          <w:numId w:val="167"/>
        </w:numPr>
        <w:rPr>
          <w:rFonts w:ascii="Arial" w:cs="Arial" w:eastAsia="Arial" w:hAnsi="Arial"/>
          <w:sz w:val="14"/>
          <w:szCs w:val="14"/>
          <w:b w:val="1"/>
          <w:bCs w:val="1"/>
          <w:color w:val="231F20"/>
        </w:rPr>
      </w:pPr>
      <w:r>
        <w:rPr>
          <w:rFonts w:ascii="Arial" w:cs="Arial" w:eastAsia="Arial" w:hAnsi="Arial"/>
          <w:sz w:val="14"/>
          <w:szCs w:val="14"/>
          <w:color w:val="231F20"/>
        </w:rPr>
        <w:t>The information and documents required by this Section 4.15(d) to be provided by the Nominating Shareholder shall be: (A) provided with respect to and executed by each Eligible Shareholder in the case of a Nominating Shareholder comprised of a group of Eligible Shareholders; and (B) provided with respect to both the persons specified in Instructions 1 and 2 to Items 6(c) and (d) of Schedule 14N (or any successor item) and limited liability companies (x) in the case of a Nominating Shareholder that is an entity and (y) in the case of a Nominating Shareholder that is a group that includes one or more Eligible Shareholders that are entities. The Proxy Access Nomination Notice shall be deemed submitted on the date on which all of the information and documents referred to in this Section 4.15(d) (other than such information and documents contemplated to be provided after the date the Proxy Access Nomination Notice is provided) have been delivered to and received by the secretary of the corporation.</w:t>
      </w:r>
    </w:p>
    <w:p>
      <w:pPr>
        <w:spacing w:after="0" w:line="257" w:lineRule="exact"/>
        <w:rPr>
          <w:rFonts w:ascii="Arial" w:cs="Arial" w:eastAsia="Arial" w:hAnsi="Arial"/>
          <w:sz w:val="14"/>
          <w:szCs w:val="14"/>
          <w:b w:val="1"/>
          <w:bCs w:val="1"/>
          <w:color w:val="231F20"/>
        </w:rPr>
      </w:pPr>
    </w:p>
    <w:p>
      <w:pPr>
        <w:ind w:left="300" w:hanging="298"/>
        <w:spacing w:after="0"/>
        <w:tabs>
          <w:tab w:leader="none" w:pos="300" w:val="left"/>
        </w:tabs>
        <w:numPr>
          <w:ilvl w:val="0"/>
          <w:numId w:val="168"/>
        </w:numPr>
        <w:rPr>
          <w:rFonts w:ascii="Arial" w:cs="Arial" w:eastAsia="Arial" w:hAnsi="Arial"/>
          <w:sz w:val="14"/>
          <w:szCs w:val="14"/>
          <w:b w:val="1"/>
          <w:bCs w:val="1"/>
          <w:color w:val="231F20"/>
        </w:rPr>
      </w:pPr>
      <w:r>
        <w:rPr>
          <w:rFonts w:ascii="Arial" w:cs="Arial" w:eastAsia="Arial" w:hAnsi="Arial"/>
          <w:sz w:val="14"/>
          <w:szCs w:val="14"/>
          <w:b w:val="1"/>
          <w:bCs w:val="1"/>
          <w:color w:val="231F20"/>
        </w:rPr>
        <w:t>Exceptions</w:t>
      </w:r>
    </w:p>
    <w:p>
      <w:pPr>
        <w:spacing w:after="0" w:line="223" w:lineRule="exact"/>
        <w:rPr>
          <w:rFonts w:ascii="Arial" w:cs="Arial" w:eastAsia="Arial" w:hAnsi="Arial"/>
          <w:sz w:val="14"/>
          <w:szCs w:val="14"/>
          <w:b w:val="1"/>
          <w:bCs w:val="1"/>
          <w:color w:val="231F20"/>
        </w:rPr>
      </w:pPr>
    </w:p>
    <w:p>
      <w:pPr>
        <w:ind w:right="20" w:firstLine="921"/>
        <w:spacing w:after="0" w:line="232" w:lineRule="auto"/>
        <w:tabs>
          <w:tab w:leader="none" w:pos="1216" w:val="left"/>
        </w:tabs>
        <w:numPr>
          <w:ilvl w:val="1"/>
          <w:numId w:val="168"/>
        </w:numPr>
        <w:rPr>
          <w:rFonts w:ascii="Arial" w:cs="Arial" w:eastAsia="Arial" w:hAnsi="Arial"/>
          <w:sz w:val="14"/>
          <w:szCs w:val="14"/>
          <w:b w:val="1"/>
          <w:bCs w:val="1"/>
          <w:color w:val="231F20"/>
        </w:rPr>
      </w:pPr>
      <w:r>
        <w:rPr>
          <w:rFonts w:ascii="Arial" w:cs="Arial" w:eastAsia="Arial" w:hAnsi="Arial"/>
          <w:sz w:val="14"/>
          <w:szCs w:val="14"/>
          <w:color w:val="231F20"/>
        </w:rPr>
        <w:t>Notwithstanding anything to the contrary contained in this Section 4.15, the corporation may omit from its proxy statement any Shareholder Nominee and any information concerning such Shareholder Nominee (including a Nominating Shareholder’s Supporting Statement) and no vote on such Shareholder Nominee will occur (notwithstanding that proxies in respect of such vote may have been received by the corporation), and the Nominating Shareholder may not, after the last day on which a Proxy Access Nomination Notice would be timely, cure in any way any defect preventing the nomination of such Shareholder Nominee, if: (A) the corporation receives a notice pursuant to the advance notice requirements set forth in Section 4.14 that a shareholder intends to nominate a candidate for director at the annual meeting, whether or not such notice is subsequently withdrawn or made the subject of a settlement with the corporation; (B) the Nominating Shareholder (or, in the case of a Nominating Shareholder consisting of a group of Eligible Shareholders, the Eligible Shareholder that is authorized to act on behalf of the Nominating Shareholder), or any qualified representative thereof, does not appear at the annual meeting to present the nomination submitted pursuant to this Section 4.15, the Nominating Shareholder withdraws its nomination or the presiding officer of the annual meeting declares that such nomination was not made in accordance with the procedures prescribed by this Section 4.15 and shall therefore be disregarded; (C) the board of directors in good faith determines that such Shareholder Nominee fails to satisfy all the standards set forth in Section 4.15(d)(1)(E)(7)(a)-(f), such Shareholder Nominee has been, within the past three years, an officer or director of a competitor, as defined for purposes of Section 8 of the Clayton Antitrust Act of 1914, as amended, or if such Shareholder Nominee’s nomination or election to the board of directors would result in the corporation violating or failing to be in compliance with the articles, these bylaws or any applicable law, rule, regulation, order or decree to which the corporation is subject, including any rules or regulations of any stock exchange on which the corporation’s shares of common stock are listed; (D) such Shareholder Nominee was nominated for election to the board of directors pursuant to this Section 4.15 at one of the corporation’s two preceding annual meetings of shareholders and either withdrew from or became ineligible or unavailable for election at such annual meeting or received less than 25% of the votes that all shareholders are entitled to cast in favor of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101600</wp:posOffset>
            </wp:positionV>
            <wp:extent cx="7139940" cy="8255"/>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7139940" cy="8255"/>
                    </a:xfrm>
                    <a:prstGeom prst="rect">
                      <a:avLst/>
                    </a:prstGeom>
                    <a:noFill/>
                  </pic:spPr>
                </pic:pic>
              </a:graphicData>
            </a:graphic>
          </wp:anchor>
        </w:drawing>
      </w:r>
    </w:p>
    <w:p>
      <w:pPr>
        <w:spacing w:after="0" w:line="186" w:lineRule="exact"/>
        <w:rPr>
          <w:sz w:val="20"/>
          <w:szCs w:val="20"/>
          <w:color w:val="auto"/>
        </w:rPr>
      </w:pPr>
    </w:p>
    <w:p>
      <w:pPr>
        <w:spacing w:after="0"/>
        <w:tabs>
          <w:tab w:leader="none" w:pos="360" w:val="left"/>
        </w:tabs>
        <w:rPr>
          <w:sz w:val="20"/>
          <w:szCs w:val="20"/>
          <w:color w:val="auto"/>
        </w:rPr>
      </w:pPr>
      <w:r>
        <w:rPr>
          <w:rFonts w:ascii="Arial" w:cs="Arial" w:eastAsia="Arial" w:hAnsi="Arial"/>
          <w:sz w:val="15"/>
          <w:szCs w:val="15"/>
          <w:color w:val="455986"/>
        </w:rPr>
        <w:t>C-5</w:t>
      </w:r>
      <w:r>
        <w:rPr>
          <w:sz w:val="20"/>
          <w:szCs w:val="20"/>
          <w:color w:val="auto"/>
        </w:rPr>
        <w:tab/>
      </w:r>
      <w:r>
        <w:rPr>
          <w:rFonts w:ascii="Arial" w:cs="Arial" w:eastAsia="Arial" w:hAnsi="Arial"/>
          <w:sz w:val="11"/>
          <w:szCs w:val="11"/>
          <w:color w:val="4395D4"/>
        </w:rPr>
        <w:t xml:space="preserve">ESSENTIAL UTILITIES, INC. </w:t>
      </w:r>
      <w:r>
        <w:rPr>
          <w:rFonts w:ascii="Arial" w:cs="Arial" w:eastAsia="Arial" w:hAnsi="Arial"/>
          <w:sz w:val="11"/>
          <w:szCs w:val="11"/>
          <w:color w:val="455986"/>
        </w:rPr>
        <w:t>2021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339725</wp:posOffset>
            </wp:positionV>
            <wp:extent cx="7139940" cy="24130"/>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7139940" cy="24130"/>
                    </a:xfrm>
                    <a:prstGeom prst="rect">
                      <a:avLst/>
                    </a:prstGeom>
                    <a:noFill/>
                  </pic:spPr>
                </pic:pic>
              </a:graphicData>
            </a:graphic>
          </wp:anchor>
        </w:drawing>
      </w:r>
    </w:p>
    <w:p>
      <w:pPr>
        <w:sectPr>
          <w:pgSz w:w="11900" w:h="16838" w:orient="portrait"/>
          <w:cols w:equalWidth="0" w:num="1">
            <w:col w:w="11240"/>
          </w:cols>
          <w:pgMar w:left="320" w:top="636" w:right="339" w:bottom="1440" w:gutter="0" w:footer="0" w:header="0"/>
        </w:sectPr>
      </w:pPr>
    </w:p>
    <w:bookmarkStart w:id="101" w:name="page102"/>
    <w:bookmarkEnd w:id="101"/>
    <w:p>
      <w:pPr>
        <w:spacing w:after="0"/>
        <w:rPr>
          <w:sz w:val="20"/>
          <w:szCs w:val="20"/>
          <w:color w:val="auto"/>
        </w:rPr>
      </w:pPr>
      <w:r>
        <w:rPr>
          <w:rFonts w:ascii="Arial" w:cs="Arial" w:eastAsia="Arial" w:hAnsi="Arial"/>
          <w:sz w:val="14"/>
          <w:szCs w:val="14"/>
          <w:b w:val="1"/>
          <w:bCs w:val="1"/>
          <w:color w:val="455986"/>
        </w:rPr>
        <w:t>Appendix 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27940</wp:posOffset>
            </wp:positionV>
            <wp:extent cx="7139940" cy="8255"/>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7139940" cy="8255"/>
                    </a:xfrm>
                    <a:prstGeom prst="rect">
                      <a:avLst/>
                    </a:prstGeom>
                    <a:noFill/>
                  </pic:spPr>
                </pic:pic>
              </a:graphicData>
            </a:graphic>
          </wp:anchor>
        </w:drawing>
      </w:r>
    </w:p>
    <w:p>
      <w:pPr>
        <w:spacing w:after="0" w:line="258" w:lineRule="exact"/>
        <w:rPr>
          <w:sz w:val="20"/>
          <w:szCs w:val="20"/>
          <w:color w:val="auto"/>
        </w:rPr>
      </w:pPr>
    </w:p>
    <w:p>
      <w:pPr>
        <w:ind w:right="40"/>
        <w:spacing w:after="0"/>
        <w:rPr>
          <w:sz w:val="20"/>
          <w:szCs w:val="20"/>
          <w:color w:val="auto"/>
        </w:rPr>
      </w:pPr>
      <w:r>
        <w:rPr>
          <w:rFonts w:ascii="Arial" w:cs="Arial" w:eastAsia="Arial" w:hAnsi="Arial"/>
          <w:sz w:val="14"/>
          <w:szCs w:val="14"/>
          <w:color w:val="231F20"/>
        </w:rPr>
        <w:t>election of such Shareholder Nominee; or (E) the corporation is notified, or the board of directors determines, that the Nominating Shareholder or such Shareholder Nominee has failed to continue to satisfy the eligibility requirements described in Section 4.15(c), any of the representations and warranties made in the Proxy Access Nomination Notice ceases to be true and accurate in all material respects (or omits a material fact necessary to make the statements made not misleading), such Shareholder Nominee becomes unwilling or unable to serve on the board of directors or any material violation or breach occurs of any of the obligations, agreements, representations or warranties of the Nominating Shareholder or such Shareholder Nominee under this Section 4.15.</w:t>
      </w:r>
    </w:p>
    <w:p>
      <w:pPr>
        <w:spacing w:after="0" w:line="114" w:lineRule="exact"/>
        <w:rPr>
          <w:sz w:val="20"/>
          <w:szCs w:val="20"/>
          <w:color w:val="auto"/>
        </w:rPr>
      </w:pPr>
    </w:p>
    <w:p>
      <w:pPr>
        <w:ind w:firstLine="615"/>
        <w:spacing w:after="0" w:line="237" w:lineRule="auto"/>
        <w:tabs>
          <w:tab w:leader="none" w:pos="910" w:val="left"/>
        </w:tabs>
        <w:numPr>
          <w:ilvl w:val="1"/>
          <w:numId w:val="169"/>
        </w:numPr>
        <w:rPr>
          <w:rFonts w:ascii="Arial" w:cs="Arial" w:eastAsia="Arial" w:hAnsi="Arial"/>
          <w:sz w:val="14"/>
          <w:szCs w:val="14"/>
          <w:b w:val="1"/>
          <w:bCs w:val="1"/>
          <w:color w:val="231F20"/>
        </w:rPr>
      </w:pPr>
      <w:r>
        <w:rPr>
          <w:rFonts w:ascii="Arial" w:cs="Arial" w:eastAsia="Arial" w:hAnsi="Arial"/>
          <w:sz w:val="14"/>
          <w:szCs w:val="14"/>
          <w:color w:val="231F20"/>
        </w:rPr>
        <w:t>Notwithstanding anything to the contrary contained in this Section 4.15, the corporation may omit from its proxy statement, or may supplement or correct, any information, including all or any portion of the Supporting Statement or any other statement in support of a Shareholder Nominee included in the Proxy Access Nomination Notice, if the board of directors determines that: (A) such information is not true in all material respects or omits a material statement necessary to make the statements made not misleading; (B) such information directly or indirectly impugns the character, integrity or personal reputation of, or directly or indirectly makes charges concerning improper, illegal or immoral conduct or associations, without factual foundation, with respect to, any individual, corporation, partnership, association or other entity, organization or governmental authority; (C) the inclusion of such information in the proxy statement would otherwise violate the Securities and Exchange Commission’s proxy rules or any other applicable law, rule or regulation; or (D) the inclusion of such information in the proxy statement would impose a material risk of liability upon the corporation.</w:t>
      </w:r>
    </w:p>
    <w:p>
      <w:pPr>
        <w:spacing w:after="0" w:line="112" w:lineRule="exact"/>
        <w:rPr>
          <w:rFonts w:ascii="Arial" w:cs="Arial" w:eastAsia="Arial" w:hAnsi="Arial"/>
          <w:sz w:val="14"/>
          <w:szCs w:val="14"/>
          <w:b w:val="1"/>
          <w:bCs w:val="1"/>
          <w:color w:val="231F20"/>
        </w:rPr>
      </w:pPr>
    </w:p>
    <w:p>
      <w:pPr>
        <w:ind w:left="920" w:hanging="305"/>
        <w:spacing w:after="0"/>
        <w:tabs>
          <w:tab w:leader="none" w:pos="920" w:val="left"/>
        </w:tabs>
        <w:numPr>
          <w:ilvl w:val="1"/>
          <w:numId w:val="169"/>
        </w:numPr>
        <w:rPr>
          <w:rFonts w:ascii="Arial" w:cs="Arial" w:eastAsia="Arial" w:hAnsi="Arial"/>
          <w:sz w:val="14"/>
          <w:szCs w:val="14"/>
          <w:b w:val="1"/>
          <w:bCs w:val="1"/>
          <w:color w:val="231F20"/>
        </w:rPr>
      </w:pPr>
      <w:r>
        <w:rPr>
          <w:rFonts w:ascii="Arial" w:cs="Arial" w:eastAsia="Arial" w:hAnsi="Arial"/>
          <w:sz w:val="14"/>
          <w:szCs w:val="14"/>
          <w:color w:val="231F20"/>
        </w:rPr>
        <w:t>The corporation may solicit against, and include in the proxy statement its own statement relating to, any Shareholder Nominee.</w:t>
      </w:r>
    </w:p>
    <w:p>
      <w:pPr>
        <w:spacing w:after="0" w:line="145" w:lineRule="exact"/>
        <w:rPr>
          <w:rFonts w:ascii="Arial" w:cs="Arial" w:eastAsia="Arial" w:hAnsi="Arial"/>
          <w:sz w:val="14"/>
          <w:szCs w:val="14"/>
          <w:b w:val="1"/>
          <w:bCs w:val="1"/>
          <w:color w:val="231F20"/>
        </w:rPr>
      </w:pPr>
    </w:p>
    <w:p>
      <w:pPr>
        <w:ind w:left="260" w:hanging="258"/>
        <w:spacing w:after="0"/>
        <w:tabs>
          <w:tab w:leader="none" w:pos="260" w:val="left"/>
        </w:tabs>
        <w:numPr>
          <w:ilvl w:val="0"/>
          <w:numId w:val="170"/>
        </w:numPr>
        <w:rPr>
          <w:rFonts w:ascii="Arial" w:cs="Arial" w:eastAsia="Arial" w:hAnsi="Arial"/>
          <w:sz w:val="14"/>
          <w:szCs w:val="14"/>
          <w:b w:val="1"/>
          <w:bCs w:val="1"/>
          <w:color w:val="231F20"/>
        </w:rPr>
      </w:pPr>
      <w:r>
        <w:rPr>
          <w:rFonts w:ascii="Arial" w:cs="Arial" w:eastAsia="Arial" w:hAnsi="Arial"/>
          <w:sz w:val="14"/>
          <w:szCs w:val="14"/>
          <w:color w:val="231F20"/>
        </w:rPr>
        <w:t>This Section 4.15 provides the exclusive method for a shareholder to include nominees for election to the board of directors in the corporation’s proxy materials.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130175</wp:posOffset>
            </wp:positionV>
            <wp:extent cx="7139940" cy="8255"/>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7139940" cy="8255"/>
                    </a:xfrm>
                    <a:prstGeom prst="rect">
                      <a:avLst/>
                    </a:prstGeom>
                    <a:noFill/>
                  </pic:spPr>
                </pic:pic>
              </a:graphicData>
            </a:graphic>
          </wp:anchor>
        </w:drawing>
      </w:r>
    </w:p>
    <w:p>
      <w:pPr>
        <w:spacing w:after="0" w:line="230" w:lineRule="exact"/>
        <w:rPr>
          <w:sz w:val="20"/>
          <w:szCs w:val="20"/>
          <w:color w:val="auto"/>
        </w:rPr>
      </w:pPr>
    </w:p>
    <w:p>
      <w:pPr>
        <w:jc w:val="right"/>
        <w:spacing w:after="0"/>
        <w:tabs>
          <w:tab w:leader="none" w:pos="220" w:val="left"/>
        </w:tabs>
        <w:rPr>
          <w:sz w:val="20"/>
          <w:szCs w:val="20"/>
          <w:color w:val="auto"/>
        </w:rPr>
      </w:pPr>
      <w:r>
        <w:rPr>
          <w:rFonts w:ascii="Arial" w:cs="Arial" w:eastAsia="Arial" w:hAnsi="Arial"/>
          <w:sz w:val="12"/>
          <w:szCs w:val="12"/>
          <w:color w:val="4395D4"/>
        </w:rPr>
        <w:t xml:space="preserve">ESSENTIAL UTILITIES, INC. </w:t>
      </w:r>
      <w:r>
        <w:rPr>
          <w:rFonts w:ascii="Arial" w:cs="Arial" w:eastAsia="Arial" w:hAnsi="Arial"/>
          <w:sz w:val="12"/>
          <w:szCs w:val="12"/>
          <w:color w:val="455986"/>
        </w:rPr>
        <w:t>2021 PROXY STATEMENT</w:t>
      </w:r>
      <w:r>
        <w:rPr>
          <w:sz w:val="20"/>
          <w:szCs w:val="20"/>
          <w:color w:val="auto"/>
        </w:rPr>
        <w:tab/>
      </w:r>
      <w:r>
        <w:rPr>
          <w:rFonts w:ascii="Arial" w:cs="Arial" w:eastAsia="Arial" w:hAnsi="Arial"/>
          <w:sz w:val="14"/>
          <w:szCs w:val="14"/>
          <w:color w:val="455986"/>
        </w:rPr>
        <w:t>C-6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339090</wp:posOffset>
            </wp:positionV>
            <wp:extent cx="7139940" cy="24130"/>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7139940" cy="24130"/>
                    </a:xfrm>
                    <a:prstGeom prst="rect">
                      <a:avLst/>
                    </a:prstGeom>
                    <a:noFill/>
                  </pic:spPr>
                </pic:pic>
              </a:graphicData>
            </a:graphic>
          </wp:anchor>
        </w:drawing>
      </w:r>
    </w:p>
    <w:p>
      <w:pPr>
        <w:sectPr>
          <w:pgSz w:w="11900" w:h="16838" w:orient="portrait"/>
          <w:cols w:equalWidth="0" w:num="1">
            <w:col w:w="11240"/>
          </w:cols>
          <w:pgMar w:left="320" w:top="636" w:right="339" w:bottom="1440" w:gutter="0" w:footer="0" w:header="0"/>
        </w:sectPr>
      </w:pPr>
    </w:p>
    <w:bookmarkStart w:id="102" w:name="page103"/>
    <w:bookmarkEnd w:id="10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204470</wp:posOffset>
            </wp:positionH>
            <wp:positionV relativeFrom="page">
              <wp:posOffset>558800</wp:posOffset>
            </wp:positionV>
            <wp:extent cx="7139940" cy="7698740"/>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7139940" cy="76987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3" w:name="page104"/>
    <w:bookmarkEnd w:id="10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204470</wp:posOffset>
            </wp:positionH>
            <wp:positionV relativeFrom="page">
              <wp:posOffset>510540</wp:posOffset>
            </wp:positionV>
            <wp:extent cx="7139940" cy="7674610"/>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7139940" cy="76746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4" w:name="page105"/>
    <w:bookmarkEnd w:id="10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204470</wp:posOffset>
            </wp:positionH>
            <wp:positionV relativeFrom="page">
              <wp:posOffset>364490</wp:posOffset>
            </wp:positionV>
            <wp:extent cx="7139940" cy="8112125"/>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7139940" cy="81121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5" w:name="page106"/>
    <w:bookmarkEnd w:id="10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204470</wp:posOffset>
            </wp:positionH>
            <wp:positionV relativeFrom="page">
              <wp:posOffset>412750</wp:posOffset>
            </wp:positionV>
            <wp:extent cx="7139940" cy="8136890"/>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7139940" cy="8136890"/>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F6DD9AC"/>
    <w:multiLevelType w:val="hybridMultilevel"/>
    <w:lvl w:ilvl="0">
      <w:lvlJc w:val="left"/>
      <w:lvlText w:val=" "/>
      <w:numFmt w:val="bullet"/>
      <w:start w:val="1"/>
    </w:lvl>
  </w:abstractNum>
  <w:abstractNum w:abstractNumId="1">
    <w:nsid w:val="94211F2"/>
    <w:multiLevelType w:val="hybridMultilevel"/>
    <w:lvl w:ilvl="0">
      <w:lvlJc w:val="left"/>
      <w:lvlText w:val="x"/>
      <w:numFmt w:val="bullet"/>
      <w:start w:val="1"/>
    </w:lvl>
  </w:abstractNum>
  <w:abstractNum w:abstractNumId="2">
    <w:nsid w:val="885E1B"/>
    <w:multiLevelType w:val="hybridMultilevel"/>
    <w:lvl w:ilvl="0">
      <w:lvlJc w:val="left"/>
      <w:lvlText w:val=" "/>
      <w:numFmt w:val="bullet"/>
      <w:start w:val="1"/>
    </w:lvl>
    <w:lvl w:ilvl="1">
      <w:lvlJc w:val="left"/>
      <w:lvlText w:val="(%2)"/>
      <w:numFmt w:val="decimal"/>
      <w:start w:val="1"/>
    </w:lvl>
  </w:abstractNum>
  <w:abstractNum w:abstractNumId="3">
    <w:nsid w:val="76272110"/>
    <w:multiLevelType w:val="hybridMultilevel"/>
    <w:lvl w:ilvl="0">
      <w:lvlJc w:val="left"/>
      <w:lvlText w:val=" "/>
      <w:numFmt w:val="bullet"/>
      <w:start w:val="1"/>
    </w:lvl>
    <w:lvl w:ilvl="1">
      <w:lvlJc w:val="left"/>
      <w:lvlText w:val="(%2)"/>
      <w:numFmt w:val="decimal"/>
      <w:start w:val="1"/>
    </w:lvl>
  </w:abstractNum>
  <w:abstractNum w:abstractNumId="4">
    <w:nsid w:val="4C04A8AF"/>
    <w:multiLevelType w:val="hybridMultilevel"/>
    <w:lvl w:ilvl="0">
      <w:lvlJc w:val="left"/>
      <w:lvlText w:val="*"/>
      <w:numFmt w:val="bullet"/>
      <w:start w:val="1"/>
    </w:lvl>
  </w:abstractNum>
  <w:abstractNum w:abstractNumId="5">
    <w:nsid w:val="1716703B"/>
    <w:multiLevelType w:val="hybridMultilevel"/>
    <w:lvl w:ilvl="0">
      <w:lvlJc w:val="left"/>
      <w:lvlText w:val="2"/>
      <w:numFmt w:val="bullet"/>
      <w:start w:val="1"/>
    </w:lvl>
  </w:abstractNum>
  <w:abstractNum w:abstractNumId="6">
    <w:nsid w:val="14E17E33"/>
    <w:multiLevelType w:val="hybridMultilevel"/>
    <w:lvl w:ilvl="0">
      <w:lvlJc w:val="left"/>
      <w:lvlText w:val="4"/>
      <w:numFmt w:val="bullet"/>
      <w:start w:val="1"/>
    </w:lvl>
  </w:abstractNum>
  <w:abstractNum w:abstractNumId="7">
    <w:nsid w:val="3222E7CD"/>
    <w:multiLevelType w:val="hybridMultilevel"/>
    <w:lvl w:ilvl="0">
      <w:lvlJc w:val="left"/>
      <w:lvlText w:val="*"/>
      <w:numFmt w:val="bullet"/>
      <w:start w:val="1"/>
    </w:lvl>
  </w:abstractNum>
  <w:abstractNum w:abstractNumId="8">
    <w:nsid w:val="74DE0EE3"/>
    <w:multiLevelType w:val="hybridMultilevel"/>
    <w:lvl w:ilvl="0">
      <w:lvlJc w:val="left"/>
      <w:lvlText w:val="6"/>
      <w:numFmt w:val="bullet"/>
      <w:start w:val="1"/>
    </w:lvl>
  </w:abstractNum>
  <w:abstractNum w:abstractNumId="9">
    <w:nsid w:val="68EBC550"/>
    <w:multiLevelType w:val="hybridMultilevel"/>
    <w:lvl w:ilvl="0">
      <w:lvlJc w:val="left"/>
      <w:lvlText w:val="·"/>
      <w:numFmt w:val="bullet"/>
      <w:start w:val="1"/>
    </w:lvl>
  </w:abstractNum>
  <w:abstractNum w:abstractNumId="10">
    <w:nsid w:val="2DF6D648"/>
    <w:multiLevelType w:val="hybridMultilevel"/>
    <w:lvl w:ilvl="0">
      <w:lvlJc w:val="left"/>
      <w:lvlText w:val="·"/>
      <w:numFmt w:val="bullet"/>
      <w:start w:val="1"/>
    </w:lvl>
  </w:abstractNum>
  <w:abstractNum w:abstractNumId="11">
    <w:nsid w:val="46B7D447"/>
    <w:multiLevelType w:val="hybridMultilevel"/>
    <w:lvl w:ilvl="0">
      <w:lvlJc w:val="left"/>
      <w:lvlText w:val="•"/>
      <w:numFmt w:val="bullet"/>
      <w:start w:val="1"/>
    </w:lvl>
  </w:abstractNum>
  <w:abstractNum w:abstractNumId="12">
    <w:nsid w:val="4A2AC315"/>
    <w:multiLevelType w:val="hybridMultilevel"/>
    <w:lvl w:ilvl="0">
      <w:lvlJc w:val="left"/>
      <w:lvlText w:val="•"/>
      <w:numFmt w:val="bullet"/>
      <w:start w:val="1"/>
    </w:lvl>
  </w:abstractNum>
  <w:abstractNum w:abstractNumId="13">
    <w:nsid w:val="39EE015C"/>
    <w:multiLevelType w:val="hybridMultilevel"/>
    <w:lvl w:ilvl="0">
      <w:lvlJc w:val="left"/>
      <w:lvlText w:val="8"/>
      <w:numFmt w:val="bullet"/>
      <w:start w:val="1"/>
    </w:lvl>
  </w:abstractNum>
  <w:abstractNum w:abstractNumId="14">
    <w:nsid w:val="57FC4FBB"/>
    <w:multiLevelType w:val="hybridMultilevel"/>
    <w:lvl w:ilvl="0">
      <w:lvlJc w:val="left"/>
      <w:lvlText w:val="·"/>
      <w:numFmt w:val="bullet"/>
      <w:start w:val="1"/>
    </w:lvl>
  </w:abstractNum>
  <w:abstractNum w:abstractNumId="15">
    <w:nsid w:val="CC1016F"/>
    <w:multiLevelType w:val="hybridMultilevel"/>
    <w:lvl w:ilvl="0">
      <w:lvlJc w:val="left"/>
      <w:lvlText w:val="%1"/>
      <w:numFmt w:val="decimal"/>
      <w:start w:val="10"/>
    </w:lvl>
  </w:abstractNum>
  <w:abstractNum w:abstractNumId="16">
    <w:nsid w:val="43F18422"/>
    <w:multiLevelType w:val="hybridMultilevel"/>
    <w:lvl w:ilvl="0">
      <w:lvlJc w:val="left"/>
      <w:lvlText w:val="*"/>
      <w:numFmt w:val="bullet"/>
      <w:start w:val="1"/>
    </w:lvl>
  </w:abstractNum>
  <w:abstractNum w:abstractNumId="17">
    <w:nsid w:val="60EF0119"/>
    <w:multiLevelType w:val="hybridMultilevel"/>
    <w:lvl w:ilvl="0">
      <w:lvlJc w:val="left"/>
      <w:lvlText w:val="**"/>
      <w:numFmt w:val="bullet"/>
      <w:start w:val="1"/>
    </w:lvl>
  </w:abstractNum>
  <w:abstractNum w:abstractNumId="18">
    <w:nsid w:val="26F324BA"/>
    <w:multiLevelType w:val="hybridMultilevel"/>
    <w:lvl w:ilvl="0">
      <w:lvlJc w:val="left"/>
      <w:lvlText w:val="***"/>
      <w:numFmt w:val="bullet"/>
      <w:start w:val="1"/>
    </w:lvl>
  </w:abstractNum>
  <w:abstractNum w:abstractNumId="19">
    <w:nsid w:val="7F01579B"/>
    <w:multiLevelType w:val="hybridMultilevel"/>
    <w:lvl w:ilvl="0">
      <w:lvlJc w:val="left"/>
      <w:lvlText w:val="·"/>
      <w:numFmt w:val="bullet"/>
      <w:start w:val="1"/>
    </w:lvl>
  </w:abstractNum>
  <w:abstractNum w:abstractNumId="20">
    <w:nsid w:val="49DA307D"/>
    <w:multiLevelType w:val="hybridMultilevel"/>
    <w:lvl w:ilvl="0">
      <w:lvlJc w:val="left"/>
      <w:lvlText w:val="·"/>
      <w:numFmt w:val="bullet"/>
      <w:start w:val="1"/>
    </w:lvl>
  </w:abstractNum>
  <w:abstractNum w:abstractNumId="21">
    <w:nsid w:val="7055A5F5"/>
    <w:multiLevelType w:val="hybridMultilevel"/>
    <w:lvl w:ilvl="0">
      <w:lvlJc w:val="left"/>
      <w:lvlText w:val="·"/>
      <w:numFmt w:val="bullet"/>
      <w:start w:val="1"/>
    </w:lvl>
  </w:abstractNum>
  <w:abstractNum w:abstractNumId="22">
    <w:nsid w:val="5FB8370B"/>
    <w:multiLevelType w:val="hybridMultilevel"/>
    <w:lvl w:ilvl="0">
      <w:lvlJc w:val="left"/>
      <w:lvlText w:val="%1"/>
      <w:numFmt w:val="decimal"/>
      <w:start w:val="12"/>
    </w:lvl>
  </w:abstractNum>
  <w:abstractNum w:abstractNumId="23">
    <w:nsid w:val="50801EE1"/>
    <w:multiLevelType w:val="hybridMultilevel"/>
    <w:lvl w:ilvl="0">
      <w:lvlJc w:val="left"/>
      <w:lvlText w:val="·"/>
      <w:numFmt w:val="bullet"/>
      <w:start w:val="1"/>
    </w:lvl>
  </w:abstractNum>
  <w:abstractNum w:abstractNumId="24">
    <w:nsid w:val="488AC1A"/>
    <w:multiLevelType w:val="hybridMultilevel"/>
    <w:lvl w:ilvl="0">
      <w:lvlJc w:val="left"/>
      <w:lvlText w:val="·"/>
      <w:numFmt w:val="bullet"/>
      <w:start w:val="1"/>
    </w:lvl>
  </w:abstractNum>
  <w:abstractNum w:abstractNumId="25">
    <w:nsid w:val="5FB8011C"/>
    <w:multiLevelType w:val="hybridMultilevel"/>
    <w:lvl w:ilvl="0">
      <w:lvlJc w:val="left"/>
      <w:lvlText w:val="·"/>
      <w:numFmt w:val="bullet"/>
      <w:start w:val="1"/>
    </w:lvl>
  </w:abstractNum>
  <w:abstractNum w:abstractNumId="26">
    <w:nsid w:val="6AA78F7F"/>
    <w:multiLevelType w:val="hybridMultilevel"/>
    <w:lvl w:ilvl="0">
      <w:lvlJc w:val="left"/>
      <w:lvlText w:val="·"/>
      <w:numFmt w:val="bullet"/>
      <w:start w:val="1"/>
    </w:lvl>
  </w:abstractNum>
  <w:abstractNum w:abstractNumId="27">
    <w:nsid w:val="7672BD23"/>
    <w:multiLevelType w:val="hybridMultilevel"/>
    <w:lvl w:ilvl="0">
      <w:lvlJc w:val="left"/>
      <w:lvlText w:val="·"/>
      <w:numFmt w:val="bullet"/>
      <w:start w:val="1"/>
    </w:lvl>
  </w:abstractNum>
  <w:abstractNum w:abstractNumId="28">
    <w:nsid w:val="6FC75AF8"/>
    <w:multiLevelType w:val="hybridMultilevel"/>
    <w:lvl w:ilvl="0">
      <w:lvlJc w:val="left"/>
      <w:lvlText w:val="·"/>
      <w:numFmt w:val="bullet"/>
      <w:start w:val="1"/>
    </w:lvl>
  </w:abstractNum>
  <w:abstractNum w:abstractNumId="29">
    <w:nsid w:val="6A5F7029"/>
    <w:multiLevelType w:val="hybridMultilevel"/>
    <w:lvl w:ilvl="0">
      <w:lvlJc w:val="left"/>
      <w:lvlText w:val="·"/>
      <w:numFmt w:val="bullet"/>
      <w:start w:val="1"/>
    </w:lvl>
  </w:abstractNum>
  <w:abstractNum w:abstractNumId="30">
    <w:nsid w:val="7D5E18F8"/>
    <w:multiLevelType w:val="hybridMultilevel"/>
    <w:lvl w:ilvl="0">
      <w:lvlJc w:val="left"/>
      <w:lvlText w:val="·"/>
      <w:numFmt w:val="bullet"/>
      <w:start w:val="1"/>
    </w:lvl>
  </w:abstractNum>
  <w:abstractNum w:abstractNumId="31">
    <w:nsid w:val="5F3534A4"/>
    <w:multiLevelType w:val="hybridMultilevel"/>
    <w:lvl w:ilvl="0">
      <w:lvlJc w:val="left"/>
      <w:lvlText w:val="·"/>
      <w:numFmt w:val="bullet"/>
      <w:start w:val="1"/>
    </w:lvl>
  </w:abstractNum>
  <w:abstractNum w:abstractNumId="32">
    <w:nsid w:val="73A1821B"/>
    <w:multiLevelType w:val="hybridMultilevel"/>
    <w:lvl w:ilvl="0">
      <w:lvlJc w:val="left"/>
      <w:lvlText w:val="%1"/>
      <w:numFmt w:val="decimal"/>
      <w:start w:val="14"/>
    </w:lvl>
  </w:abstractNum>
  <w:abstractNum w:abstractNumId="33">
    <w:nsid w:val="7DE67713"/>
    <w:multiLevelType w:val="hybridMultilevel"/>
    <w:lvl w:ilvl="0">
      <w:lvlJc w:val="left"/>
      <w:lvlText w:val="·"/>
      <w:numFmt w:val="bullet"/>
      <w:start w:val="1"/>
    </w:lvl>
  </w:abstractNum>
  <w:abstractNum w:abstractNumId="34">
    <w:nsid w:val="555C55B5"/>
    <w:multiLevelType w:val="hybridMultilevel"/>
    <w:lvl w:ilvl="0">
      <w:lvlJc w:val="left"/>
      <w:lvlText w:val="·"/>
      <w:numFmt w:val="bullet"/>
      <w:start w:val="1"/>
    </w:lvl>
  </w:abstractNum>
  <w:abstractNum w:abstractNumId="35">
    <w:nsid w:val="3FA62ACA"/>
    <w:multiLevelType w:val="hybridMultilevel"/>
    <w:lvl w:ilvl="0">
      <w:lvlJc w:val="left"/>
      <w:lvlText w:val="·"/>
      <w:numFmt w:val="bullet"/>
      <w:start w:val="1"/>
    </w:lvl>
  </w:abstractNum>
  <w:abstractNum w:abstractNumId="36">
    <w:nsid w:val="14FCE74E"/>
    <w:multiLevelType w:val="hybridMultilevel"/>
    <w:lvl w:ilvl="0">
      <w:lvlJc w:val="left"/>
      <w:lvlText w:val="·"/>
      <w:numFmt w:val="bullet"/>
      <w:start w:val="1"/>
    </w:lvl>
  </w:abstractNum>
  <w:abstractNum w:abstractNumId="37">
    <w:nsid w:val="6A3DD3E8"/>
    <w:multiLevelType w:val="hybridMultilevel"/>
    <w:lvl w:ilvl="0">
      <w:lvlJc w:val="left"/>
      <w:lvlText w:val="·"/>
      <w:numFmt w:val="bullet"/>
      <w:start w:val="1"/>
    </w:lvl>
  </w:abstractNum>
  <w:abstractNum w:abstractNumId="38">
    <w:nsid w:val="71C91298"/>
    <w:multiLevelType w:val="hybridMultilevel"/>
    <w:lvl w:ilvl="0">
      <w:lvlJc w:val="left"/>
      <w:lvlText w:val="·"/>
      <w:numFmt w:val="bullet"/>
      <w:start w:val="1"/>
    </w:lvl>
  </w:abstractNum>
  <w:abstractNum w:abstractNumId="39">
    <w:nsid w:val="9DAF632"/>
    <w:multiLevelType w:val="hybridMultilevel"/>
    <w:lvl w:ilvl="0">
      <w:lvlJc w:val="left"/>
      <w:lvlText w:val="·"/>
      <w:numFmt w:val="bullet"/>
      <w:start w:val="1"/>
    </w:lvl>
  </w:abstractNum>
  <w:abstractNum w:abstractNumId="40">
    <w:nsid w:val="53299938"/>
    <w:multiLevelType w:val="hybridMultilevel"/>
    <w:lvl w:ilvl="0">
      <w:lvlJc w:val="left"/>
      <w:lvlText w:val="·"/>
      <w:numFmt w:val="bullet"/>
      <w:start w:val="1"/>
    </w:lvl>
  </w:abstractNum>
  <w:abstractNum w:abstractNumId="41">
    <w:nsid w:val="1FBFE8E0"/>
    <w:multiLevelType w:val="hybridMultilevel"/>
    <w:lvl w:ilvl="0">
      <w:lvlJc w:val="left"/>
      <w:lvlText w:val="·"/>
      <w:numFmt w:val="bullet"/>
      <w:start w:val="1"/>
    </w:lvl>
  </w:abstractNum>
  <w:abstractNum w:abstractNumId="42">
    <w:nsid w:val="5092CA79"/>
    <w:multiLevelType w:val="hybridMultilevel"/>
    <w:lvl w:ilvl="0">
      <w:lvlJc w:val="left"/>
      <w:lvlText w:val="·"/>
      <w:numFmt w:val="bullet"/>
      <w:start w:val="1"/>
    </w:lvl>
  </w:abstractNum>
  <w:abstractNum w:abstractNumId="43">
    <w:nsid w:val="1D545C4D"/>
    <w:multiLevelType w:val="hybridMultilevel"/>
    <w:lvl w:ilvl="0">
      <w:lvlJc w:val="left"/>
      <w:lvlText w:val="%1"/>
      <w:numFmt w:val="decimal"/>
      <w:start w:val="16"/>
    </w:lvl>
  </w:abstractNum>
  <w:abstractNum w:abstractNumId="44">
    <w:nsid w:val="59ADEA3D"/>
    <w:multiLevelType w:val="hybridMultilevel"/>
    <w:lvl w:ilvl="0">
      <w:lvlJc w:val="left"/>
      <w:lvlText w:val="·"/>
      <w:numFmt w:val="bullet"/>
      <w:start w:val="1"/>
    </w:lvl>
  </w:abstractNum>
  <w:abstractNum w:abstractNumId="45">
    <w:nsid w:val="288F1A34"/>
    <w:multiLevelType w:val="hybridMultilevel"/>
    <w:lvl w:ilvl="0">
      <w:lvlJc w:val="left"/>
      <w:lvlText w:val="·"/>
      <w:numFmt w:val="bullet"/>
      <w:start w:val="1"/>
    </w:lvl>
  </w:abstractNum>
  <w:abstractNum w:abstractNumId="46">
    <w:nsid w:val="2A155DBC"/>
    <w:multiLevelType w:val="hybridMultilevel"/>
    <w:lvl w:ilvl="0">
      <w:lvlJc w:val="left"/>
      <w:lvlText w:val="·"/>
      <w:numFmt w:val="bullet"/>
      <w:start w:val="1"/>
    </w:lvl>
  </w:abstractNum>
  <w:abstractNum w:abstractNumId="47">
    <w:nsid w:val="1D9F6E5F"/>
    <w:multiLevelType w:val="hybridMultilevel"/>
    <w:lvl w:ilvl="0">
      <w:lvlJc w:val="left"/>
      <w:lvlText w:val="*"/>
      <w:numFmt w:val="bullet"/>
      <w:start w:val="1"/>
    </w:lvl>
  </w:abstractNum>
  <w:abstractNum w:abstractNumId="48">
    <w:nsid w:val="97E1B4E"/>
    <w:multiLevelType w:val="hybridMultilevel"/>
    <w:lvl w:ilvl="0">
      <w:lvlJc w:val="left"/>
      <w:lvlText w:val="·"/>
      <w:numFmt w:val="bullet"/>
      <w:start w:val="1"/>
    </w:lvl>
  </w:abstractNum>
  <w:abstractNum w:abstractNumId="49">
    <w:nsid w:val="51088277"/>
    <w:multiLevelType w:val="hybridMultilevel"/>
    <w:lvl w:ilvl="0">
      <w:lvlJc w:val="left"/>
      <w:lvlText w:val="%1"/>
      <w:numFmt w:val="decimal"/>
      <w:start w:val="18"/>
    </w:lvl>
  </w:abstractNum>
  <w:abstractNum w:abstractNumId="50">
    <w:nsid w:val="1CA0C5FA"/>
    <w:multiLevelType w:val="hybridMultilevel"/>
    <w:lvl w:ilvl="0">
      <w:lvlJc w:val="left"/>
      <w:lvlText w:val="·"/>
      <w:numFmt w:val="bullet"/>
      <w:start w:val="1"/>
    </w:lvl>
  </w:abstractNum>
  <w:abstractNum w:abstractNumId="51">
    <w:nsid w:val="53584BCB"/>
    <w:multiLevelType w:val="hybridMultilevel"/>
    <w:lvl w:ilvl="0">
      <w:lvlJc w:val="left"/>
      <w:lvlText w:val="·"/>
      <w:numFmt w:val="bullet"/>
      <w:start w:val="1"/>
    </w:lvl>
  </w:abstractNum>
  <w:abstractNum w:abstractNumId="52">
    <w:nsid w:val="415E286C"/>
    <w:multiLevelType w:val="hybridMultilevel"/>
    <w:lvl w:ilvl="0">
      <w:lvlJc w:val="left"/>
      <w:lvlText w:val="·"/>
      <w:numFmt w:val="bullet"/>
      <w:start w:val="1"/>
    </w:lvl>
  </w:abstractNum>
  <w:abstractNum w:abstractNumId="53">
    <w:nsid w:val="7C58FD05"/>
    <w:multiLevelType w:val="hybridMultilevel"/>
    <w:lvl w:ilvl="0">
      <w:lvlJc w:val="left"/>
      <w:lvlText w:val="·"/>
      <w:numFmt w:val="bullet"/>
      <w:start w:val="1"/>
    </w:lvl>
  </w:abstractNum>
  <w:abstractNum w:abstractNumId="54">
    <w:nsid w:val="23D86AAC"/>
    <w:multiLevelType w:val="hybridMultilevel"/>
    <w:lvl w:ilvl="0">
      <w:lvlJc w:val="left"/>
      <w:lvlText w:val="%1"/>
      <w:numFmt w:val="decimal"/>
      <w:start w:val="20"/>
    </w:lvl>
  </w:abstractNum>
  <w:abstractNum w:abstractNumId="55">
    <w:nsid w:val="45E6D486"/>
    <w:multiLevelType w:val="hybridMultilevel"/>
    <w:lvl w:ilvl="0">
      <w:lvlJc w:val="left"/>
      <w:lvlText w:val="•"/>
      <w:numFmt w:val="bullet"/>
      <w:start w:val="1"/>
    </w:lvl>
  </w:abstractNum>
  <w:abstractNum w:abstractNumId="56">
    <w:nsid w:val="5C10FE21"/>
    <w:multiLevelType w:val="hybridMultilevel"/>
    <w:lvl w:ilvl="0">
      <w:lvlJc w:val="left"/>
      <w:lvlText w:val="%1"/>
      <w:numFmt w:val="decimal"/>
      <w:start w:val="22"/>
    </w:lvl>
  </w:abstractNum>
  <w:abstractNum w:abstractNumId="57">
    <w:nsid w:val="E7FFA2B"/>
    <w:multiLevelType w:val="hybridMultilevel"/>
    <w:lvl w:ilvl="0">
      <w:lvlJc w:val="left"/>
      <w:lvlText w:val="%1"/>
      <w:numFmt w:val="decimal"/>
      <w:start w:val="24"/>
    </w:lvl>
  </w:abstractNum>
  <w:abstractNum w:abstractNumId="58">
    <w:nsid w:val="3C5991AA"/>
    <w:multiLevelType w:val="hybridMultilevel"/>
    <w:lvl w:ilvl="0">
      <w:lvlJc w:val="left"/>
      <w:lvlText w:val="•"/>
      <w:numFmt w:val="bullet"/>
      <w:start w:val="1"/>
    </w:lvl>
  </w:abstractNum>
  <w:abstractNum w:abstractNumId="59">
    <w:nsid w:val="4BD8591A"/>
    <w:multiLevelType w:val="hybridMultilevel"/>
    <w:lvl w:ilvl="0">
      <w:lvlJc w:val="left"/>
      <w:lvlText w:val="•"/>
      <w:numFmt w:val="bullet"/>
      <w:start w:val="1"/>
    </w:lvl>
  </w:abstractNum>
  <w:abstractNum w:abstractNumId="60">
    <w:nsid w:val="78DF6A55"/>
    <w:multiLevelType w:val="hybridMultilevel"/>
    <w:lvl w:ilvl="0">
      <w:lvlJc w:val="left"/>
      <w:lvlText w:val="•"/>
      <w:numFmt w:val="bullet"/>
      <w:start w:val="1"/>
    </w:lvl>
  </w:abstractNum>
  <w:abstractNum w:abstractNumId="61">
    <w:nsid w:val="39B7AAA2"/>
    <w:multiLevelType w:val="hybridMultilevel"/>
    <w:lvl w:ilvl="0">
      <w:lvlJc w:val="left"/>
      <w:lvlText w:val="•"/>
      <w:numFmt w:val="bullet"/>
      <w:start w:val="1"/>
    </w:lvl>
  </w:abstractNum>
  <w:abstractNum w:abstractNumId="62">
    <w:nsid w:val="2B0D8DBE"/>
    <w:multiLevelType w:val="hybridMultilevel"/>
    <w:lvl w:ilvl="0">
      <w:lvlJc w:val="left"/>
      <w:lvlText w:val="%1"/>
      <w:numFmt w:val="decimal"/>
      <w:start w:val="26"/>
    </w:lvl>
  </w:abstractNum>
  <w:abstractNum w:abstractNumId="63">
    <w:nsid w:val="6C80EC70"/>
    <w:multiLevelType w:val="hybridMultilevel"/>
    <w:lvl w:ilvl="0">
      <w:lvlJc w:val="left"/>
      <w:lvlText w:val="•"/>
      <w:numFmt w:val="bullet"/>
      <w:start w:val="1"/>
    </w:lvl>
  </w:abstractNum>
  <w:abstractNum w:abstractNumId="64">
    <w:nsid w:val="379E21B5"/>
    <w:multiLevelType w:val="hybridMultilevel"/>
    <w:lvl w:ilvl="0">
      <w:lvlJc w:val="left"/>
      <w:lvlText w:val="%1"/>
      <w:numFmt w:val="decimal"/>
      <w:start w:val="28"/>
    </w:lvl>
  </w:abstractNum>
  <w:abstractNum w:abstractNumId="65">
    <w:nsid w:val="69E373"/>
    <w:multiLevelType w:val="hybridMultilevel"/>
    <w:lvl w:ilvl="0">
      <w:lvlJc w:val="left"/>
      <w:lvlText w:val="%1"/>
      <w:numFmt w:val="decimal"/>
      <w:start w:val="30"/>
    </w:lvl>
  </w:abstractNum>
  <w:abstractNum w:abstractNumId="66">
    <w:nsid w:val="2C27173B"/>
    <w:multiLevelType w:val="hybridMultilevel"/>
    <w:lvl w:ilvl="0">
      <w:lvlJc w:val="left"/>
      <w:lvlText w:val="•"/>
      <w:numFmt w:val="bullet"/>
      <w:start w:val="1"/>
    </w:lvl>
  </w:abstractNum>
  <w:abstractNum w:abstractNumId="67">
    <w:nsid w:val="4C9B0904"/>
    <w:multiLevelType w:val="hybridMultilevel"/>
    <w:lvl w:ilvl="0">
      <w:lvlJc w:val="left"/>
      <w:lvlText w:val="(%1)"/>
      <w:numFmt w:val="lowerLetter"/>
      <w:start w:val="1"/>
    </w:lvl>
  </w:abstractNum>
  <w:abstractNum w:abstractNumId="68">
    <w:nsid w:val="6AA7B75C"/>
    <w:multiLevelType w:val="hybridMultilevel"/>
    <w:lvl w:ilvl="0">
      <w:lvlJc w:val="left"/>
      <w:lvlText w:val="•"/>
      <w:numFmt w:val="bullet"/>
      <w:start w:val="1"/>
    </w:lvl>
  </w:abstractNum>
  <w:abstractNum w:abstractNumId="69">
    <w:nsid w:val="1DF029D3"/>
    <w:multiLevelType w:val="hybridMultilevel"/>
    <w:lvl w:ilvl="0">
      <w:lvlJc w:val="left"/>
      <w:lvlText w:val="%1."/>
      <w:numFmt w:val="decimal"/>
      <w:start w:val="1"/>
    </w:lvl>
  </w:abstractNum>
  <w:abstractNum w:abstractNumId="70">
    <w:nsid w:val="5675FF36"/>
    <w:multiLevelType w:val="hybridMultilevel"/>
    <w:lvl w:ilvl="0">
      <w:lvlJc w:val="left"/>
      <w:lvlText w:val="%1"/>
      <w:numFmt w:val="decimal"/>
      <w:start w:val="32"/>
    </w:lvl>
  </w:abstractNum>
  <w:abstractNum w:abstractNumId="71">
    <w:nsid w:val="3DD15094"/>
    <w:multiLevelType w:val="hybridMultilevel"/>
    <w:lvl w:ilvl="0">
      <w:lvlJc w:val="left"/>
      <w:lvlText w:val="%1."/>
      <w:numFmt w:val="decimal"/>
      <w:start w:val="3"/>
    </w:lvl>
  </w:abstractNum>
  <w:abstractNum w:abstractNumId="72">
    <w:nsid w:val="3DB012B3"/>
    <w:multiLevelType w:val="hybridMultilevel"/>
    <w:lvl w:ilvl="0">
      <w:lvlJc w:val="left"/>
      <w:lvlText w:val="(%1)"/>
      <w:numFmt w:val="lowerLetter"/>
      <w:start w:val="1"/>
    </w:lvl>
  </w:abstractNum>
  <w:abstractNum w:abstractNumId="73">
    <w:nsid w:val="2708C9AF"/>
    <w:multiLevelType w:val="hybridMultilevel"/>
    <w:lvl w:ilvl="0">
      <w:lvlJc w:val="left"/>
      <w:lvlText w:val="•"/>
      <w:numFmt w:val="bullet"/>
      <w:start w:val="1"/>
    </w:lvl>
  </w:abstractNum>
  <w:abstractNum w:abstractNumId="74">
    <w:nsid w:val="5B25ACE2"/>
    <w:multiLevelType w:val="hybridMultilevel"/>
    <w:lvl w:ilvl="0">
      <w:lvlJc w:val="left"/>
      <w:lvlText w:val="%1"/>
      <w:numFmt w:val="decimal"/>
      <w:start w:val="34"/>
    </w:lvl>
  </w:abstractNum>
  <w:abstractNum w:abstractNumId="75">
    <w:nsid w:val="175DFCF0"/>
    <w:multiLevelType w:val="hybridMultilevel"/>
    <w:lvl w:ilvl="0">
      <w:lvlJc w:val="left"/>
      <w:lvlText w:val="(%1)"/>
      <w:numFmt w:val="decimal"/>
      <w:start w:val="1"/>
    </w:lvl>
  </w:abstractNum>
  <w:abstractNum w:abstractNumId="76">
    <w:nsid w:val="4F97E3E4"/>
    <w:multiLevelType w:val="hybridMultilevel"/>
    <w:lvl w:ilvl="0">
      <w:lvlJc w:val="left"/>
      <w:lvlText w:val="(%1)"/>
      <w:numFmt w:val="decimal"/>
      <w:start w:val="1"/>
    </w:lvl>
  </w:abstractNum>
  <w:abstractNum w:abstractNumId="77">
    <w:nsid w:val="53B0A9E"/>
    <w:multiLevelType w:val="hybridMultilevel"/>
    <w:lvl w:ilvl="0">
      <w:lvlJc w:val="left"/>
      <w:lvlText w:val="%1"/>
      <w:numFmt w:val="decimal"/>
      <w:start w:val="36"/>
    </w:lvl>
  </w:abstractNum>
  <w:abstractNum w:abstractNumId="78">
    <w:nsid w:val="34FD6B4F"/>
    <w:multiLevelType w:val="hybridMultilevel"/>
    <w:lvl w:ilvl="0">
      <w:lvlJc w:val="left"/>
      <w:lvlText w:val="*"/>
      <w:numFmt w:val="bullet"/>
      <w:start w:val="1"/>
    </w:lvl>
  </w:abstractNum>
  <w:abstractNum w:abstractNumId="79">
    <w:nsid w:val="5915FF32"/>
    <w:multiLevelType w:val="hybridMultilevel"/>
    <w:lvl w:ilvl="0">
      <w:lvlJc w:val="left"/>
      <w:lvlText w:val="(%1)"/>
      <w:numFmt w:val="decimal"/>
      <w:start w:val="1"/>
    </w:lvl>
  </w:abstractNum>
  <w:abstractNum w:abstractNumId="80">
    <w:nsid w:val="56438D15"/>
    <w:multiLevelType w:val="hybridMultilevel"/>
    <w:lvl w:ilvl="0">
      <w:lvlJc w:val="left"/>
      <w:lvlText w:val="(%1)"/>
      <w:numFmt w:val="decimal"/>
      <w:start w:val="1"/>
    </w:lvl>
  </w:abstractNum>
  <w:abstractNum w:abstractNumId="81">
    <w:nsid w:val="519E3149"/>
    <w:multiLevelType w:val="hybridMultilevel"/>
    <w:lvl w:ilvl="0">
      <w:lvlJc w:val="left"/>
      <w:lvlText w:val="%1"/>
      <w:numFmt w:val="decimal"/>
      <w:start w:val="38"/>
    </w:lvl>
  </w:abstractNum>
  <w:abstractNum w:abstractNumId="82">
    <w:nsid w:val="2C6E4AFD"/>
    <w:multiLevelType w:val="hybridMultilevel"/>
    <w:lvl w:ilvl="0">
      <w:lvlJc w:val="left"/>
      <w:lvlText w:val="•"/>
      <w:numFmt w:val="bullet"/>
      <w:start w:val="1"/>
    </w:lvl>
  </w:abstractNum>
  <w:abstractNum w:abstractNumId="83">
    <w:nsid w:val="17A1B582"/>
    <w:multiLevelType w:val="hybridMultilevel"/>
    <w:lvl w:ilvl="0">
      <w:lvlJc w:val="left"/>
      <w:lvlText w:val="%1"/>
      <w:numFmt w:val="decimal"/>
      <w:start w:val="40"/>
    </w:lvl>
  </w:abstractNum>
  <w:abstractNum w:abstractNumId="84">
    <w:nsid w:val="4DF72E4E"/>
    <w:multiLevelType w:val="hybridMultilevel"/>
    <w:lvl w:ilvl="0">
      <w:lvlJc w:val="left"/>
      <w:lvlText w:val="·"/>
      <w:numFmt w:val="bullet"/>
      <w:start w:val="1"/>
    </w:lvl>
  </w:abstractNum>
  <w:abstractNum w:abstractNumId="85">
    <w:nsid w:val="5046B5A9"/>
    <w:multiLevelType w:val="hybridMultilevel"/>
    <w:lvl w:ilvl="0">
      <w:lvlJc w:val="left"/>
      <w:lvlText w:val="%1"/>
      <w:numFmt w:val="decimal"/>
      <w:start w:val="42"/>
    </w:lvl>
  </w:abstractNum>
  <w:abstractNum w:abstractNumId="86">
    <w:nsid w:val="5D888A08"/>
    <w:multiLevelType w:val="hybridMultilevel"/>
    <w:lvl w:ilvl="0">
      <w:lvlJc w:val="left"/>
      <w:lvlText w:val="•"/>
      <w:numFmt w:val="bullet"/>
      <w:start w:val="1"/>
    </w:lvl>
  </w:abstractNum>
  <w:abstractNum w:abstractNumId="87">
    <w:nsid w:val="2A082C70"/>
    <w:multiLevelType w:val="hybridMultilevel"/>
    <w:lvl w:ilvl="0">
      <w:lvlJc w:val="left"/>
      <w:lvlText w:val="•"/>
      <w:numFmt w:val="bullet"/>
      <w:start w:val="1"/>
    </w:lvl>
  </w:abstractNum>
  <w:abstractNum w:abstractNumId="88">
    <w:nsid w:val="5EC6AFD4"/>
    <w:multiLevelType w:val="hybridMultilevel"/>
    <w:lvl w:ilvl="0">
      <w:lvlJc w:val="left"/>
      <w:lvlText w:val="*"/>
      <w:numFmt w:val="bullet"/>
      <w:start w:val="1"/>
    </w:lvl>
  </w:abstractNum>
  <w:abstractNum w:abstractNumId="89">
    <w:nsid w:val="19E21BB2"/>
    <w:multiLevelType w:val="hybridMultilevel"/>
    <w:lvl w:ilvl="0">
      <w:lvlJc w:val="left"/>
      <w:lvlText w:val="•"/>
      <w:numFmt w:val="bullet"/>
      <w:start w:val="1"/>
    </w:lvl>
  </w:abstractNum>
  <w:abstractNum w:abstractNumId="90">
    <w:nsid w:val="75E0858A"/>
    <w:multiLevelType w:val="hybridMultilevel"/>
    <w:lvl w:ilvl="0">
      <w:lvlJc w:val="left"/>
      <w:lvlText w:val="•"/>
      <w:numFmt w:val="bullet"/>
      <w:start w:val="1"/>
    </w:lvl>
  </w:abstractNum>
  <w:abstractNum w:abstractNumId="91">
    <w:nsid w:val="57A61A29"/>
    <w:multiLevelType w:val="hybridMultilevel"/>
    <w:lvl w:ilvl="0">
      <w:lvlJc w:val="left"/>
      <w:lvlText w:val="%1"/>
      <w:numFmt w:val="decimal"/>
      <w:start w:val="44"/>
    </w:lvl>
  </w:abstractNum>
  <w:abstractNum w:abstractNumId="92">
    <w:nsid w:val="5399C654"/>
    <w:multiLevelType w:val="hybridMultilevel"/>
    <w:lvl w:ilvl="0">
      <w:lvlJc w:val="left"/>
      <w:lvlText w:val="•"/>
      <w:numFmt w:val="bullet"/>
      <w:start w:val="1"/>
    </w:lvl>
  </w:abstractNum>
  <w:abstractNum w:abstractNumId="93">
    <w:nsid w:val="20EE1348"/>
    <w:multiLevelType w:val="hybridMultilevel"/>
    <w:lvl w:ilvl="0">
      <w:lvlJc w:val="left"/>
      <w:lvlText w:val="%1"/>
      <w:numFmt w:val="decimal"/>
      <w:start w:val="46"/>
    </w:lvl>
  </w:abstractNum>
  <w:abstractNum w:abstractNumId="94">
    <w:nsid w:val="4427069A"/>
    <w:multiLevelType w:val="hybridMultilevel"/>
    <w:lvl w:ilvl="0">
      <w:lvlJc w:val="left"/>
      <w:lvlText w:val="•"/>
      <w:numFmt w:val="bullet"/>
      <w:start w:val="1"/>
    </w:lvl>
  </w:abstractNum>
  <w:abstractNum w:abstractNumId="95">
    <w:nsid w:val="B37E80A"/>
    <w:multiLevelType w:val="hybridMultilevel"/>
    <w:lvl w:ilvl="0">
      <w:lvlJc w:val="left"/>
      <w:lvlText w:val="%1"/>
      <w:numFmt w:val="decimal"/>
      <w:start w:val="48"/>
    </w:lvl>
  </w:abstractNum>
  <w:abstractNum w:abstractNumId="96">
    <w:nsid w:val="2157F6BC"/>
    <w:multiLevelType w:val="hybridMultilevel"/>
    <w:lvl w:ilvl="0">
      <w:lvlJc w:val="left"/>
      <w:lvlText w:val="%1"/>
      <w:numFmt w:val="decimal"/>
      <w:start w:val="50"/>
    </w:lvl>
  </w:abstractNum>
  <w:abstractNum w:abstractNumId="97">
    <w:nsid w:val="704E1DD5"/>
    <w:multiLevelType w:val="hybridMultilevel"/>
    <w:lvl w:ilvl="0">
      <w:lvlJc w:val="left"/>
      <w:lvlText w:val="·"/>
      <w:numFmt w:val="bullet"/>
      <w:start w:val="1"/>
    </w:lvl>
  </w:abstractNum>
  <w:abstractNum w:abstractNumId="98">
    <w:nsid w:val="57D2F10E"/>
    <w:multiLevelType w:val="hybridMultilevel"/>
    <w:lvl w:ilvl="0">
      <w:lvlJc w:val="left"/>
      <w:lvlText w:val="%1"/>
      <w:numFmt w:val="decimal"/>
      <w:start w:val="52"/>
    </w:lvl>
  </w:abstractNum>
  <w:abstractNum w:abstractNumId="99">
    <w:nsid w:val="BFFAE18"/>
    <w:multiLevelType w:val="hybridMultilevel"/>
    <w:lvl w:ilvl="0">
      <w:lvlJc w:val="left"/>
      <w:lvlText w:val="%1"/>
      <w:numFmt w:val="decimal"/>
      <w:start w:val="54"/>
    </w:lvl>
  </w:abstractNum>
  <w:abstractNum w:abstractNumId="100">
    <w:nsid w:val="E3E47A8"/>
    <w:multiLevelType w:val="hybridMultilevel"/>
    <w:lvl w:ilvl="0">
      <w:lvlJc w:val="left"/>
      <w:lvlText w:val="•"/>
      <w:numFmt w:val="bullet"/>
      <w:start w:val="1"/>
    </w:lvl>
  </w:abstractNum>
  <w:abstractNum w:abstractNumId="101">
    <w:nsid w:val="2E48F044"/>
    <w:multiLevelType w:val="hybridMultilevel"/>
    <w:lvl w:ilvl="0">
      <w:lvlJc w:val="left"/>
      <w:lvlText w:val="•"/>
      <w:numFmt w:val="bullet"/>
      <w:start w:val="1"/>
    </w:lvl>
  </w:abstractNum>
  <w:abstractNum w:abstractNumId="102">
    <w:nsid w:val="49D0FEAC"/>
    <w:multiLevelType w:val="hybridMultilevel"/>
    <w:lvl w:ilvl="0">
      <w:lvlJc w:val="left"/>
      <w:lvlText w:val="•"/>
      <w:numFmt w:val="bullet"/>
      <w:start w:val="1"/>
    </w:lvl>
  </w:abstractNum>
  <w:abstractNum w:abstractNumId="103">
    <w:nsid w:val="4BEE5A5B"/>
    <w:multiLevelType w:val="hybridMultilevel"/>
    <w:lvl w:ilvl="0">
      <w:lvlJc w:val="left"/>
      <w:lvlText w:val="%1"/>
      <w:numFmt w:val="decimal"/>
      <w:start w:val="56"/>
    </w:lvl>
  </w:abstractNum>
  <w:abstractNum w:abstractNumId="104">
    <w:nsid w:val="5551B9F3"/>
    <w:multiLevelType w:val="hybridMultilevel"/>
    <w:lvl w:ilvl="0">
      <w:lvlJc w:val="left"/>
      <w:lvlText w:val="%1"/>
      <w:numFmt w:val="decimal"/>
      <w:start w:val="58"/>
    </w:lvl>
  </w:abstractNum>
  <w:abstractNum w:abstractNumId="105">
    <w:nsid w:val="24F6AB8E"/>
    <w:multiLevelType w:val="hybridMultilevel"/>
    <w:lvl w:ilvl="0">
      <w:lvlJc w:val="left"/>
      <w:lvlText w:val="•"/>
      <w:numFmt w:val="bullet"/>
      <w:start w:val="1"/>
    </w:lvl>
  </w:abstractNum>
  <w:abstractNum w:abstractNumId="106">
    <w:nsid w:val="634C574C"/>
    <w:multiLevelType w:val="hybridMultilevel"/>
    <w:lvl w:ilvl="0">
      <w:lvlJc w:val="left"/>
      <w:lvlText w:val="•"/>
      <w:numFmt w:val="bullet"/>
      <w:start w:val="1"/>
    </w:lvl>
  </w:abstractNum>
  <w:abstractNum w:abstractNumId="107">
    <w:nsid w:val="24E99DD7"/>
    <w:multiLevelType w:val="hybridMultilevel"/>
    <w:lvl w:ilvl="0">
      <w:lvlJc w:val="left"/>
      <w:lvlText w:val="•"/>
      <w:numFmt w:val="bullet"/>
      <w:start w:val="1"/>
    </w:lvl>
  </w:abstractNum>
  <w:abstractNum w:abstractNumId="108">
    <w:nsid w:val="2A31B62D"/>
    <w:multiLevelType w:val="hybridMultilevel"/>
    <w:lvl w:ilvl="0">
      <w:lvlJc w:val="left"/>
      <w:lvlText w:val="•"/>
      <w:numFmt w:val="bullet"/>
      <w:start w:val="1"/>
    </w:lvl>
  </w:abstractNum>
  <w:abstractNum w:abstractNumId="109">
    <w:nsid w:val="1849C29B"/>
    <w:multiLevelType w:val="hybridMultilevel"/>
    <w:lvl w:ilvl="0">
      <w:lvlJc w:val="left"/>
      <w:lvlText w:val="•"/>
      <w:numFmt w:val="bullet"/>
      <w:start w:val="1"/>
    </w:lvl>
  </w:abstractNum>
  <w:abstractNum w:abstractNumId="110">
    <w:nsid w:val="7DFF9D09"/>
    <w:multiLevelType w:val="hybridMultilevel"/>
    <w:lvl w:ilvl="0">
      <w:lvlJc w:val="left"/>
      <w:lvlText w:val="%1"/>
      <w:numFmt w:val="decimal"/>
      <w:start w:val="60"/>
    </w:lvl>
  </w:abstractNum>
  <w:abstractNum w:abstractNumId="111">
    <w:nsid w:val="754342"/>
    <w:multiLevelType w:val="hybridMultilevel"/>
    <w:lvl w:ilvl="0">
      <w:lvlJc w:val="left"/>
      <w:lvlText w:val="•"/>
      <w:numFmt w:val="bullet"/>
      <w:start w:val="1"/>
    </w:lvl>
  </w:abstractNum>
  <w:abstractNum w:abstractNumId="112">
    <w:nsid w:val="69E7F3E5"/>
    <w:multiLevelType w:val="hybridMultilevel"/>
    <w:lvl w:ilvl="0">
      <w:lvlJc w:val="left"/>
      <w:lvlText w:val="•"/>
      <w:numFmt w:val="bullet"/>
      <w:start w:val="1"/>
    </w:lvl>
  </w:abstractNum>
  <w:abstractNum w:abstractNumId="113">
    <w:nsid w:val="2A6DE806"/>
    <w:multiLevelType w:val="hybridMultilevel"/>
    <w:lvl w:ilvl="0">
      <w:lvlJc w:val="left"/>
      <w:lvlText w:val="•"/>
      <w:numFmt w:val="bullet"/>
      <w:start w:val="1"/>
    </w:lvl>
  </w:abstractNum>
  <w:abstractNum w:abstractNumId="114">
    <w:nsid w:val="1816F8C4"/>
    <w:multiLevelType w:val="hybridMultilevel"/>
    <w:lvl w:ilvl="0">
      <w:lvlJc w:val="left"/>
      <w:lvlText w:val="•"/>
      <w:numFmt w:val="bullet"/>
      <w:start w:val="1"/>
    </w:lvl>
  </w:abstractNum>
  <w:abstractNum w:abstractNumId="115">
    <w:nsid w:val="37DF2233"/>
    <w:multiLevelType w:val="hybridMultilevel"/>
    <w:lvl w:ilvl="0">
      <w:lvlJc w:val="left"/>
      <w:lvlText w:val="•"/>
      <w:numFmt w:val="bullet"/>
      <w:start w:val="1"/>
    </w:lvl>
  </w:abstractNum>
  <w:abstractNum w:abstractNumId="116">
    <w:nsid w:val="7AB49DAF"/>
    <w:multiLevelType w:val="hybridMultilevel"/>
    <w:lvl w:ilvl="0">
      <w:lvlJc w:val="left"/>
      <w:lvlText w:val="•"/>
      <w:numFmt w:val="bullet"/>
      <w:start w:val="1"/>
    </w:lvl>
  </w:abstractNum>
  <w:abstractNum w:abstractNumId="117">
    <w:nsid w:val="759F82CD"/>
    <w:multiLevelType w:val="hybridMultilevel"/>
    <w:lvl w:ilvl="0">
      <w:lvlJc w:val="left"/>
      <w:lvlText w:val="%1"/>
      <w:numFmt w:val="decimal"/>
      <w:start w:val="62"/>
    </w:lvl>
  </w:abstractNum>
  <w:abstractNum w:abstractNumId="118">
    <w:nsid w:val="61E74EA3"/>
    <w:multiLevelType w:val="hybridMultilevel"/>
    <w:lvl w:ilvl="0">
      <w:lvlJc w:val="left"/>
      <w:lvlText w:val="•"/>
      <w:numFmt w:val="bullet"/>
      <w:start w:val="1"/>
    </w:lvl>
  </w:abstractNum>
  <w:abstractNum w:abstractNumId="119">
    <w:nsid w:val="597B4D84"/>
    <w:multiLevelType w:val="hybridMultilevel"/>
    <w:lvl w:ilvl="0">
      <w:lvlJc w:val="left"/>
      <w:lvlText w:val="•"/>
      <w:numFmt w:val="bullet"/>
      <w:start w:val="1"/>
    </w:lvl>
  </w:abstractNum>
  <w:abstractNum w:abstractNumId="120">
    <w:nsid w:val="F819E7F"/>
    <w:multiLevelType w:val="hybridMultilevel"/>
    <w:lvl w:ilvl="0">
      <w:lvlJc w:val="left"/>
      <w:lvlText w:val="•"/>
      <w:numFmt w:val="bullet"/>
      <w:start w:val="1"/>
    </w:lvl>
  </w:abstractNum>
  <w:abstractNum w:abstractNumId="121">
    <w:nsid w:val="57C7D42D"/>
    <w:multiLevelType w:val="hybridMultilevel"/>
    <w:lvl w:ilvl="0">
      <w:lvlJc w:val="left"/>
      <w:lvlText w:val="•"/>
      <w:numFmt w:val="bullet"/>
      <w:start w:val="1"/>
    </w:lvl>
  </w:abstractNum>
  <w:abstractNum w:abstractNumId="122">
    <w:nsid w:val="312167AD"/>
    <w:multiLevelType w:val="hybridMultilevel"/>
    <w:lvl w:ilvl="0">
      <w:lvlJc w:val="left"/>
      <w:lvlText w:val="•"/>
      <w:numFmt w:val="bullet"/>
      <w:start w:val="1"/>
    </w:lvl>
  </w:abstractNum>
  <w:abstractNum w:abstractNumId="123">
    <w:nsid w:val="631B64D4"/>
    <w:multiLevelType w:val="hybridMultilevel"/>
    <w:lvl w:ilvl="0">
      <w:lvlJc w:val="left"/>
      <w:lvlText w:val="•"/>
      <w:numFmt w:val="bullet"/>
      <w:start w:val="1"/>
    </w:lvl>
  </w:abstractNum>
  <w:abstractNum w:abstractNumId="124">
    <w:nsid w:val="78B5E776"/>
    <w:multiLevelType w:val="hybridMultilevel"/>
    <w:lvl w:ilvl="0">
      <w:lvlJc w:val="left"/>
      <w:lvlText w:val="%1"/>
      <w:numFmt w:val="decimal"/>
      <w:start w:val="64"/>
    </w:lvl>
  </w:abstractNum>
  <w:abstractNum w:abstractNumId="125">
    <w:nsid w:val="75486E47"/>
    <w:multiLevelType w:val="hybridMultilevel"/>
    <w:lvl w:ilvl="0">
      <w:lvlJc w:val="left"/>
      <w:lvlText w:val="%1"/>
      <w:numFmt w:val="decimal"/>
      <w:start w:val="66"/>
    </w:lvl>
  </w:abstractNum>
  <w:abstractNum w:abstractNumId="126">
    <w:nsid w:val="6E534CDE"/>
    <w:multiLevelType w:val="hybridMultilevel"/>
    <w:lvl w:ilvl="0">
      <w:lvlJc w:val="left"/>
      <w:lvlText w:val="%1"/>
      <w:numFmt w:val="decimal"/>
      <w:start w:val="68"/>
    </w:lvl>
  </w:abstractNum>
  <w:abstractNum w:abstractNumId="127">
    <w:nsid w:val="1A0DDE32"/>
    <w:multiLevelType w:val="hybridMultilevel"/>
    <w:lvl w:ilvl="0">
      <w:lvlJc w:val="left"/>
      <w:lvlText w:val="(%1)"/>
      <w:numFmt w:val="decimal"/>
      <w:start w:val="1"/>
    </w:lvl>
  </w:abstractNum>
  <w:abstractNum w:abstractNumId="128">
    <w:nsid w:val="65968C1C"/>
    <w:multiLevelType w:val="hybridMultilevel"/>
    <w:lvl w:ilvl="0">
      <w:lvlJc w:val="left"/>
      <w:lvlText w:val="%1"/>
      <w:numFmt w:val="decimal"/>
      <w:start w:val="70"/>
    </w:lvl>
  </w:abstractNum>
  <w:abstractNum w:abstractNumId="129">
    <w:nsid w:val="46263DEC"/>
    <w:multiLevelType w:val="hybridMultilevel"/>
    <w:lvl w:ilvl="0">
      <w:lvlJc w:val="left"/>
      <w:lvlText w:val="(%1)"/>
      <w:numFmt w:val="lowerLetter"/>
      <w:start w:val="1"/>
    </w:lvl>
  </w:abstractNum>
  <w:abstractNum w:abstractNumId="130">
    <w:nsid w:val="260D8C4A"/>
    <w:multiLevelType w:val="hybridMultilevel"/>
    <w:lvl w:ilvl="0">
      <w:lvlJc w:val="left"/>
      <w:lvlText w:val="(%1)"/>
      <w:numFmt w:val="decimal"/>
      <w:start w:val="6"/>
    </w:lvl>
  </w:abstractNum>
  <w:abstractNum w:abstractNumId="131">
    <w:nsid w:val="73D4D3C4"/>
    <w:multiLevelType w:val="hybridMultilevel"/>
    <w:lvl w:ilvl="0">
      <w:lvlJc w:val="left"/>
      <w:lvlText w:val="(%1)"/>
      <w:numFmt w:val="decimal"/>
      <w:start w:val="1"/>
    </w:lvl>
  </w:abstractNum>
  <w:abstractNum w:abstractNumId="132">
    <w:nsid w:val="746F2E30"/>
    <w:multiLevelType w:val="hybridMultilevel"/>
    <w:lvl w:ilvl="0">
      <w:lvlJc w:val="left"/>
      <w:lvlText w:val="%1"/>
      <w:numFmt w:val="decimal"/>
      <w:start w:val="72"/>
    </w:lvl>
  </w:abstractNum>
  <w:abstractNum w:abstractNumId="133">
    <w:nsid w:val="6FDE8AF6"/>
    <w:multiLevelType w:val="hybridMultilevel"/>
    <w:lvl w:ilvl="0">
      <w:lvlJc w:val="left"/>
      <w:lvlText w:val="(%1)"/>
      <w:numFmt w:val="decimal"/>
      <w:start w:val="1"/>
    </w:lvl>
  </w:abstractNum>
  <w:abstractNum w:abstractNumId="134">
    <w:nsid w:val="3FC32E20"/>
    <w:multiLevelType w:val="hybridMultilevel"/>
    <w:lvl w:ilvl="0">
      <w:lvlJc w:val="left"/>
      <w:lvlText w:val="(%1)"/>
      <w:numFmt w:val="decimal"/>
      <w:start w:val="2"/>
    </w:lvl>
  </w:abstractNum>
  <w:abstractNum w:abstractNumId="135">
    <w:nsid w:val="49C0E823"/>
    <w:multiLevelType w:val="hybridMultilevel"/>
    <w:lvl w:ilvl="0">
      <w:lvlJc w:val="left"/>
      <w:lvlText w:val="(%1)"/>
      <w:numFmt w:val="decimal"/>
      <w:start w:val="1"/>
    </w:lvl>
  </w:abstractNum>
  <w:abstractNum w:abstractNumId="136">
    <w:nsid w:val="14D53685"/>
    <w:multiLevelType w:val="hybridMultilevel"/>
    <w:lvl w:ilvl="0">
      <w:lvlJc w:val="left"/>
      <w:lvlText w:val="%1"/>
      <w:numFmt w:val="decimal"/>
      <w:start w:val="74"/>
    </w:lvl>
  </w:abstractNum>
  <w:abstractNum w:abstractNumId="137">
    <w:nsid w:val="230F856C"/>
    <w:multiLevelType w:val="hybridMultilevel"/>
    <w:lvl w:ilvl="0">
      <w:lvlJc w:val="left"/>
      <w:lvlText w:val="*"/>
      <w:numFmt w:val="bullet"/>
      <w:start w:val="1"/>
    </w:lvl>
  </w:abstractNum>
  <w:abstractNum w:abstractNumId="138">
    <w:nsid w:val="6EAA85FB"/>
    <w:multiLevelType w:val="hybridMultilevel"/>
    <w:lvl w:ilvl="0">
      <w:lvlJc w:val="left"/>
      <w:lvlText w:val="(%1)"/>
      <w:numFmt w:val="lowerRoman"/>
      <w:start w:val="1"/>
    </w:lvl>
  </w:abstractNum>
  <w:abstractNum w:abstractNumId="139">
    <w:nsid w:val="3F06ECB2"/>
    <w:multiLevelType w:val="hybridMultilevel"/>
    <w:lvl w:ilvl="0">
      <w:lvlJc w:val="left"/>
      <w:lvlText w:val="%1"/>
      <w:numFmt w:val="decimal"/>
      <w:start w:val="76"/>
    </w:lvl>
  </w:abstractNum>
  <w:abstractNum w:abstractNumId="140">
    <w:nsid w:val="3B594807"/>
    <w:multiLevelType w:val="hybridMultilevel"/>
    <w:lvl w:ilvl="0">
      <w:lvlJc w:val="left"/>
      <w:lvlText w:val="*"/>
      <w:numFmt w:val="bullet"/>
      <w:start w:val="1"/>
    </w:lvl>
  </w:abstractNum>
  <w:abstractNum w:abstractNumId="141">
    <w:nsid w:val="6CAA2304"/>
    <w:multiLevelType w:val="hybridMultilevel"/>
    <w:lvl w:ilvl="0">
      <w:lvlJc w:val="left"/>
      <w:lvlText w:val="(%1)"/>
      <w:numFmt w:val="decimal"/>
      <w:start w:val="1"/>
    </w:lvl>
  </w:abstractNum>
  <w:abstractNum w:abstractNumId="142">
    <w:nsid w:val="3F7C2FF4"/>
    <w:multiLevelType w:val="hybridMultilevel"/>
    <w:lvl w:ilvl="0">
      <w:lvlJc w:val="left"/>
      <w:lvlText w:val="%1"/>
      <w:numFmt w:val="decimal"/>
      <w:start w:val="78"/>
    </w:lvl>
  </w:abstractNum>
  <w:abstractNum w:abstractNumId="143">
    <w:nsid w:val="25413BEC"/>
    <w:multiLevelType w:val="hybridMultilevel"/>
    <w:lvl w:ilvl="0">
      <w:lvlJc w:val="left"/>
      <w:lvlText w:val="•"/>
      <w:numFmt w:val="bullet"/>
      <w:start w:val="1"/>
    </w:lvl>
  </w:abstractNum>
  <w:abstractNum w:abstractNumId="144">
    <w:nsid w:val="17180B0B"/>
    <w:multiLevelType w:val="hybridMultilevel"/>
    <w:lvl w:ilvl="0">
      <w:lvlJc w:val="left"/>
      <w:lvlText w:val="%1."/>
      <w:numFmt w:val="decimal"/>
      <w:start w:val="1"/>
    </w:lvl>
  </w:abstractNum>
  <w:abstractNum w:abstractNumId="145">
    <w:nsid w:val="579328B9"/>
    <w:multiLevelType w:val="hybridMultilevel"/>
    <w:lvl w:ilvl="0">
      <w:lvlJc w:val="left"/>
      <w:lvlText w:val="•"/>
      <w:numFmt w:val="bullet"/>
      <w:start w:val="1"/>
    </w:lvl>
  </w:abstractNum>
  <w:abstractNum w:abstractNumId="146">
    <w:nsid w:val="5D205E20"/>
    <w:multiLevelType w:val="hybridMultilevel"/>
    <w:lvl w:ilvl="0">
      <w:lvlJc w:val="left"/>
      <w:lvlText w:val="%1"/>
      <w:numFmt w:val="decimal"/>
      <w:start w:val="80"/>
    </w:lvl>
  </w:abstractNum>
  <w:abstractNum w:abstractNumId="147">
    <w:nsid w:val="11CCA8BA"/>
    <w:multiLevelType w:val="hybridMultilevel"/>
    <w:lvl w:ilvl="0">
      <w:lvlJc w:val="left"/>
      <w:lvlText w:val="%1"/>
      <w:numFmt w:val="decimal"/>
      <w:start w:val="82"/>
    </w:lvl>
  </w:abstractNum>
  <w:abstractNum w:abstractNumId="148">
    <w:nsid w:val="4D32AB86"/>
    <w:multiLevelType w:val="hybridMultilevel"/>
    <w:lvl w:ilvl="0">
      <w:lvlJc w:val="left"/>
      <w:lvlText w:val="%1"/>
      <w:numFmt w:val="decimal"/>
      <w:start w:val="84"/>
    </w:lvl>
  </w:abstractNum>
  <w:abstractNum w:abstractNumId="149">
    <w:nsid w:val="3F07ACC3"/>
    <w:multiLevelType w:val="hybridMultilevel"/>
    <w:lvl w:ilvl="0">
      <w:lvlJc w:val="left"/>
      <w:lvlText w:val="•"/>
      <w:numFmt w:val="bullet"/>
      <w:start w:val="1"/>
    </w:lvl>
  </w:abstractNum>
  <w:abstractNum w:abstractNumId="150">
    <w:nsid w:val="6B47F63E"/>
    <w:multiLevelType w:val="hybridMultilevel"/>
    <w:lvl w:ilvl="0">
      <w:lvlJc w:val="left"/>
      <w:lvlText w:val="%1"/>
      <w:numFmt w:val="decimal"/>
      <w:start w:val="86"/>
    </w:lvl>
  </w:abstractNum>
  <w:abstractNum w:abstractNumId="151">
    <w:nsid w:val="5CB44A05"/>
    <w:multiLevelType w:val="hybridMultilevel"/>
    <w:lvl w:ilvl="0">
      <w:lvlJc w:val="left"/>
      <w:lvlText w:val="•"/>
      <w:numFmt w:val="bullet"/>
      <w:start w:val="1"/>
    </w:lvl>
  </w:abstractNum>
  <w:abstractNum w:abstractNumId="152">
    <w:nsid w:val="16CF80F1"/>
    <w:multiLevelType w:val="hybridMultilevel"/>
    <w:lvl w:ilvl="0">
      <w:lvlJc w:val="left"/>
      <w:lvlText w:val="•"/>
      <w:numFmt w:val="bullet"/>
      <w:start w:val="1"/>
    </w:lvl>
  </w:abstractNum>
  <w:abstractNum w:abstractNumId="153">
    <w:nsid w:val="1C695DEC"/>
    <w:multiLevelType w:val="hybridMultilevel"/>
    <w:lvl w:ilvl="0">
      <w:lvlJc w:val="left"/>
      <w:lvlText w:val="*"/>
      <w:numFmt w:val="bullet"/>
      <w:start w:val="1"/>
    </w:lvl>
  </w:abstractNum>
  <w:abstractNum w:abstractNumId="154">
    <w:nsid w:val="3FCFAED9"/>
    <w:multiLevelType w:val="hybridMultilevel"/>
    <w:lvl w:ilvl="0">
      <w:lvlJc w:val="left"/>
      <w:lvlText w:val="%1"/>
      <w:numFmt w:val="decimal"/>
      <w:start w:val="88"/>
    </w:lvl>
  </w:abstractNum>
  <w:abstractNum w:abstractNumId="155">
    <w:nsid w:val="F856867"/>
    <w:multiLevelType w:val="hybridMultilevel"/>
    <w:lvl w:ilvl="0">
      <w:lvlJc w:val="left"/>
      <w:lvlText w:val="%1."/>
      <w:numFmt w:val="decimal"/>
      <w:start w:val="1"/>
    </w:lvl>
  </w:abstractNum>
  <w:abstractNum w:abstractNumId="156">
    <w:nsid w:val="11B1CC33"/>
    <w:multiLevelType w:val="hybridMultilevel"/>
    <w:lvl w:ilvl="0">
      <w:lvlJc w:val="left"/>
      <w:lvlText w:val="%1"/>
      <w:numFmt w:val="decimal"/>
      <w:start w:val="90"/>
    </w:lvl>
  </w:abstractNum>
  <w:abstractNum w:abstractNumId="157">
    <w:nsid w:val="2E22FBB7"/>
    <w:multiLevelType w:val="hybridMultilevel"/>
    <w:lvl w:ilvl="0">
      <w:lvlJc w:val="left"/>
      <w:lvlText w:val="%1."/>
      <w:numFmt w:val="decimal"/>
      <w:start w:val="1"/>
    </w:lvl>
  </w:abstractNum>
  <w:abstractNum w:abstractNumId="158">
    <w:nsid w:val="29934699"/>
    <w:multiLevelType w:val="hybridMultilevel"/>
    <w:lvl w:ilvl="0">
      <w:lvlJc w:val="left"/>
      <w:lvlText w:val="(%1)"/>
      <w:numFmt w:val="lowerLetter"/>
      <w:start w:val="1"/>
    </w:lvl>
    <w:lvl w:ilvl="1">
      <w:lvlJc w:val="left"/>
      <w:lvlText w:val="(%2)"/>
      <w:numFmt w:val="decimal"/>
      <w:start w:val="1"/>
    </w:lvl>
  </w:abstractNum>
  <w:abstractNum w:abstractNumId="159">
    <w:nsid w:val="77485850"/>
    <w:multiLevelType w:val="hybridMultilevel"/>
    <w:lvl w:ilvl="0">
      <w:lvlJc w:val="left"/>
      <w:lvlText w:val="%1"/>
      <w:numFmt w:val="lowerLetter"/>
      <w:start w:val="1"/>
    </w:lvl>
    <w:lvl w:ilvl="1">
      <w:lvlJc w:val="left"/>
      <w:lvlText w:val="(%2)"/>
      <w:numFmt w:val="decimal"/>
      <w:start w:val="3"/>
    </w:lvl>
  </w:abstractNum>
  <w:abstractNum w:abstractNumId="160">
    <w:nsid w:val="744939A3"/>
    <w:multiLevelType w:val="hybridMultilevel"/>
    <w:lvl w:ilvl="0">
      <w:lvlJc w:val="left"/>
      <w:lvlText w:val="(%1)"/>
      <w:numFmt w:val="lowerLetter"/>
      <w:start w:val="3"/>
    </w:lvl>
    <w:lvl w:ilvl="1">
      <w:lvlJc w:val="left"/>
      <w:lvlText w:val="(%2)"/>
      <w:numFmt w:val="decimal"/>
      <w:start w:val="1"/>
    </w:lvl>
  </w:abstractNum>
  <w:abstractNum w:abstractNumId="161">
    <w:nsid w:val="4FA0D2E3"/>
    <w:multiLevelType w:val="hybridMultilevel"/>
    <w:lvl w:ilvl="0">
      <w:lvlJc w:val="left"/>
      <w:lvlText w:val="%1"/>
      <w:numFmt w:val="lowerLetter"/>
      <w:start w:val="1"/>
    </w:lvl>
    <w:lvl w:ilvl="1">
      <w:lvlJc w:val="left"/>
      <w:lvlText w:val="(%2)"/>
      <w:numFmt w:val="decimal"/>
      <w:start w:val="5"/>
    </w:lvl>
    <w:lvl w:ilvl="2">
      <w:lvlJc w:val="left"/>
      <w:lvlText w:val="%3"/>
      <w:numFmt w:val="lowerRoman"/>
      <w:start w:val="1"/>
    </w:lvl>
  </w:abstractNum>
  <w:abstractNum w:abstractNumId="162">
    <w:nsid w:val="6B1D2C14"/>
    <w:multiLevelType w:val="hybridMultilevel"/>
    <w:lvl w:ilvl="0">
      <w:lvlJc w:val="left"/>
      <w:lvlText w:val="(%1)"/>
      <w:numFmt w:val="lowerLetter"/>
      <w:start w:val="4"/>
    </w:lvl>
    <w:lvl w:ilvl="1">
      <w:lvlJc w:val="left"/>
      <w:lvlText w:val="(%2)"/>
      <w:numFmt w:val="decimal"/>
      <w:start w:val="1"/>
    </w:lvl>
    <w:lvl w:ilvl="2">
      <w:lvlJc w:val="left"/>
      <w:lvlText w:val="(%3)"/>
      <w:numFmt w:val="lowerRoman"/>
      <w:start w:val="1"/>
    </w:lvl>
  </w:abstractNum>
  <w:abstractNum w:abstractNumId="163">
    <w:nsid w:val="68B867D3"/>
    <w:multiLevelType w:val="hybridMultilevel"/>
    <w:lvl w:ilvl="0">
      <w:lvlJc w:val="left"/>
      <w:lvlText w:val="%1"/>
      <w:numFmt w:val="lowerLetter"/>
      <w:start w:val="1"/>
    </w:lvl>
    <w:lvl w:ilvl="1">
      <w:lvlJc w:val="left"/>
      <w:lvlText w:val="(%2)"/>
      <w:numFmt w:val="lowerRoman"/>
      <w:start w:val="6"/>
    </w:lvl>
  </w:abstractNum>
  <w:abstractNum w:abstractNumId="164">
    <w:nsid w:val="3F7F5DD9"/>
    <w:multiLevelType w:val="hybridMultilevel"/>
    <w:lvl w:ilvl="0">
      <w:lvlJc w:val="left"/>
      <w:lvlText w:val="(%1)"/>
      <w:numFmt w:val="lowerLetter"/>
      <w:start w:val="4"/>
    </w:lvl>
    <w:lvl w:ilvl="1">
      <w:lvlJc w:val="left"/>
      <w:lvlText w:val="%2"/>
      <w:numFmt w:val="lowerRoman"/>
      <w:start w:val="1"/>
    </w:lvl>
  </w:abstractNum>
  <w:abstractNum w:abstractNumId="165">
    <w:nsid w:val="2AE05A34"/>
    <w:multiLevelType w:val="hybridMultilevel"/>
    <w:lvl w:ilvl="0">
      <w:lvlJc w:val="left"/>
      <w:lvlText w:val="(%1)"/>
      <w:numFmt w:val="lowerRoman"/>
      <w:start w:val="7"/>
    </w:lvl>
  </w:abstractNum>
  <w:abstractNum w:abstractNumId="166">
    <w:nsid w:val="32794FF7"/>
    <w:multiLevelType w:val="hybridMultilevel"/>
    <w:lvl w:ilvl="0">
      <w:lvlJc w:val="left"/>
      <w:lvlText w:val="%1"/>
      <w:numFmt w:val="lowerLetter"/>
      <w:start w:val="1"/>
    </w:lvl>
    <w:lvl w:ilvl="1">
      <w:lvlJc w:val="left"/>
      <w:lvlText w:val="(%2)"/>
      <w:numFmt w:val="decimal"/>
      <w:start w:val="2"/>
    </w:lvl>
  </w:abstractNum>
  <w:abstractNum w:abstractNumId="167">
    <w:nsid w:val="5454945E"/>
    <w:multiLevelType w:val="hybridMultilevel"/>
    <w:lvl w:ilvl="0">
      <w:lvlJc w:val="left"/>
      <w:lvlText w:val="(%1)"/>
      <w:numFmt w:val="lowerLetter"/>
      <w:start w:val="5"/>
    </w:lvl>
    <w:lvl w:ilvl="1">
      <w:lvlJc w:val="left"/>
      <w:lvlText w:val="(%2)"/>
      <w:numFmt w:val="decimal"/>
      <w:start w:val="1"/>
    </w:lvl>
  </w:abstractNum>
  <w:abstractNum w:abstractNumId="168">
    <w:nsid w:val="4DEFDFA0"/>
    <w:multiLevelType w:val="hybridMultilevel"/>
    <w:lvl w:ilvl="0">
      <w:lvlJc w:val="left"/>
      <w:lvlText w:val="%1"/>
      <w:numFmt w:val="lowerLetter"/>
      <w:start w:val="1"/>
    </w:lvl>
    <w:lvl w:ilvl="1">
      <w:lvlJc w:val="left"/>
      <w:lvlText w:val="(%2)"/>
      <w:numFmt w:val="decimal"/>
      <w:start w:val="2"/>
    </w:lvl>
  </w:abstractNum>
  <w:abstractNum w:abstractNumId="169">
    <w:nsid w:val="2123D5F2"/>
    <w:multiLevelType w:val="hybridMultilevel"/>
    <w:lvl w:ilvl="0">
      <w:lvlJc w:val="left"/>
      <w:lvlText w:val="(%1)"/>
      <w:numFmt w:val="lowerLetter"/>
      <w:start w:val="6"/>
    </w:lvl>
    <w:lvl w:ilvl="1">
      <w:lvlJc w:val="left"/>
      <w:lvlText w:val="%2"/>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jpeg"/><Relationship Id="rId12" Type="http://schemas.openxmlformats.org/officeDocument/2006/relationships/image" Target="media/image5.jpe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jpe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jpe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jpe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jpe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jpe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jpe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jpe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jpeg"/><Relationship Id="rId66" Type="http://schemas.openxmlformats.org/officeDocument/2006/relationships/image" Target="media/image59.png"/><Relationship Id="rId67" Type="http://schemas.openxmlformats.org/officeDocument/2006/relationships/image" Target="media/image60.jpe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jpeg"/><Relationship Id="rId73" Type="http://schemas.openxmlformats.org/officeDocument/2006/relationships/image" Target="media/image66.png"/><Relationship Id="rId74" Type="http://schemas.openxmlformats.org/officeDocument/2006/relationships/image" Target="media/image67.jpe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jpeg"/><Relationship Id="rId80" Type="http://schemas.openxmlformats.org/officeDocument/2006/relationships/image" Target="media/image73.png"/><Relationship Id="rId81" Type="http://schemas.openxmlformats.org/officeDocument/2006/relationships/image" Target="media/image74.jpeg"/><Relationship Id="rId82" Type="http://schemas.openxmlformats.org/officeDocument/2006/relationships/image" Target="media/image75.png"/><Relationship Id="rId83" Type="http://schemas.openxmlformats.org/officeDocument/2006/relationships/image" Target="media/image76.jpeg"/><Relationship Id="rId84" Type="http://schemas.openxmlformats.org/officeDocument/2006/relationships/image" Target="media/image77.png"/><Relationship Id="rId85" Type="http://schemas.openxmlformats.org/officeDocument/2006/relationships/image" Target="media/image78.jpe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jpe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jpeg"/><Relationship Id="rId96" Type="http://schemas.openxmlformats.org/officeDocument/2006/relationships/image" Target="media/image89.png"/><Relationship Id="rId97" Type="http://schemas.openxmlformats.org/officeDocument/2006/relationships/image" Target="media/image90.jpe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jpeg"/><Relationship Id="rId103" Type="http://schemas.openxmlformats.org/officeDocument/2006/relationships/image" Target="media/image96.png"/><Relationship Id="rId104" Type="http://schemas.openxmlformats.org/officeDocument/2006/relationships/image" Target="media/image97.jpe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jpe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jpe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jpe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jpe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jpe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jpe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jpe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jpe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jpe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jpe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jpe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jpeg"/><Relationship Id="rId193" Type="http://schemas.openxmlformats.org/officeDocument/2006/relationships/image" Target="media/image186.jpe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jpe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jpe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jpe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jpe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jpeg"/><Relationship Id="rId284" Type="http://schemas.openxmlformats.org/officeDocument/2006/relationships/image" Target="media/image277.jpe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jpe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jpe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jpe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jpe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jpe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jpe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jpe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png"/><Relationship Id="rId422" Type="http://schemas.openxmlformats.org/officeDocument/2006/relationships/image" Target="media/image415.png"/><Relationship Id="rId423" Type="http://schemas.openxmlformats.org/officeDocument/2006/relationships/image" Target="media/image416.png"/><Relationship Id="rId424" Type="http://schemas.openxmlformats.org/officeDocument/2006/relationships/image" Target="media/image417.png"/><Relationship Id="rId425" Type="http://schemas.openxmlformats.org/officeDocument/2006/relationships/image" Target="media/image418.png"/><Relationship Id="rId426" Type="http://schemas.openxmlformats.org/officeDocument/2006/relationships/image" Target="media/image419.png"/><Relationship Id="rId427" Type="http://schemas.openxmlformats.org/officeDocument/2006/relationships/image" Target="media/image420.png"/><Relationship Id="rId428" Type="http://schemas.openxmlformats.org/officeDocument/2006/relationships/image" Target="media/image42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2021-03-22T15:08:40Z</dcterms:created>
  <dcterms:modified xsi:type="dcterms:W3CDTF">2021-03-22T15:08:40Z</dcterms:modified>
</cp:coreProperties>
</file>