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192" w:lineRule="auto"/>
        <w:rPr>
          <w:sz w:val="20"/>
          <w:szCs w:val="20"/>
          <w:color w:val="auto"/>
        </w:rPr>
      </w:pPr>
      <w:r>
        <w:rPr>
          <w:rFonts w:ascii="Times New Roman" w:cs="Times New Roman" w:eastAsia="Times New Roman" w:hAnsi="Times New Roman"/>
          <w:sz w:val="19"/>
          <w:szCs w:val="19"/>
          <w:color w:val="auto"/>
        </w:rPr>
        <w:t>(Mark One)</w:t>
      </w:r>
    </w:p>
    <w:p>
      <w:pPr>
        <w:spacing w:after="0" w:line="1" w:lineRule="exact"/>
        <w:rPr>
          <w:sz w:val="24"/>
          <w:szCs w:val="24"/>
          <w:color w:val="auto"/>
        </w:rPr>
      </w:pPr>
    </w:p>
    <w:p>
      <w:pPr>
        <w:ind w:left="3700" w:right="1920" w:hanging="3684"/>
        <w:spacing w:after="0" w:line="254" w:lineRule="auto"/>
        <w:rPr>
          <w:sz w:val="20"/>
          <w:szCs w:val="20"/>
          <w:color w:val="auto"/>
        </w:rPr>
      </w:pPr>
      <w:r>
        <w:rPr>
          <w:rFonts w:ascii="Arial" w:cs="Arial" w:eastAsia="Arial" w:hAnsi="Arial"/>
          <w:sz w:val="14"/>
          <w:szCs w:val="14"/>
          <w:b w:val="1"/>
          <w:bCs w:val="1"/>
          <w:color w:val="auto"/>
          <w:highlight w:val="black"/>
        </w:rPr>
        <w:t xml:space="preserve">S </w:t>
      </w:r>
      <w:r>
        <w:rPr>
          <w:rFonts w:ascii="Times New Roman" w:cs="Times New Roman" w:eastAsia="Times New Roman" w:hAnsi="Times New Roman"/>
          <w:sz w:val="18"/>
          <w:szCs w:val="18"/>
          <w:color w:val="auto"/>
        </w:rPr>
        <w:t>QUARTERLY REPORT PURSUANT TO SECTION 13 or 15 (d) OF THE SECURITIES EXCHANGE ACT OF 1934.</w:t>
      </w:r>
      <w:r>
        <w:rPr>
          <w:rFonts w:ascii="Arial" w:cs="Arial" w:eastAsia="Arial" w:hAnsi="Arial"/>
          <w:sz w:val="14"/>
          <w:szCs w:val="14"/>
          <w:b w:val="1"/>
          <w:bCs w:val="1"/>
          <w:color w:val="auto"/>
          <w:highlight w:val="black"/>
        </w:rPr>
        <w:t xml:space="preserve"> </w:t>
      </w:r>
      <w:r>
        <w:rPr>
          <w:rFonts w:ascii="Times New Roman" w:cs="Times New Roman" w:eastAsia="Times New Roman" w:hAnsi="Times New Roman"/>
          <w:sz w:val="18"/>
          <w:szCs w:val="18"/>
          <w:color w:val="auto"/>
        </w:rPr>
        <w:t>For the quarterly period ended September 30, 2024</w:t>
      </w:r>
    </w:p>
    <w:p>
      <w:pPr>
        <w:spacing w:after="0" w:line="54" w:lineRule="exact"/>
        <w:rPr>
          <w:sz w:val="24"/>
          <w:szCs w:val="24"/>
          <w:color w:val="auto"/>
        </w:rPr>
      </w:pPr>
    </w:p>
    <w:p>
      <w:pPr>
        <w:ind w:left="2960" w:right="1840" w:hanging="2952"/>
        <w:spacing w:after="0" w:line="265" w:lineRule="auto"/>
        <w:tabs>
          <w:tab w:leader="none" w:pos="218"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9"/>
          <w:szCs w:val="19"/>
          <w:color w:val="auto"/>
        </w:rPr>
        <w:t>TRANSITION REPORT PURSUANT TO SECTION 13 OR 15(d) OF THE SECURITIES EXCHANGE ACT OF 1934. For the transition period from_______________ to _______________</w:t>
      </w:r>
    </w:p>
    <w:p>
      <w:pPr>
        <w:spacing w:after="0" w:line="4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color w:val="auto"/>
        </w:rPr>
        <w:t>Commission File Number 1-6659</w:t>
      </w:r>
    </w:p>
    <w:p>
      <w:pPr>
        <w:spacing w:after="0" w:line="156"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9"/>
          <w:szCs w:val="19"/>
          <w:b w:val="1"/>
          <w:bCs w:val="1"/>
          <w:u w:val="single" w:color="auto"/>
          <w:color w:val="auto"/>
        </w:rPr>
        <w:t>ESSENTIAL UTILITIES,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Times New Roman" w:cs="Times New Roman" w:eastAsia="Times New Roman" w:hAnsi="Times New Roman"/>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480" w:type="dxa"/>
            <w:vAlign w:val="bottom"/>
            <w:gridSpan w:val="4"/>
          </w:tcPr>
          <w:p>
            <w:pPr>
              <w:jc w:val="center"/>
              <w:ind w:right="1440"/>
              <w:spacing w:after="0" w:line="183" w:lineRule="exact"/>
              <w:rPr>
                <w:sz w:val="20"/>
                <w:szCs w:val="20"/>
                <w:color w:val="auto"/>
              </w:rPr>
            </w:pPr>
            <w:r>
              <w:rPr>
                <w:rFonts w:ascii="Times New Roman" w:cs="Times New Roman" w:eastAsia="Times New Roman" w:hAnsi="Times New Roman"/>
                <w:sz w:val="19"/>
                <w:szCs w:val="19"/>
                <w:color w:val="auto"/>
                <w:w w:val="99"/>
              </w:rPr>
              <w:t>(State or other jurisdiction of</w:t>
            </w:r>
          </w:p>
        </w:tc>
        <w:tc>
          <w:tcPr>
            <w:tcW w:w="2860" w:type="dxa"/>
            <w:vAlign w:val="bottom"/>
            <w:gridSpan w:val="5"/>
          </w:tcPr>
          <w:p>
            <w:pPr>
              <w:jc w:val="center"/>
              <w:ind w:left="1346"/>
              <w:spacing w:after="0" w:line="183" w:lineRule="exact"/>
              <w:rPr>
                <w:sz w:val="20"/>
                <w:szCs w:val="20"/>
                <w:color w:val="auto"/>
              </w:rPr>
            </w:pPr>
            <w:r>
              <w:rPr>
                <w:rFonts w:ascii="Times New Roman" w:cs="Times New Roman" w:eastAsia="Times New Roman" w:hAnsi="Times New Roman"/>
                <w:sz w:val="19"/>
                <w:szCs w:val="19"/>
                <w:color w:val="auto"/>
              </w:rPr>
              <w:t>(I.R.S. Employer</w:t>
            </w:r>
          </w:p>
        </w:tc>
      </w:tr>
      <w:tr>
        <w:trPr>
          <w:trHeight w:val="244"/>
        </w:trPr>
        <w:tc>
          <w:tcPr>
            <w:tcW w:w="5480" w:type="dxa"/>
            <w:vAlign w:val="bottom"/>
            <w:gridSpan w:val="4"/>
          </w:tcPr>
          <w:p>
            <w:pPr>
              <w:jc w:val="center"/>
              <w:ind w:right="1440"/>
              <w:spacing w:after="0"/>
              <w:rPr>
                <w:sz w:val="20"/>
                <w:szCs w:val="20"/>
                <w:color w:val="auto"/>
              </w:rPr>
            </w:pPr>
            <w:r>
              <w:rPr>
                <w:rFonts w:ascii="Times New Roman" w:cs="Times New Roman" w:eastAsia="Times New Roman" w:hAnsi="Times New Roman"/>
                <w:sz w:val="19"/>
                <w:szCs w:val="19"/>
                <w:color w:val="auto"/>
                <w:w w:val="99"/>
              </w:rPr>
              <w:t>incorporation or organization)</w:t>
            </w:r>
          </w:p>
        </w:tc>
        <w:tc>
          <w:tcPr>
            <w:tcW w:w="2860" w:type="dxa"/>
            <w:vAlign w:val="bottom"/>
            <w:gridSpan w:val="5"/>
          </w:tcPr>
          <w:p>
            <w:pPr>
              <w:jc w:val="center"/>
              <w:ind w:left="1346"/>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Times New Roman" w:cs="Times New Roman" w:eastAsia="Times New Roman" w:hAnsi="Times New Roman"/>
                <w:sz w:val="19"/>
                <w:szCs w:val="19"/>
                <w:color w:val="auto"/>
                <w:w w:val="98"/>
              </w:rPr>
              <w:t>762 W. Lancaster Avenue, Bryn Mawr, Pennsylvania</w:t>
            </w: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9"/>
                <w:szCs w:val="19"/>
                <w:color w:val="auto"/>
              </w:rPr>
              <w:t>19010 -3489</w:t>
            </w:r>
          </w:p>
        </w:tc>
      </w:tr>
      <w:tr>
        <w:trPr>
          <w:trHeight w:val="238"/>
        </w:trPr>
        <w:tc>
          <w:tcPr>
            <w:tcW w:w="4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w w:val="99"/>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9"/>
                <w:szCs w:val="19"/>
                <w:color w:val="auto"/>
                <w:w w:val="97"/>
              </w:rPr>
              <w:t>(Zip Code)</w:t>
            </w:r>
          </w:p>
        </w:tc>
        <w:tc>
          <w:tcPr>
            <w:tcW w:w="220" w:type="dxa"/>
            <w:vAlign w:val="bottom"/>
          </w:tcPr>
          <w:p>
            <w:pPr>
              <w:spacing w:after="0"/>
              <w:rPr>
                <w:sz w:val="20"/>
                <w:szCs w:val="2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(610) 527-8000</w:t>
      </w:r>
    </w:p>
    <w:p>
      <w:pPr>
        <w:jc w:val="center"/>
        <w:spacing w:after="0" w:line="226" w:lineRule="auto"/>
        <w:rPr>
          <w:sz w:val="20"/>
          <w:szCs w:val="20"/>
          <w:color w:val="auto"/>
        </w:rPr>
      </w:pPr>
      <w:r>
        <w:rPr>
          <w:rFonts w:ascii="Times New Roman" w:cs="Times New Roman" w:eastAsia="Times New Roman" w:hAnsi="Times New Roman"/>
          <w:sz w:val="19"/>
          <w:szCs w:val="19"/>
          <w:color w:val="auto"/>
        </w:rPr>
        <w:t>(Registrant’s telephone number, including area code)</w:t>
      </w:r>
    </w:p>
    <w:p>
      <w:pPr>
        <w:jc w:val="center"/>
        <w:spacing w:after="0" w:line="238" w:lineRule="auto"/>
        <w:rPr>
          <w:sz w:val="20"/>
          <w:szCs w:val="20"/>
          <w:color w:val="auto"/>
        </w:rPr>
      </w:pPr>
      <w:r>
        <w:rPr>
          <w:rFonts w:ascii="Times New Roman" w:cs="Times New Roman" w:eastAsia="Times New Roman" w:hAnsi="Times New Roman"/>
          <w:sz w:val="19"/>
          <w:szCs w:val="19"/>
          <w:u w:val="single" w:color="auto"/>
          <w:color w:val="auto"/>
        </w:rPr>
        <w:t>N/A</w:t>
      </w:r>
    </w:p>
    <w:p>
      <w:pPr>
        <w:jc w:val="center"/>
        <w:spacing w:after="0"/>
        <w:rPr>
          <w:sz w:val="20"/>
          <w:szCs w:val="20"/>
          <w:color w:val="auto"/>
        </w:rPr>
      </w:pPr>
      <w:r>
        <w:rPr>
          <w:rFonts w:ascii="Times New Roman" w:cs="Times New Roman" w:eastAsia="Times New Roman" w:hAnsi="Times New Roman"/>
          <w:sz w:val="19"/>
          <w:szCs w:val="19"/>
          <w:color w:val="auto"/>
        </w:rPr>
        <w:t>(Former Name, former address and former fiscal year, if changed since last report.)</w:t>
      </w:r>
    </w:p>
    <w:p>
      <w:pPr>
        <w:spacing w:after="0" w:line="167"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63"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b w:val="1"/>
          <w:bCs w:val="1"/>
          <w:color w:val="auto"/>
          <w:highlight w:val="black"/>
        </w:rPr>
        <w:t>S</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w:t>
      </w:r>
    </w:p>
    <w:p>
      <w:pPr>
        <w:spacing w:after="0" w:line="176" w:lineRule="exact"/>
        <w:rPr>
          <w:sz w:val="24"/>
          <w:szCs w:val="24"/>
          <w:color w:val="auto"/>
        </w:rPr>
      </w:pPr>
    </w:p>
    <w:p>
      <w:pPr>
        <w:jc w:val="both"/>
        <w:ind w:right="200"/>
        <w:spacing w:after="0" w:line="237"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Large Accelerated Filer </w:t>
      </w:r>
      <w:r>
        <w:rPr>
          <w:rFonts w:ascii="Arial" w:cs="Arial" w:eastAsia="Arial" w:hAnsi="Arial"/>
          <w:sz w:val="13"/>
          <w:szCs w:val="13"/>
          <w:b w:val="1"/>
          <w:bCs w:val="1"/>
          <w:color w:val="auto"/>
          <w:highlight w:val="black"/>
        </w:rPr>
        <w:t>S</w:t>
      </w:r>
    </w:p>
    <w:p>
      <w:pPr>
        <w:spacing w:after="0" w:line="226" w:lineRule="auto"/>
        <w:rPr>
          <w:sz w:val="20"/>
          <w:szCs w:val="20"/>
          <w:color w:val="auto"/>
        </w:rPr>
      </w:pPr>
      <w:r>
        <w:rPr>
          <w:rFonts w:ascii="Times New Roman" w:cs="Times New Roman" w:eastAsia="Times New Roman" w:hAnsi="Times New Roman"/>
          <w:sz w:val="19"/>
          <w:szCs w:val="19"/>
          <w:color w:val="auto"/>
        </w:rPr>
        <w:t xml:space="preserve">Non-Accelerated Filer </w:t>
      </w:r>
      <w:r>
        <w:rPr>
          <w:rFonts w:ascii="Arial" w:cs="Arial" w:eastAsia="Arial" w:hAnsi="Arial"/>
          <w:sz w:val="13"/>
          <w:szCs w:val="13"/>
          <w:b w:val="1"/>
          <w:bCs w:val="1"/>
          <w:color w:val="auto"/>
          <w:highlight w:val="black"/>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Emerging Growth Company </w:t>
      </w:r>
      <w:r>
        <w:rPr>
          <w:rFonts w:ascii="Arial" w:cs="Arial" w:eastAsia="Arial" w:hAnsi="Arial"/>
          <w:sz w:val="13"/>
          <w:szCs w:val="13"/>
          <w:b w:val="1"/>
          <w:bCs w:val="1"/>
          <w:color w:val="auto"/>
          <w:highlight w:val="black"/>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Accelerated Filer </w:t>
      </w:r>
      <w:r>
        <w:rPr>
          <w:rFonts w:ascii="Arial" w:cs="Arial" w:eastAsia="Arial" w:hAnsi="Arial"/>
          <w:sz w:val="13"/>
          <w:szCs w:val="13"/>
          <w:b w:val="1"/>
          <w:bCs w:val="1"/>
          <w:color w:val="auto"/>
          <w:highlight w:val="black"/>
        </w:rPr>
        <w: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Smaller Reporting Company </w:t>
      </w:r>
      <w:r>
        <w:rPr>
          <w:rFonts w:ascii="Arial" w:cs="Arial" w:eastAsia="Arial" w:hAnsi="Arial"/>
          <w:sz w:val="13"/>
          <w:szCs w:val="13"/>
          <w:b w:val="1"/>
          <w:bCs w:val="1"/>
          <w:color w:val="auto"/>
          <w:highlight w:val="black"/>
        </w:rPr>
        <w:t>£</w:t>
      </w:r>
    </w:p>
    <w:p>
      <w:pPr>
        <w:spacing w:after="0" w:line="369"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50"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b w:val="1"/>
          <w:bCs w:val="1"/>
          <w:color w:val="auto"/>
          <w:highlight w:val="black"/>
        </w:rPr>
        <w:t>£</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Arial" w:cs="Arial" w:eastAsia="Arial" w:hAnsi="Arial"/>
          <w:sz w:val="13"/>
          <w:szCs w:val="13"/>
          <w:b w:val="1"/>
          <w:bCs w:val="1"/>
          <w:color w:val="auto"/>
          <w:highlight w:val="black"/>
        </w:rPr>
        <w:t>£</w:t>
      </w:r>
      <w:r>
        <w:rPr>
          <w:rFonts w:ascii="Times New Roman" w:cs="Times New Roman" w:eastAsia="Times New Roman" w:hAnsi="Times New Roman"/>
          <w:sz w:val="19"/>
          <w:szCs w:val="19"/>
          <w:color w:val="auto"/>
        </w:rPr>
        <w:t xml:space="preserve"> No </w:t>
      </w:r>
      <w:r>
        <w:rPr>
          <w:rFonts w:ascii="Arial" w:cs="Arial" w:eastAsia="Arial" w:hAnsi="Arial"/>
          <w:sz w:val="13"/>
          <w:szCs w:val="13"/>
          <w:b w:val="1"/>
          <w:bCs w:val="1"/>
          <w:color w:val="auto"/>
          <w:highlight w:val="black"/>
        </w:rPr>
        <w:t>S</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786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tc>
      </w:tr>
      <w:tr>
        <w:trPr>
          <w:trHeight w:val="229"/>
        </w:trPr>
        <w:tc>
          <w:tcPr>
            <w:tcW w:w="3380" w:type="dxa"/>
            <w:vAlign w:val="bottom"/>
          </w:tcPr>
          <w:p>
            <w:pPr>
              <w:jc w:val="center"/>
              <w:ind w:left="686"/>
              <w:spacing w:after="0"/>
              <w:rPr>
                <w:sz w:val="20"/>
                <w:szCs w:val="20"/>
                <w:color w:val="auto"/>
              </w:rPr>
            </w:pPr>
            <w:r>
              <w:rPr>
                <w:rFonts w:ascii="Times New Roman" w:cs="Times New Roman" w:eastAsia="Times New Roman" w:hAnsi="Times New Roman"/>
                <w:sz w:val="19"/>
                <w:szCs w:val="19"/>
                <w:color w:val="auto"/>
                <w:w w:val="98"/>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9"/>
                <w:szCs w:val="19"/>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Name of each exchange on which registered</w:t>
            </w:r>
          </w:p>
        </w:tc>
      </w:tr>
      <w:tr>
        <w:trPr>
          <w:trHeight w:val="238"/>
        </w:trPr>
        <w:tc>
          <w:tcPr>
            <w:tcW w:w="3380" w:type="dxa"/>
            <w:vAlign w:val="bottom"/>
            <w:tcBorders>
              <w:top w:val="single" w:sz="8" w:color="auto"/>
            </w:tcBorders>
          </w:tcPr>
          <w:p>
            <w:pPr>
              <w:jc w:val="center"/>
              <w:ind w:left="706"/>
              <w:spacing w:after="0"/>
              <w:rPr>
                <w:sz w:val="20"/>
                <w:szCs w:val="20"/>
                <w:color w:val="auto"/>
              </w:rPr>
            </w:pPr>
            <w:r>
              <w:rPr>
                <w:rFonts w:ascii="Times New Roman" w:cs="Times New Roman" w:eastAsia="Times New Roman" w:hAnsi="Times New Roman"/>
                <w:sz w:val="19"/>
                <w:szCs w:val="19"/>
                <w:color w:val="auto"/>
                <w:w w:val="99"/>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Indicate the number of shares outstanding of each of the issuer's classes of common stock, as of October 25, 2024</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274,610,592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0563C1"/>
        </w:rPr>
        <w:t>Table of Contents</w:t>
      </w:r>
    </w:p>
    <w:tbl>
      <w:tblPr>
        <w:tblLayout w:type="fixed"/>
        <w:tblInd w:w="0" w:type="dxa"/>
        <w:tblCellMar>
          <w:top w:w="0" w:type="dxa"/>
          <w:left w:w="0" w:type="dxa"/>
          <w:bottom w:w="0" w:type="dxa"/>
          <w:right w:w="0" w:type="dxa"/>
        </w:tblCellMar>
      </w:tblPr>
      <w:tr>
        <w:trPr>
          <w:trHeight w:val="302"/>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14"/>
          </w:tcPr>
          <w:p>
            <w:pPr>
              <w:jc w:val="center"/>
              <w:ind w:right="2260"/>
              <w:spacing w:after="0"/>
              <w:rPr>
                <w:sz w:val="20"/>
                <w:szCs w:val="20"/>
                <w:color w:val="auto"/>
              </w:rPr>
            </w:pPr>
            <w:r>
              <w:rPr>
                <w:rFonts w:ascii="Times New Roman" w:cs="Times New Roman" w:eastAsia="Times New Roman" w:hAnsi="Times New Roman"/>
                <w:sz w:val="22"/>
                <w:szCs w:val="22"/>
                <w:color w:val="auto"/>
                <w:w w:val="98"/>
              </w:rPr>
              <w:t>ESSENTIAL UTILITIES, INC. AND SUBSIDIARIES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20" w:type="dxa"/>
            <w:vAlign w:val="bottom"/>
            <w:gridSpan w:val="11"/>
          </w:tcPr>
          <w:p>
            <w:pPr>
              <w:jc w:val="center"/>
              <w:ind w:right="382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80" w:type="dxa"/>
            <w:vAlign w:val="bottom"/>
            <w:gridSpan w:val="13"/>
            <w:shd w:val="clear" w:color="auto" w:fill="CCEEFF"/>
          </w:tcPr>
          <w:p>
            <w:pPr>
              <w:jc w:val="center"/>
              <w:ind w:right="3020"/>
              <w:spacing w:after="0" w:line="203" w:lineRule="exact"/>
              <w:rPr>
                <w:sz w:val="20"/>
                <w:szCs w:val="20"/>
                <w:color w:val="auto"/>
              </w:rPr>
            </w:pPr>
            <w:r>
              <w:rPr>
                <w:rFonts w:ascii="Times New Roman" w:cs="Times New Roman" w:eastAsia="Times New Roman" w:hAnsi="Times New Roman"/>
                <w:sz w:val="22"/>
                <w:szCs w:val="22"/>
                <w:color w:val="0563C1"/>
                <w:w w:val="98"/>
              </w:rPr>
              <w:t>Part I – Financial Information</w:t>
            </w: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540" w:type="dxa"/>
            <w:vAlign w:val="bottom"/>
            <w:tcBorders>
              <w:top w:val="single" w:sz="8" w:color="0563C1"/>
            </w:tcBorders>
          </w:tcPr>
          <w:p>
            <w:pPr>
              <w:spacing w:after="0"/>
              <w:rPr>
                <w:sz w:val="18"/>
                <w:szCs w:val="18"/>
                <w:color w:val="auto"/>
              </w:rPr>
            </w:pPr>
          </w:p>
        </w:tc>
        <w:tc>
          <w:tcPr>
            <w:tcW w:w="540" w:type="dxa"/>
            <w:vAlign w:val="bottom"/>
            <w:tcBorders>
              <w:top w:val="single" w:sz="8" w:color="0563C1"/>
            </w:tcBorders>
          </w:tcPr>
          <w:p>
            <w:pPr>
              <w:spacing w:after="0"/>
              <w:rPr>
                <w:sz w:val="18"/>
                <w:szCs w:val="18"/>
                <w:color w:val="auto"/>
              </w:rPr>
            </w:pPr>
          </w:p>
        </w:tc>
        <w:tc>
          <w:tcPr>
            <w:tcW w:w="260" w:type="dxa"/>
            <w:vAlign w:val="bottom"/>
            <w:tcBorders>
              <w:top w:val="single" w:sz="8" w:color="0563C1"/>
            </w:tcBorders>
          </w:tcPr>
          <w:p>
            <w:pPr>
              <w:spacing w:after="0"/>
              <w:rPr>
                <w:sz w:val="18"/>
                <w:szCs w:val="18"/>
                <w:color w:val="auto"/>
              </w:rPr>
            </w:pPr>
          </w:p>
        </w:tc>
        <w:tc>
          <w:tcPr>
            <w:tcW w:w="120" w:type="dxa"/>
            <w:vAlign w:val="bottom"/>
            <w:tcBorders>
              <w:top w:val="single" w:sz="8" w:color="0563C1"/>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Financial Statements: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5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Balance Sheets (unaudited) – September 30, 2024 and December 31,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563C1"/>
            </w:tcBorders>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8"/>
              </w:rPr>
              <w:t>Condensed Consolidated Statements of Operations and Comprehensive Income (unaudited) – Three Months Ended</w:t>
            </w:r>
          </w:p>
        </w:tc>
        <w:tc>
          <w:tcPr>
            <w:tcW w:w="60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6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September 30, 2024 and 2023</w:t>
            </w:r>
          </w:p>
        </w:tc>
        <w:tc>
          <w:tcPr>
            <w:tcW w:w="6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tcPr>
          <w:p>
            <w:pPr>
              <w:spacing w:after="0" w:line="20" w:lineRule="exact"/>
              <w:rPr>
                <w:sz w:val="1"/>
                <w:szCs w:val="1"/>
                <w:color w:val="auto"/>
              </w:rPr>
            </w:pPr>
          </w:p>
        </w:tc>
        <w:tc>
          <w:tcPr>
            <w:tcW w:w="440" w:type="dxa"/>
            <w:vAlign w:val="bottom"/>
            <w:tcBorders>
              <w:top w:val="single" w:sz="8" w:color="0563C1"/>
              <w:bottom w:val="single" w:sz="8" w:color="CCEEFF"/>
            </w:tcBorders>
          </w:tcPr>
          <w:p>
            <w:pPr>
              <w:spacing w:after="0" w:line="20" w:lineRule="exact"/>
              <w:rPr>
                <w:sz w:val="1"/>
                <w:szCs w:val="1"/>
                <w:color w:val="auto"/>
              </w:rPr>
            </w:pPr>
          </w:p>
        </w:tc>
        <w:tc>
          <w:tcPr>
            <w:tcW w:w="20" w:type="dxa"/>
            <w:vAlign w:val="bottom"/>
            <w:tcBorders>
              <w:top w:val="single" w:sz="8" w:color="0563C1"/>
              <w:bottom w:val="single" w:sz="8" w:color="CCEEFF"/>
            </w:tcBorders>
          </w:tcPr>
          <w:p>
            <w:pPr>
              <w:spacing w:after="0" w:line="20" w:lineRule="exact"/>
              <w:rPr>
                <w:sz w:val="1"/>
                <w:szCs w:val="1"/>
                <w:color w:val="auto"/>
              </w:rPr>
            </w:pPr>
          </w:p>
        </w:tc>
        <w:tc>
          <w:tcPr>
            <w:tcW w:w="100" w:type="dxa"/>
            <w:vAlign w:val="bottom"/>
            <w:tcBorders>
              <w:top w:val="single" w:sz="8" w:color="0563C1"/>
              <w:bottom w:val="single" w:sz="8" w:color="CCEEFF"/>
            </w:tcBorders>
          </w:tcPr>
          <w:p>
            <w:pPr>
              <w:spacing w:after="0" w:line="20" w:lineRule="exact"/>
              <w:rPr>
                <w:sz w:val="1"/>
                <w:szCs w:val="1"/>
                <w:color w:val="auto"/>
              </w:rPr>
            </w:pPr>
          </w:p>
        </w:tc>
        <w:tc>
          <w:tcPr>
            <w:tcW w:w="420" w:type="dxa"/>
            <w:vAlign w:val="bottom"/>
            <w:tcBorders>
              <w:top w:val="single" w:sz="8" w:color="0563C1"/>
              <w:bottom w:val="single" w:sz="8" w:color="CCEEFF"/>
            </w:tcBorders>
          </w:tcPr>
          <w:p>
            <w:pPr>
              <w:spacing w:after="0" w:line="20" w:lineRule="exact"/>
              <w:rPr>
                <w:sz w:val="1"/>
                <w:szCs w:val="1"/>
                <w:color w:val="auto"/>
              </w:rPr>
            </w:pPr>
          </w:p>
        </w:tc>
        <w:tc>
          <w:tcPr>
            <w:tcW w:w="340" w:type="dxa"/>
            <w:vAlign w:val="bottom"/>
            <w:tcBorders>
              <w:top w:val="single" w:sz="8" w:color="0563C1"/>
              <w:bottom w:val="single" w:sz="8" w:color="CCEEFF"/>
            </w:tcBorders>
          </w:tcPr>
          <w:p>
            <w:pPr>
              <w:spacing w:after="0" w:line="20" w:lineRule="exact"/>
              <w:rPr>
                <w:sz w:val="1"/>
                <w:szCs w:val="1"/>
                <w:color w:val="auto"/>
              </w:rPr>
            </w:pPr>
          </w:p>
        </w:tc>
        <w:tc>
          <w:tcPr>
            <w:tcW w:w="20" w:type="dxa"/>
            <w:vAlign w:val="bottom"/>
            <w:tcBorders>
              <w:top w:val="single" w:sz="8" w:color="0563C1"/>
              <w:bottom w:val="single" w:sz="8" w:color="CCEEFF"/>
            </w:tcBorders>
          </w:tcPr>
          <w:p>
            <w:pPr>
              <w:spacing w:after="0" w:line="20" w:lineRule="exact"/>
              <w:rPr>
                <w:sz w:val="1"/>
                <w:szCs w:val="1"/>
                <w:color w:val="auto"/>
              </w:rPr>
            </w:pPr>
          </w:p>
        </w:tc>
        <w:tc>
          <w:tcPr>
            <w:tcW w:w="280" w:type="dxa"/>
            <w:vAlign w:val="bottom"/>
            <w:tcBorders>
              <w:top w:val="single" w:sz="8" w:color="0563C1"/>
              <w:bottom w:val="single" w:sz="8" w:color="CCEEFF"/>
            </w:tcBorders>
          </w:tcPr>
          <w:p>
            <w:pPr>
              <w:spacing w:after="0" w:line="20" w:lineRule="exact"/>
              <w:rPr>
                <w:sz w:val="1"/>
                <w:szCs w:val="1"/>
                <w:color w:val="auto"/>
              </w:rPr>
            </w:pPr>
          </w:p>
        </w:tc>
        <w:tc>
          <w:tcPr>
            <w:tcW w:w="260" w:type="dxa"/>
            <w:vAlign w:val="bottom"/>
            <w:tcBorders>
              <w:top w:val="single" w:sz="8" w:color="0563C1"/>
              <w:bottom w:val="single" w:sz="8" w:color="CCEEFF"/>
            </w:tcBorders>
          </w:tcPr>
          <w:p>
            <w:pPr>
              <w:spacing w:after="0" w:line="20" w:lineRule="exact"/>
              <w:rPr>
                <w:sz w:val="1"/>
                <w:szCs w:val="1"/>
                <w:color w:val="auto"/>
              </w:rPr>
            </w:pPr>
          </w:p>
        </w:tc>
        <w:tc>
          <w:tcPr>
            <w:tcW w:w="700" w:type="dxa"/>
            <w:vAlign w:val="bottom"/>
            <w:tcBorders>
              <w:top w:val="single" w:sz="8" w:color="0563C1"/>
              <w:bottom w:val="single" w:sz="8" w:color="CCEEFF"/>
            </w:tcBorders>
          </w:tcPr>
          <w:p>
            <w:pPr>
              <w:spacing w:after="0" w:line="20" w:lineRule="exact"/>
              <w:rPr>
                <w:sz w:val="1"/>
                <w:szCs w:val="1"/>
                <w:color w:val="auto"/>
              </w:rPr>
            </w:pPr>
          </w:p>
        </w:tc>
        <w:tc>
          <w:tcPr>
            <w:tcW w:w="74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9"/>
              </w:rPr>
              <w:t>Condensed Consolidated Statements of Operations and Comprehensive Income (unaudited) – Nine Months Ended</w:t>
            </w: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9600" w:type="dxa"/>
            <w:vAlign w:val="bottom"/>
            <w:tcBorders>
              <w:top w:val="single" w:sz="8" w:color="0563C1"/>
            </w:tcBorders>
            <w:gridSpan w:val="21"/>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0563C1"/>
              </w:rPr>
              <w:t>September 30, 2024 and 2023</w:t>
            </w:r>
          </w:p>
        </w:tc>
        <w:tc>
          <w:tcPr>
            <w:tcW w:w="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Capitalization (unaudited) - September 30, 2024 and December 31,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78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Nine Months Ended September 30, 2024</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Equity (unaudited) – Nine Months Ended September 30, 2023</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60" w:type="dxa"/>
            <w:vAlign w:val="bottom"/>
            <w:tcBorders>
              <w:top w:val="single" w:sz="8" w:color="0563C1"/>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Condensed Consolidated Statements of Cash Flow (unaudited) – Nine Months Ended September 30, 2024 and</w:t>
            </w: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0563C1"/>
            </w:tcBorders>
            <w:gridSpan w:val="4"/>
            <w:shd w:val="clear" w:color="auto" w:fill="CCEEFF"/>
          </w:tcPr>
          <w:p>
            <w:pPr>
              <w:ind w:left="320"/>
              <w:spacing w:after="0" w:line="196" w:lineRule="exact"/>
              <w:rPr>
                <w:sz w:val="20"/>
                <w:szCs w:val="20"/>
                <w:color w:val="auto"/>
              </w:rPr>
            </w:pPr>
            <w:r>
              <w:rPr>
                <w:rFonts w:ascii="Times New Roman" w:cs="Times New Roman" w:eastAsia="Times New Roman" w:hAnsi="Times New Roman"/>
                <w:sz w:val="22"/>
                <w:szCs w:val="22"/>
                <w:color w:val="0563C1"/>
                <w:w w:val="99"/>
              </w:rPr>
              <w:t>2023</w:t>
            </w:r>
          </w:p>
        </w:tc>
        <w:tc>
          <w:tcPr>
            <w:tcW w:w="100" w:type="dxa"/>
            <w:vAlign w:val="bottom"/>
            <w:tcBorders>
              <w:top w:val="single" w:sz="8" w:color="0563C1"/>
            </w:tcBorders>
            <w:shd w:val="clear" w:color="auto" w:fill="CCEEFF"/>
          </w:tcPr>
          <w:p>
            <w:pPr>
              <w:spacing w:after="0"/>
              <w:rPr>
                <w:sz w:val="20"/>
                <w:szCs w:val="20"/>
                <w:color w:val="auto"/>
              </w:rPr>
            </w:pPr>
          </w:p>
        </w:tc>
        <w:tc>
          <w:tcPr>
            <w:tcW w:w="420" w:type="dxa"/>
            <w:vAlign w:val="bottom"/>
            <w:tcBorders>
              <w:top w:val="single" w:sz="8" w:color="0563C1"/>
            </w:tcBorders>
            <w:shd w:val="clear" w:color="auto" w:fill="CCEEFF"/>
          </w:tcPr>
          <w:p>
            <w:pPr>
              <w:spacing w:after="0"/>
              <w:rPr>
                <w:sz w:val="20"/>
                <w:szCs w:val="20"/>
                <w:color w:val="auto"/>
              </w:rPr>
            </w:pPr>
          </w:p>
        </w:tc>
        <w:tc>
          <w:tcPr>
            <w:tcW w:w="340" w:type="dxa"/>
            <w:vAlign w:val="bottom"/>
            <w:tcBorders>
              <w:top w:val="single" w:sz="8" w:color="0563C1"/>
            </w:tcBorders>
            <w:shd w:val="clear" w:color="auto" w:fill="CCEEFF"/>
          </w:tcPr>
          <w:p>
            <w:pPr>
              <w:spacing w:after="0"/>
              <w:rPr>
                <w:sz w:val="20"/>
                <w:szCs w:val="20"/>
                <w:color w:val="auto"/>
              </w:rPr>
            </w:pPr>
          </w:p>
        </w:tc>
        <w:tc>
          <w:tcPr>
            <w:tcW w:w="20" w:type="dxa"/>
            <w:vAlign w:val="bottom"/>
            <w:tcBorders>
              <w:top w:val="single" w:sz="8" w:color="0563C1"/>
            </w:tcBorders>
            <w:shd w:val="clear" w:color="auto" w:fill="CCEEFF"/>
          </w:tcPr>
          <w:p>
            <w:pPr>
              <w:spacing w:after="0"/>
              <w:rPr>
                <w:sz w:val="20"/>
                <w:szCs w:val="20"/>
                <w:color w:val="auto"/>
              </w:rPr>
            </w:pPr>
          </w:p>
        </w:tc>
        <w:tc>
          <w:tcPr>
            <w:tcW w:w="280" w:type="dxa"/>
            <w:vAlign w:val="bottom"/>
            <w:tcBorders>
              <w:top w:val="single" w:sz="8" w:color="0563C1"/>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700" w:type="dxa"/>
            <w:vAlign w:val="bottom"/>
            <w:tcBorders>
              <w:top w:val="single" w:sz="8" w:color="0563C1"/>
            </w:tcBorders>
            <w:shd w:val="clear" w:color="auto" w:fill="CCEEFF"/>
          </w:tcPr>
          <w:p>
            <w:pPr>
              <w:spacing w:after="0"/>
              <w:rPr>
                <w:sz w:val="20"/>
                <w:szCs w:val="20"/>
                <w:color w:val="auto"/>
              </w:rPr>
            </w:pPr>
          </w:p>
        </w:tc>
        <w:tc>
          <w:tcPr>
            <w:tcW w:w="740" w:type="dxa"/>
            <w:vAlign w:val="bottom"/>
            <w:tcBorders>
              <w:top w:val="single" w:sz="8" w:color="0563C1"/>
            </w:tcBorders>
            <w:shd w:val="clear" w:color="auto" w:fill="CCEEFF"/>
          </w:tcPr>
          <w:p>
            <w:pPr>
              <w:spacing w:after="0"/>
              <w:rPr>
                <w:sz w:val="20"/>
                <w:szCs w:val="20"/>
                <w:color w:val="auto"/>
              </w:rPr>
            </w:pPr>
          </w:p>
        </w:tc>
        <w:tc>
          <w:tcPr>
            <w:tcW w:w="120" w:type="dxa"/>
            <w:vAlign w:val="bottom"/>
            <w:tcBorders>
              <w:top w:val="single" w:sz="8" w:color="0563C1"/>
            </w:tcBorders>
            <w:shd w:val="clear" w:color="auto" w:fill="CCEEFF"/>
          </w:tcPr>
          <w:p>
            <w:pPr>
              <w:spacing w:after="0"/>
              <w:rPr>
                <w:sz w:val="20"/>
                <w:szCs w:val="20"/>
                <w:color w:val="auto"/>
              </w:rPr>
            </w:pPr>
          </w:p>
        </w:tc>
        <w:tc>
          <w:tcPr>
            <w:tcW w:w="1540" w:type="dxa"/>
            <w:vAlign w:val="bottom"/>
            <w:tcBorders>
              <w:top w:val="single" w:sz="8" w:color="0563C1"/>
            </w:tcBorders>
            <w:shd w:val="clear" w:color="auto" w:fill="CCEEFF"/>
          </w:tcPr>
          <w:p>
            <w:pPr>
              <w:spacing w:after="0"/>
              <w:rPr>
                <w:sz w:val="20"/>
                <w:szCs w:val="20"/>
                <w:color w:val="auto"/>
              </w:rPr>
            </w:pPr>
          </w:p>
        </w:tc>
        <w:tc>
          <w:tcPr>
            <w:tcW w:w="540" w:type="dxa"/>
            <w:vAlign w:val="bottom"/>
            <w:tcBorders>
              <w:top w:val="single" w:sz="8" w:color="0563C1"/>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120" w:type="dxa"/>
            <w:vAlign w:val="bottom"/>
            <w:tcBorders>
              <w:top w:val="single" w:sz="8" w:color="0563C1"/>
            </w:tcBorders>
            <w:shd w:val="clear" w:color="auto" w:fill="CCEEFF"/>
          </w:tcPr>
          <w:p>
            <w:pPr>
              <w:spacing w:after="0"/>
              <w:rPr>
                <w:sz w:val="20"/>
                <w:szCs w:val="20"/>
                <w:color w:val="auto"/>
              </w:rPr>
            </w:pPr>
          </w:p>
        </w:tc>
        <w:tc>
          <w:tcPr>
            <w:tcW w:w="1600" w:type="dxa"/>
            <w:vAlign w:val="bottom"/>
            <w:tcBorders>
              <w:top w:val="single" w:sz="8" w:color="0563C1"/>
            </w:tcBorders>
            <w:shd w:val="clear" w:color="auto" w:fill="CCEEFF"/>
          </w:tcPr>
          <w:p>
            <w:pPr>
              <w:spacing w:after="0"/>
              <w:rPr>
                <w:sz w:val="20"/>
                <w:szCs w:val="20"/>
                <w:color w:val="auto"/>
              </w:rPr>
            </w:pPr>
          </w:p>
        </w:tc>
        <w:tc>
          <w:tcPr>
            <w:tcW w:w="820" w:type="dxa"/>
            <w:vAlign w:val="bottom"/>
            <w:tcBorders>
              <w:top w:val="single" w:sz="8" w:color="0563C1"/>
            </w:tcBorders>
            <w:shd w:val="clear" w:color="auto" w:fill="CCEEFF"/>
          </w:tcPr>
          <w:p>
            <w:pPr>
              <w:spacing w:after="0"/>
              <w:rPr>
                <w:sz w:val="20"/>
                <w:szCs w:val="20"/>
                <w:color w:val="auto"/>
              </w:rPr>
            </w:pPr>
          </w:p>
        </w:tc>
        <w:tc>
          <w:tcPr>
            <w:tcW w:w="160" w:type="dxa"/>
            <w:vAlign w:val="bottom"/>
            <w:tcBorders>
              <w:top w:val="single" w:sz="8" w:color="0563C1"/>
            </w:tcBorders>
            <w:shd w:val="clear" w:color="auto" w:fill="CCEEFF"/>
          </w:tcPr>
          <w:p>
            <w:pPr>
              <w:spacing w:after="0"/>
              <w:rPr>
                <w:sz w:val="20"/>
                <w:szCs w:val="20"/>
                <w:color w:val="auto"/>
              </w:rPr>
            </w:pPr>
          </w:p>
        </w:tc>
        <w:tc>
          <w:tcPr>
            <w:tcW w:w="780" w:type="dxa"/>
            <w:vAlign w:val="bottom"/>
            <w:tcBorders>
              <w:top w:val="single" w:sz="8" w:color="0563C1"/>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9980" w:type="dxa"/>
            <w:vAlign w:val="bottom"/>
            <w:gridSpan w:val="24"/>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Notes to Condensed Consolidated Financial Statements (unaudited)</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2.</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Management’s Discussion and Analysis of Financial Condition and Results of Operations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600" w:type="dxa"/>
            <w:vAlign w:val="bottom"/>
            <w:tcBorders>
              <w:top w:val="single" w:sz="8" w:color="0563C1"/>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3.</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Quantitative and Qualitative Disclosures About Market Risk</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74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1540" w:type="dxa"/>
            <w:vAlign w:val="bottom"/>
            <w:tcBorders>
              <w:top w:val="single" w:sz="8" w:color="0563C1"/>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4.</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Controls and Procedures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760"/>
              <w:spacing w:after="0" w:line="203" w:lineRule="exact"/>
              <w:rPr>
                <w:sz w:val="20"/>
                <w:szCs w:val="20"/>
                <w:color w:val="auto"/>
              </w:rPr>
            </w:pPr>
            <w:r>
              <w:rPr>
                <w:rFonts w:ascii="Times New Roman" w:cs="Times New Roman" w:eastAsia="Times New Roman" w:hAnsi="Times New Roman"/>
                <w:sz w:val="22"/>
                <w:szCs w:val="22"/>
                <w:color w:val="0563C1"/>
                <w:w w:val="98"/>
              </w:rPr>
              <w:t>Part II – Other Information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540" w:type="dxa"/>
            <w:vAlign w:val="bottom"/>
            <w:tcBorders>
              <w:top w:val="single" w:sz="8" w:color="0563C1"/>
            </w:tcBorders>
          </w:tcPr>
          <w:p>
            <w:pPr>
              <w:spacing w:after="0"/>
              <w:rPr>
                <w:sz w:val="22"/>
                <w:szCs w:val="22"/>
                <w:color w:val="auto"/>
              </w:rPr>
            </w:pPr>
          </w:p>
        </w:tc>
        <w:tc>
          <w:tcPr>
            <w:tcW w:w="540" w:type="dxa"/>
            <w:vAlign w:val="bottom"/>
            <w:tcBorders>
              <w:top w:val="single" w:sz="8" w:color="0563C1"/>
            </w:tcBorders>
          </w:tcPr>
          <w:p>
            <w:pPr>
              <w:spacing w:after="0"/>
              <w:rPr>
                <w:sz w:val="22"/>
                <w:szCs w:val="22"/>
                <w:color w:val="auto"/>
              </w:rPr>
            </w:pPr>
          </w:p>
        </w:tc>
        <w:tc>
          <w:tcPr>
            <w:tcW w:w="260" w:type="dxa"/>
            <w:vAlign w:val="bottom"/>
            <w:tcBorders>
              <w:top w:val="single" w:sz="8" w:color="0563C1"/>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Legal Proceedings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640" w:type="dxa"/>
            <w:vAlign w:val="bottom"/>
            <w:gridSpan w:val="25"/>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1A. Risk Factors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29"/>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5.</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Other Information</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44</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rPr>
              <w:t>Item 6.</w:t>
            </w:r>
          </w:p>
        </w:tc>
        <w:tc>
          <w:tcPr>
            <w:tcW w:w="9980" w:type="dxa"/>
            <w:vAlign w:val="bottom"/>
            <w:gridSpan w:val="24"/>
            <w:shd w:val="clear" w:color="auto" w:fill="CCEEFF"/>
          </w:tcPr>
          <w:p>
            <w:pPr>
              <w:ind w:left="60"/>
              <w:spacing w:after="0" w:line="203" w:lineRule="exact"/>
              <w:rPr>
                <w:sz w:val="20"/>
                <w:szCs w:val="20"/>
                <w:color w:val="auto"/>
              </w:rPr>
            </w:pPr>
            <w:r>
              <w:rPr>
                <w:rFonts w:ascii="Times New Roman" w:cs="Times New Roman" w:eastAsia="Times New Roman" w:hAnsi="Times New Roman"/>
                <w:sz w:val="22"/>
                <w:szCs w:val="22"/>
                <w:color w:val="0563C1"/>
              </w:rPr>
              <w:t>Exhibits</w:t>
            </w:r>
          </w:p>
        </w:tc>
        <w:tc>
          <w:tcPr>
            <w:tcW w:w="600" w:type="dxa"/>
            <w:vAlign w:val="bottom"/>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2"/>
                <w:szCs w:val="22"/>
                <w:color w:val="0563C1"/>
                <w:w w:val="96"/>
              </w:rPr>
              <w:t>Signatures</w:t>
            </w:r>
          </w:p>
        </w:tc>
        <w:tc>
          <w:tcPr>
            <w:tcW w:w="9720" w:type="dxa"/>
            <w:vAlign w:val="bottom"/>
            <w:tcBorders>
              <w:bottom w:val="single" w:sz="8" w:color="CCEEFF"/>
            </w:tcBorders>
            <w:gridSpan w:val="23"/>
            <w:shd w:val="clear" w:color="auto" w:fill="CCEEFF"/>
          </w:tcPr>
          <w:p>
            <w:pPr>
              <w:spacing w:after="0"/>
              <w:rPr>
                <w:sz w:val="18"/>
                <w:szCs w:val="18"/>
                <w:color w:val="auto"/>
              </w:rPr>
            </w:pPr>
          </w:p>
        </w:tc>
        <w:tc>
          <w:tcPr>
            <w:tcW w:w="60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606"/>
        </w:trPr>
        <w:tc>
          <w:tcPr>
            <w:tcW w:w="660" w:type="dxa"/>
            <w:vAlign w:val="bottom"/>
          </w:tcPr>
          <w:p>
            <w:pPr>
              <w:spacing w:after="0"/>
              <w:rPr>
                <w:sz w:val="24"/>
                <w:szCs w:val="24"/>
                <w:color w:val="auto"/>
              </w:rPr>
            </w:pPr>
          </w:p>
        </w:tc>
        <w:tc>
          <w:tcPr>
            <w:tcW w:w="5300" w:type="dxa"/>
            <w:vAlign w:val="bottom"/>
            <w:gridSpan w:val="14"/>
          </w:tcPr>
          <w:p>
            <w:pPr>
              <w:jc w:val="center"/>
              <w:ind w:left="4532"/>
              <w:spacing w:after="0"/>
              <w:rPr>
                <w:sz w:val="20"/>
                <w:szCs w:val="20"/>
                <w:color w:val="auto"/>
              </w:rPr>
            </w:pPr>
            <w:r>
              <w:rPr>
                <w:rFonts w:ascii="Times New Roman" w:cs="Times New Roman" w:eastAsia="Times New Roman" w:hAnsi="Times New Roman"/>
                <w:sz w:val="22"/>
                <w:szCs w:val="22"/>
                <w:color w:val="auto"/>
                <w:w w:val="90"/>
              </w:rPr>
              <w:t>1</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CONDENSED CONSOLIDATED BALANCE SHEETS</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520" w:type="dxa"/>
            <w:vAlign w:val="bottom"/>
            <w:tcBorders>
              <w:bottom w:val="single" w:sz="8" w:color="CCEEFF"/>
            </w:tcBorders>
          </w:tcPr>
          <w:p>
            <w:pPr>
              <w:ind w:left="396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69"/>
        </w:trPr>
        <w:tc>
          <w:tcPr>
            <w:tcW w:w="8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Property, plant and equipment, at cost</w:t>
            </w: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15,891,451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14,977,021</w:t>
            </w:r>
          </w:p>
        </w:tc>
      </w:tr>
      <w:tr>
        <w:trPr>
          <w:trHeight w:val="175"/>
        </w:trPr>
        <w:tc>
          <w:tcPr>
            <w:tcW w:w="85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3,075,589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2,879,949</w:t>
            </w:r>
          </w:p>
        </w:tc>
      </w:tr>
      <w:tr>
        <w:trPr>
          <w:trHeight w:val="169"/>
        </w:trPr>
        <w:tc>
          <w:tcPr>
            <w:tcW w:w="8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property, plant and equipment</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12,815,862</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12,097,072</w:t>
            </w:r>
          </w:p>
        </w:tc>
      </w:tr>
      <w:tr>
        <w:trPr>
          <w:trHeight w:val="169"/>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5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8,436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r>
      <w:tr>
        <w:trPr>
          <w:trHeight w:val="175"/>
        </w:trPr>
        <w:tc>
          <w:tcPr>
            <w:tcW w:w="85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124,767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144,300</w:t>
            </w:r>
          </w:p>
        </w:tc>
      </w:tr>
      <w:tr>
        <w:trPr>
          <w:trHeight w:val="176"/>
        </w:trPr>
        <w:tc>
          <w:tcPr>
            <w:tcW w:w="85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Unbilled revenues</w:t>
            </w: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79,095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101,436</w:t>
            </w:r>
          </w:p>
        </w:tc>
      </w:tr>
      <w:tr>
        <w:trPr>
          <w:trHeight w:val="176"/>
        </w:trPr>
        <w:tc>
          <w:tcPr>
            <w:tcW w:w="85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materials and supplies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51,216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47,494</w:t>
            </w:r>
          </w:p>
        </w:tc>
      </w:tr>
      <w:tr>
        <w:trPr>
          <w:trHeight w:val="175"/>
        </w:trPr>
        <w:tc>
          <w:tcPr>
            <w:tcW w:w="85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Inventory - gas stored</w:t>
            </w: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54,014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65,173</w:t>
            </w:r>
          </w:p>
        </w:tc>
      </w:tr>
      <w:tr>
        <w:trPr>
          <w:trHeight w:val="176"/>
        </w:trPr>
        <w:tc>
          <w:tcPr>
            <w:tcW w:w="852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Prepayments and other current assets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25,746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99,884</w:t>
            </w:r>
          </w:p>
        </w:tc>
      </w:tr>
      <w:tr>
        <w:trPr>
          <w:trHeight w:val="175"/>
        </w:trPr>
        <w:tc>
          <w:tcPr>
            <w:tcW w:w="852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30,659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29,080</w:t>
            </w:r>
          </w:p>
        </w:tc>
      </w:tr>
      <w:tr>
        <w:trPr>
          <w:trHeight w:val="169"/>
        </w:trPr>
        <w:tc>
          <w:tcPr>
            <w:tcW w:w="85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373,933</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491,979</w:t>
            </w:r>
          </w:p>
        </w:tc>
      </w:tr>
      <w:tr>
        <w:trPr>
          <w:trHeight w:val="169"/>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Regulatory assets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1,897,883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1,766,892</w:t>
            </w:r>
          </w:p>
        </w:tc>
      </w:tr>
      <w:tr>
        <w:trPr>
          <w:trHeight w:val="175"/>
        </w:trPr>
        <w:tc>
          <w:tcPr>
            <w:tcW w:w="8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Deferred charges and other assets, net</w:t>
            </w: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98,996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102,388</w:t>
            </w:r>
          </w:p>
        </w:tc>
      </w:tr>
      <w:tr>
        <w:trPr>
          <w:trHeight w:val="176"/>
        </w:trPr>
        <w:tc>
          <w:tcPr>
            <w:tcW w:w="8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Funds restricted for construction activity</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1,412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1,381</w:t>
            </w:r>
          </w:p>
        </w:tc>
      </w:tr>
      <w:tr>
        <w:trPr>
          <w:trHeight w:val="175"/>
        </w:trPr>
        <w:tc>
          <w:tcPr>
            <w:tcW w:w="8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2,340,738</w:t>
            </w:r>
          </w:p>
        </w:tc>
      </w:tr>
      <w:tr>
        <w:trPr>
          <w:trHeight w:val="176"/>
        </w:trPr>
        <w:tc>
          <w:tcPr>
            <w:tcW w:w="8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32,470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37,416</w:t>
            </w:r>
          </w:p>
        </w:tc>
      </w:tr>
      <w:tr>
        <w:trPr>
          <w:trHeight w:val="175"/>
        </w:trPr>
        <w:tc>
          <w:tcPr>
            <w:tcW w:w="852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3,351</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3,593</w:t>
            </w:r>
          </w:p>
        </w:tc>
      </w:tr>
      <w:tr>
        <w:trPr>
          <w:trHeight w:val="169"/>
        </w:trPr>
        <w:tc>
          <w:tcPr>
            <w:tcW w:w="852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17,564,626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CONDENSED CONSOLIDATED BALANCE SHEETS (continued)</w:t>
      </w:r>
    </w:p>
    <w:p>
      <w:pPr>
        <w:jc w:val="center"/>
        <w:ind w:right="40"/>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September 30,</w:t>
            </w:r>
          </w:p>
        </w:tc>
        <w:tc>
          <w:tcPr>
            <w:tcW w:w="120" w:type="dxa"/>
            <w:vAlign w:val="bottom"/>
          </w:tcPr>
          <w:p>
            <w:pPr>
              <w:spacing w:after="0"/>
              <w:rPr>
                <w:sz w:val="16"/>
                <w:szCs w:val="16"/>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December 31,</w:t>
            </w:r>
          </w:p>
        </w:tc>
      </w:tr>
      <w:tr>
        <w:trPr>
          <w:trHeight w:val="203"/>
        </w:trPr>
        <w:tc>
          <w:tcPr>
            <w:tcW w:w="830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Liabilities and Equity</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169"/>
        </w:trPr>
        <w:tc>
          <w:tcPr>
            <w:tcW w:w="83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830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at $0.50 par value, authorized 600,000,000 shares, issued 277,950,436 and 276,595,228 as of September 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3"/>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 and December 31, 2023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138,297</w:t>
            </w: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Capital in excess of par value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4,186,048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4,137,696</w:t>
            </w:r>
          </w:p>
        </w:tc>
      </w:tr>
      <w:tr>
        <w:trPr>
          <w:trHeight w:val="176"/>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1,943,876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1,706,675</w:t>
            </w: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Treasury stock, at cost, 3,341,458 and 3,299,191 shares as of September 30, 2024 and December 31, 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(87,965)</w:t>
            </w: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(86,485)</w:t>
            </w:r>
          </w:p>
        </w:tc>
      </w:tr>
      <w:tr>
        <w:trPr>
          <w:trHeight w:val="169"/>
        </w:trPr>
        <w:tc>
          <w:tcPr>
            <w:tcW w:w="830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6,180,934</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69"/>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Long-term debt, excluding current portion</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7,279,048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6,870,593</w:t>
            </w:r>
          </w:p>
        </w:tc>
      </w:tr>
      <w:tr>
        <w:trPr>
          <w:trHeight w:val="175"/>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Less: debt issuance costs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48,880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44,508</w:t>
            </w:r>
          </w:p>
        </w:tc>
      </w:tr>
      <w:tr>
        <w:trPr>
          <w:trHeight w:val="169"/>
        </w:trPr>
        <w:tc>
          <w:tcPr>
            <w:tcW w:w="8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Long-term debt, excluding current portion, net of debt issuance costs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7,230,168</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6,826,085</w:t>
            </w:r>
          </w:p>
        </w:tc>
      </w:tr>
      <w:tr>
        <w:trPr>
          <w:trHeight w:val="23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68"/>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29,218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67,415</w:t>
            </w:r>
          </w:p>
        </w:tc>
      </w:tr>
      <w:tr>
        <w:trPr>
          <w:trHeight w:val="176"/>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Loans payable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143,017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160,123</w:t>
            </w:r>
          </w:p>
        </w:tc>
      </w:tr>
      <w:tr>
        <w:trPr>
          <w:trHeight w:val="176"/>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231,443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221,191</w:t>
            </w:r>
          </w:p>
        </w:tc>
      </w:tr>
      <w:tr>
        <w:trPr>
          <w:trHeight w:val="175"/>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Book overdraft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16,795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13,358</w:t>
            </w:r>
          </w:p>
        </w:tc>
      </w:tr>
      <w:tr>
        <w:trPr>
          <w:trHeight w:val="176"/>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87,519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53,084</w:t>
            </w:r>
          </w:p>
        </w:tc>
      </w:tr>
      <w:tr>
        <w:trPr>
          <w:trHeight w:val="175"/>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33,143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40,641</w:t>
            </w:r>
          </w:p>
        </w:tc>
      </w:tr>
      <w:tr>
        <w:trPr>
          <w:trHeight w:val="176"/>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31,270</w:t>
            </w:r>
          </w:p>
        </w:tc>
      </w:tr>
      <w:tr>
        <w:trPr>
          <w:trHeight w:val="175"/>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83,929</w:t>
            </w:r>
          </w:p>
        </w:tc>
      </w:tr>
      <w:tr>
        <w:trPr>
          <w:trHeight w:val="176"/>
        </w:trPr>
        <w:tc>
          <w:tcPr>
            <w:tcW w:w="830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141,325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126,916</w:t>
            </w:r>
          </w:p>
        </w:tc>
      </w:tr>
      <w:tr>
        <w:trPr>
          <w:trHeight w:val="169"/>
        </w:trPr>
        <w:tc>
          <w:tcPr>
            <w:tcW w:w="8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683,143</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797,927</w:t>
            </w:r>
          </w:p>
        </w:tc>
      </w:tr>
      <w:tr>
        <w:trPr>
          <w:trHeight w:val="169"/>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Deferred credits and other liabilities: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Deferred income taxes and investment tax credits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1,788,225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1,628,324</w:t>
            </w:r>
          </w:p>
        </w:tc>
      </w:tr>
      <w:tr>
        <w:trPr>
          <w:trHeight w:val="176"/>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for construction</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120,154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128,755</w:t>
            </w: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Regulatory liabilities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804,323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820,910</w:t>
            </w:r>
          </w:p>
        </w:tc>
      </w:tr>
      <w:tr>
        <w:trPr>
          <w:trHeight w:val="175"/>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Asset retirement obligations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857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848</w:t>
            </w:r>
          </w:p>
        </w:tc>
      </w:tr>
      <w:tr>
        <w:trPr>
          <w:trHeight w:val="175"/>
        </w:trPr>
        <w:tc>
          <w:tcPr>
            <w:tcW w:w="83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29,153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34,425</w:t>
            </w:r>
          </w:p>
        </w:tc>
      </w:tr>
      <w:tr>
        <w:trPr>
          <w:trHeight w:val="175"/>
        </w:trPr>
        <w:tc>
          <w:tcPr>
            <w:tcW w:w="830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 liabilities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28,386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38,850</w:t>
            </w:r>
          </w:p>
        </w:tc>
      </w:tr>
      <w:tr>
        <w:trPr>
          <w:trHeight w:val="175"/>
        </w:trPr>
        <w:tc>
          <w:tcPr>
            <w:tcW w:w="8300" w:type="dxa"/>
            <w:vAlign w:val="bottom"/>
            <w:tcBorders>
              <w:bottom w:val="single" w:sz="8" w:color="CCEEFF"/>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23,859</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24,086</w:t>
            </w:r>
          </w:p>
        </w:tc>
      </w:tr>
      <w:tr>
        <w:trPr>
          <w:trHeight w:val="169"/>
        </w:trPr>
        <w:tc>
          <w:tcPr>
            <w:tcW w:w="8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Total deferred credits and other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2,794,957</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2,676,198</w:t>
            </w:r>
          </w:p>
        </w:tc>
      </w:tr>
      <w:tr>
        <w:trPr>
          <w:trHeight w:val="169"/>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8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Contributions in aid of construction</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675,424</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645,066</w:t>
            </w:r>
          </w:p>
        </w:tc>
      </w:tr>
      <w:tr>
        <w:trPr>
          <w:trHeight w:val="169"/>
        </w:trPr>
        <w:tc>
          <w:tcPr>
            <w:tcW w:w="83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17,564,626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16,841,459</w:t>
            </w:r>
          </w:p>
        </w:tc>
      </w:tr>
      <w:tr>
        <w:trPr>
          <w:trHeight w:val="20"/>
        </w:trPr>
        <w:tc>
          <w:tcPr>
            <w:tcW w:w="8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0" w:type="dxa"/>
            <w:vAlign w:val="bottom"/>
            <w:gridSpan w:val="4"/>
          </w:tcPr>
          <w:p>
            <w:pPr>
              <w:jc w:val="right"/>
              <w:ind w:right="772"/>
              <w:spacing w:after="0"/>
              <w:rPr>
                <w:sz w:val="20"/>
                <w:szCs w:val="20"/>
                <w:color w:val="auto"/>
              </w:rPr>
            </w:pPr>
            <w:r>
              <w:rPr>
                <w:rFonts w:ascii="Times New Roman" w:cs="Times New Roman" w:eastAsia="Times New Roman" w:hAnsi="Times New Roman"/>
                <w:sz w:val="22"/>
                <w:szCs w:val="22"/>
                <w:color w:val="auto"/>
              </w:rPr>
              <w:t>Three Months Ended</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435,255</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411,255</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144,368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147,018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19,095</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16,590</w:t>
            </w: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91,448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84,348</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1,153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1,687</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24,102</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24,207</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280,166</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273,850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155,089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137,405</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76,846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68,590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(1,394)</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(942)</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(5,593)</w:t>
            </w:r>
          </w:p>
        </w:tc>
        <w:tc>
          <w:tcPr>
            <w:tcW w:w="52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(5,455)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Loss (gain) on sale of other assets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(239)</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285</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227</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(1,438)</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85,242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76,365</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 (benefit)</w:t>
            </w:r>
          </w:p>
        </w:tc>
        <w:tc>
          <w:tcPr>
            <w:tcW w:w="1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15,840</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(3,711)</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69,402</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80,076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2180" w:type="dxa"/>
            <w:vAlign w:val="bottom"/>
            <w:gridSpan w:val="2"/>
            <w:shd w:val="clear" w:color="auto" w:fill="CCEEFF"/>
          </w:tcPr>
          <w:p>
            <w:pPr>
              <w:jc w:val="right"/>
              <w:ind w:right="15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69,402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80,076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per common share:</w:t>
            </w: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2180" w:type="dxa"/>
            <w:vAlign w:val="bottom"/>
            <w:gridSpan w:val="2"/>
            <w:shd w:val="clear" w:color="auto" w:fill="CCEEFF"/>
          </w:tcPr>
          <w:p>
            <w:pPr>
              <w:jc w:val="right"/>
              <w:ind w:right="15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0.25</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0.30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8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5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3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0.25</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31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2"/>
                <w:szCs w:val="22"/>
                <w:color w:val="auto"/>
              </w:rPr>
              <w:t>0.30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60" w:type="dxa"/>
            <w:vAlign w:val="bottom"/>
          </w:tcPr>
          <w:p>
            <w:pPr>
              <w:spacing w:after="0"/>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4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274,021</w:t>
            </w:r>
          </w:p>
        </w:tc>
        <w:tc>
          <w:tcPr>
            <w:tcW w:w="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Times New Roman" w:cs="Times New Roman" w:eastAsia="Times New Roman" w:hAnsi="Times New Roman"/>
                <w:sz w:val="22"/>
                <w:szCs w:val="22"/>
                <w:color w:val="auto"/>
              </w:rPr>
              <w:t>266,767</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120"/>
              <w:spacing w:after="0" w:line="250" w:lineRule="exact"/>
              <w:rPr>
                <w:sz w:val="20"/>
                <w:szCs w:val="20"/>
                <w:color w:val="auto"/>
              </w:rPr>
            </w:pPr>
            <w:r>
              <w:rPr>
                <w:rFonts w:ascii="Times New Roman" w:cs="Times New Roman" w:eastAsia="Times New Roman" w:hAnsi="Times New Roman"/>
                <w:sz w:val="22"/>
                <w:szCs w:val="22"/>
                <w:color w:val="auto"/>
              </w:rPr>
              <w:t>Diluted</w:t>
            </w: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174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274,543</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ind w:right="12"/>
              <w:spacing w:after="0" w:line="210" w:lineRule="exact"/>
              <w:rPr>
                <w:sz w:val="20"/>
                <w:szCs w:val="20"/>
                <w:color w:val="auto"/>
              </w:rPr>
            </w:pPr>
            <w:r>
              <w:rPr>
                <w:rFonts w:ascii="Times New Roman" w:cs="Times New Roman" w:eastAsia="Times New Roman" w:hAnsi="Times New Roman"/>
                <w:sz w:val="22"/>
                <w:szCs w:val="22"/>
                <w:color w:val="auto"/>
              </w:rPr>
              <w:t>267,176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CONDENSED CONSOLIDATED STATEMENTS OF OPERATIONS AND COMPREHENSIVE INCOME</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40" w:type="dxa"/>
            <w:vAlign w:val="bottom"/>
            <w:gridSpan w:val="4"/>
          </w:tcPr>
          <w:p>
            <w:pPr>
              <w:jc w:val="right"/>
              <w:ind w:right="89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6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160" w:type="dxa"/>
            <w:vAlign w:val="bottom"/>
            <w:tcBorders>
              <w:bottom w:val="single" w:sz="8" w:color="auto"/>
            </w:tcBorders>
          </w:tcPr>
          <w:p>
            <w:pPr>
              <w:spacing w:after="0"/>
              <w:rPr>
                <w:sz w:val="22"/>
                <w:szCs w:val="22"/>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Operating revenues</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1,481,730</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1,574,405</w:t>
            </w:r>
          </w:p>
        </w:tc>
      </w:tr>
      <w:tr>
        <w:trPr>
          <w:trHeight w:val="230"/>
        </w:trPr>
        <w:tc>
          <w:tcPr>
            <w:tcW w:w="6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expenses:</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Operations and maintenance</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423,780</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418,520</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Purchased gas</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182,498</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314,838</w:t>
            </w:r>
          </w:p>
        </w:tc>
      </w:tr>
      <w:tr>
        <w:trPr>
          <w:trHeight w:val="229"/>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Depreciation</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269,742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252,208</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Amortization</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3,309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3,282</w:t>
            </w:r>
          </w:p>
        </w:tc>
      </w:tr>
      <w:tr>
        <w:trPr>
          <w:trHeight w:val="229"/>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Taxes other than income taxes</w:t>
            </w:r>
          </w:p>
        </w:tc>
        <w:tc>
          <w:tcPr>
            <w:tcW w:w="1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71,359</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67,433</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Total operating expenses</w:t>
            </w:r>
          </w:p>
        </w:tc>
        <w:tc>
          <w:tcPr>
            <w:tcW w:w="13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950,688</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1,056,281</w:t>
            </w:r>
          </w:p>
        </w:tc>
      </w:tr>
      <w:tr>
        <w:trPr>
          <w:trHeight w:val="223"/>
        </w:trPr>
        <w:tc>
          <w:tcPr>
            <w:tcW w:w="6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Operating income</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531,042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518,124</w:t>
            </w:r>
          </w:p>
        </w:tc>
      </w:tr>
      <w:tr>
        <w:trPr>
          <w:trHeight w:val="229"/>
        </w:trPr>
        <w:tc>
          <w:tcPr>
            <w:tcW w:w="6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Other expense (income):</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expense</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223,164</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210,440</w:t>
            </w:r>
          </w:p>
        </w:tc>
      </w:tr>
      <w:tr>
        <w:trPr>
          <w:trHeight w:val="229"/>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Interest income</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(2,659)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(2,731)</w:t>
            </w:r>
          </w:p>
        </w:tc>
      </w:tr>
      <w:tr>
        <w:trPr>
          <w:trHeight w:val="23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Allowance for funds used during construction</w:t>
            </w: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(15,503)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(14,567)</w:t>
            </w:r>
          </w:p>
        </w:tc>
      </w:tr>
      <w:tr>
        <w:trPr>
          <w:trHeight w:val="230"/>
        </w:trPr>
        <w:tc>
          <w:tcPr>
            <w:tcW w:w="6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Gain on sale of other assets</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(92,067)</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(184)</w:t>
            </w:r>
          </w:p>
        </w:tc>
      </w:tr>
      <w:tr>
        <w:trPr>
          <w:trHeight w:val="229"/>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Other, net</w:t>
            </w:r>
          </w:p>
        </w:tc>
        <w:tc>
          <w:tcPr>
            <w:tcW w:w="1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486</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(2,001)</w:t>
            </w:r>
          </w:p>
        </w:tc>
      </w:tr>
      <w:tr>
        <w:trPr>
          <w:trHeight w:val="223"/>
        </w:trPr>
        <w:tc>
          <w:tcPr>
            <w:tcW w:w="6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Income before income taxes</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417,621</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327,167</w:t>
            </w:r>
          </w:p>
        </w:tc>
      </w:tr>
      <w:tr>
        <w:trPr>
          <w:trHeight w:val="229"/>
        </w:trPr>
        <w:tc>
          <w:tcPr>
            <w:tcW w:w="614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Income tax expense (benefit)</w:t>
            </w:r>
          </w:p>
        </w:tc>
        <w:tc>
          <w:tcPr>
            <w:tcW w:w="13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7,062</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(35,611)</w:t>
            </w:r>
          </w:p>
        </w:tc>
      </w:tr>
      <w:tr>
        <w:trPr>
          <w:trHeight w:val="223"/>
        </w:trPr>
        <w:tc>
          <w:tcPr>
            <w:tcW w:w="614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income</w:t>
            </w:r>
          </w:p>
        </w:tc>
        <w:tc>
          <w:tcPr>
            <w:tcW w:w="13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410,559</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362,778</w:t>
            </w:r>
          </w:p>
        </w:tc>
      </w:tr>
      <w:tr>
        <w:trPr>
          <w:trHeight w:val="20"/>
        </w:trPr>
        <w:tc>
          <w:tcPr>
            <w:tcW w:w="6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Comprehensive income</w:t>
            </w:r>
          </w:p>
        </w:tc>
        <w:tc>
          <w:tcPr>
            <w:tcW w:w="1760" w:type="dxa"/>
            <w:vAlign w:val="bottom"/>
            <w:gridSpan w:val="2"/>
            <w:shd w:val="clear" w:color="auto" w:fill="CCEEFF"/>
          </w:tcPr>
          <w:p>
            <w:pPr>
              <w:jc w:val="right"/>
              <w:ind w:right="19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410,559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362,778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Net income per common share:</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6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760" w:type="dxa"/>
            <w:vAlign w:val="bottom"/>
            <w:gridSpan w:val="2"/>
          </w:tcPr>
          <w:p>
            <w:pPr>
              <w:jc w:val="right"/>
              <w:ind w:right="192"/>
              <w:spacing w:after="0" w:line="229" w:lineRule="exact"/>
              <w:rPr>
                <w:sz w:val="20"/>
                <w:szCs w:val="20"/>
                <w:color w:val="auto"/>
              </w:rPr>
            </w:pPr>
            <w:r>
              <w:rPr>
                <w:rFonts w:ascii="Times New Roman" w:cs="Times New Roman" w:eastAsia="Times New Roman" w:hAnsi="Times New Roman"/>
                <w:sz w:val="22"/>
                <w:szCs w:val="22"/>
                <w:color w:val="auto"/>
              </w:rPr>
              <w:t>$</w:t>
            </w: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1.50</w:t>
            </w:r>
          </w:p>
        </w:tc>
        <w:tc>
          <w:tcPr>
            <w:tcW w:w="200" w:type="dxa"/>
            <w:vAlign w:val="bottom"/>
          </w:tcPr>
          <w:p>
            <w:pPr>
              <w:spacing w:after="0"/>
              <w:rPr>
                <w:sz w:val="23"/>
                <w:szCs w:val="23"/>
                <w:color w:val="auto"/>
              </w:rPr>
            </w:pPr>
          </w:p>
        </w:tc>
        <w:tc>
          <w:tcPr>
            <w:tcW w:w="600" w:type="dxa"/>
            <w:vAlign w:val="bottom"/>
          </w:tcPr>
          <w:p>
            <w:pPr>
              <w:jc w:val="right"/>
              <w:ind w:right="372"/>
              <w:spacing w:after="0" w:line="229"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1.37</w:t>
            </w:r>
          </w:p>
        </w:tc>
      </w:tr>
      <w:tr>
        <w:trPr>
          <w:trHeight w:val="210"/>
        </w:trPr>
        <w:tc>
          <w:tcPr>
            <w:tcW w:w="614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92"/>
              <w:spacing w:after="0" w:line="210"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372"/>
              <w:spacing w:after="0" w:line="210"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1.37</w:t>
            </w:r>
          </w:p>
        </w:tc>
      </w:tr>
      <w:tr>
        <w:trPr>
          <w:trHeight w:val="20"/>
        </w:trPr>
        <w:tc>
          <w:tcPr>
            <w:tcW w:w="6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6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14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Average common shares outstanding during the period:</w:t>
            </w:r>
          </w:p>
        </w:tc>
        <w:tc>
          <w:tcPr>
            <w:tcW w:w="13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70"/>
        </w:trPr>
        <w:tc>
          <w:tcPr>
            <w:tcW w:w="61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Basic</w:t>
            </w:r>
          </w:p>
        </w:tc>
        <w:tc>
          <w:tcPr>
            <w:tcW w:w="13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273,656</w:t>
            </w:r>
          </w:p>
        </w:tc>
        <w:tc>
          <w:tcPr>
            <w:tcW w:w="2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265,135</w:t>
            </w:r>
          </w:p>
        </w:tc>
      </w:tr>
      <w:tr>
        <w:trPr>
          <w:trHeight w:val="210"/>
        </w:trPr>
        <w:tc>
          <w:tcPr>
            <w:tcW w:w="6140" w:type="dxa"/>
            <w:vAlign w:val="bottom"/>
            <w:tcBorders>
              <w:bottom w:val="single" w:sz="8" w:color="CCEEFF"/>
            </w:tcBorders>
            <w:shd w:val="clear" w:color="auto" w:fill="CCEEFF"/>
          </w:tcPr>
          <w:p>
            <w:pPr>
              <w:ind w:left="120"/>
              <w:spacing w:after="0" w:line="210" w:lineRule="exact"/>
              <w:rPr>
                <w:sz w:val="20"/>
                <w:szCs w:val="20"/>
                <w:color w:val="auto"/>
              </w:rPr>
            </w:pPr>
            <w:r>
              <w:rPr>
                <w:rFonts w:ascii="Times New Roman" w:cs="Times New Roman" w:eastAsia="Times New Roman" w:hAnsi="Times New Roman"/>
                <w:sz w:val="22"/>
                <w:szCs w:val="22"/>
                <w:color w:val="auto"/>
              </w:rPr>
              <w:t>Diluted</w:t>
            </w:r>
          </w:p>
        </w:tc>
        <w:tc>
          <w:tcPr>
            <w:tcW w:w="13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274,127</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2"/>
                <w:szCs w:val="22"/>
                <w:color w:val="auto"/>
              </w:rPr>
              <w:t>265,688</w:t>
            </w:r>
          </w:p>
        </w:tc>
      </w:tr>
      <w:tr>
        <w:trPr>
          <w:trHeight w:val="20"/>
        </w:trPr>
        <w:tc>
          <w:tcPr>
            <w:tcW w:w="6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CONDENSED CONSOLIDATED STATEMENTS OF CAPITALIZATION</w:t>
      </w:r>
    </w:p>
    <w:p>
      <w:pPr>
        <w:jc w:val="center"/>
        <w:ind w:right="40"/>
        <w:spacing w:after="0" w:line="187" w:lineRule="auto"/>
        <w:rPr>
          <w:sz w:val="20"/>
          <w:szCs w:val="20"/>
          <w:color w:val="auto"/>
        </w:rPr>
      </w:pPr>
      <w:r>
        <w:rPr>
          <w:rFonts w:ascii="Times New Roman" w:cs="Times New Roman" w:eastAsia="Times New Roman" w:hAnsi="Times New Roman"/>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7"/>
                <w:szCs w:val="17"/>
                <w:color w:val="auto"/>
              </w:rPr>
            </w:pPr>
          </w:p>
        </w:tc>
        <w:tc>
          <w:tcPr>
            <w:tcW w:w="1540" w:type="dxa"/>
            <w:vAlign w:val="bottom"/>
          </w:tcPr>
          <w:p>
            <w:pPr>
              <w:jc w:val="right"/>
              <w:ind w:right="371"/>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1"/>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$0.50 par value</w:t>
            </w:r>
          </w:p>
        </w:tc>
        <w:tc>
          <w:tcPr>
            <w:tcW w:w="262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138,975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138,297</w:t>
            </w:r>
          </w:p>
        </w:tc>
        <w:tc>
          <w:tcPr>
            <w:tcW w:w="0" w:type="dxa"/>
            <w:vAlign w:val="bottom"/>
          </w:tcPr>
          <w:p>
            <w:pPr>
              <w:spacing w:after="0"/>
              <w:rPr>
                <w:sz w:val="1"/>
                <w:szCs w:val="1"/>
                <w:color w:val="auto"/>
              </w:rPr>
            </w:pPr>
          </w:p>
        </w:tc>
      </w:tr>
      <w:tr>
        <w:trPr>
          <w:trHeight w:val="189"/>
        </w:trPr>
        <w:tc>
          <w:tcPr>
            <w:tcW w:w="48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Capital in excess of par value</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4,186,048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4,137,696</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2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1,943,876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1,706,675</w:t>
            </w:r>
          </w:p>
        </w:tc>
        <w:tc>
          <w:tcPr>
            <w:tcW w:w="0" w:type="dxa"/>
            <w:vAlign w:val="bottom"/>
          </w:tcPr>
          <w:p>
            <w:pPr>
              <w:spacing w:after="0"/>
              <w:rPr>
                <w:sz w:val="1"/>
                <w:szCs w:val="1"/>
                <w:color w:val="auto"/>
              </w:rPr>
            </w:pPr>
          </w:p>
        </w:tc>
      </w:tr>
      <w:tr>
        <w:trPr>
          <w:trHeight w:val="189"/>
        </w:trPr>
        <w:tc>
          <w:tcPr>
            <w:tcW w:w="48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Treasury stock, at cost</w:t>
            </w: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(87,965)</w:t>
            </w:r>
          </w:p>
        </w:tc>
        <w:tc>
          <w:tcPr>
            <w:tcW w:w="260" w:type="dxa"/>
            <w:vAlign w:val="bottom"/>
          </w:tcPr>
          <w:p>
            <w:pPr>
              <w:spacing w:after="0"/>
              <w:rPr>
                <w:sz w:val="16"/>
                <w:szCs w:val="16"/>
                <w:color w:val="auto"/>
              </w:rPr>
            </w:pPr>
          </w:p>
        </w:tc>
        <w:tc>
          <w:tcPr>
            <w:tcW w:w="1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(86,485)</w:t>
            </w:r>
          </w:p>
        </w:tc>
        <w:tc>
          <w:tcPr>
            <w:tcW w:w="0" w:type="dxa"/>
            <w:vAlign w:val="bottom"/>
          </w:tcPr>
          <w:p>
            <w:pPr>
              <w:spacing w:after="0"/>
              <w:rPr>
                <w:sz w:val="1"/>
                <w:szCs w:val="1"/>
                <w:color w:val="auto"/>
              </w:rPr>
            </w:pPr>
          </w:p>
        </w:tc>
      </w:tr>
      <w:tr>
        <w:trPr>
          <w:trHeight w:val="183"/>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2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6,180,934</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5,896,183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3420" w:type="dxa"/>
            <w:vAlign w:val="bottom"/>
            <w:gridSpan w:val="2"/>
          </w:tcPr>
          <w:p>
            <w:pPr>
              <w:jc w:val="center"/>
              <w:ind w:right="2000"/>
              <w:spacing w:after="0" w:line="203" w:lineRule="exact"/>
              <w:rPr>
                <w:sz w:val="20"/>
                <w:szCs w:val="20"/>
                <w:color w:val="auto"/>
              </w:rPr>
            </w:pPr>
            <w:r>
              <w:rPr>
                <w:rFonts w:ascii="Times New Roman" w:cs="Times New Roman" w:eastAsia="Times New Roman" w:hAnsi="Times New Roman"/>
                <w:sz w:val="18"/>
                <w:szCs w:val="18"/>
                <w:color w:val="auto"/>
                <w:w w:val="99"/>
              </w:rPr>
              <w:t>Interest Rate Range</w:t>
            </w:r>
          </w:p>
        </w:tc>
        <w:tc>
          <w:tcPr>
            <w:tcW w:w="2100" w:type="dxa"/>
            <w:vAlign w:val="bottom"/>
            <w:gridSpan w:val="2"/>
          </w:tcPr>
          <w:p>
            <w:pPr>
              <w:jc w:val="center"/>
              <w:ind w:right="580"/>
              <w:spacing w:after="0" w:line="203" w:lineRule="exact"/>
              <w:rPr>
                <w:sz w:val="20"/>
                <w:szCs w:val="20"/>
                <w:color w:val="auto"/>
              </w:rPr>
            </w:pPr>
            <w:r>
              <w:rPr>
                <w:rFonts w:ascii="Times New Roman" w:cs="Times New Roman" w:eastAsia="Times New Roman" w:hAnsi="Times New Roman"/>
                <w:sz w:val="18"/>
                <w:szCs w:val="18"/>
                <w:color w:val="auto"/>
                <w:w w:val="99"/>
              </w:rPr>
              <w:t>Maturity Date Range</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0.00% to 0.99%</w:t>
            </w:r>
          </w:p>
        </w:tc>
        <w:tc>
          <w:tcPr>
            <w:tcW w:w="20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2024 to 2053</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2,637</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2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1.00% to 1.99%</w:t>
            </w:r>
          </w:p>
        </w:tc>
        <w:tc>
          <w:tcPr>
            <w:tcW w:w="2100" w:type="dxa"/>
            <w:vAlign w:val="bottom"/>
            <w:gridSpan w:val="2"/>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2030 to 2046</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10,491</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2.00% to 2.99%</w:t>
            </w:r>
          </w:p>
        </w:tc>
        <w:tc>
          <w:tcPr>
            <w:tcW w:w="2100" w:type="dxa"/>
            <w:vAlign w:val="bottom"/>
            <w:gridSpan w:val="2"/>
            <w:shd w:val="clear" w:color="auto" w:fill="CCEEFF"/>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2024 to 2058</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206,662</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207,917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2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3.00% to 3.99%</w:t>
            </w:r>
          </w:p>
        </w:tc>
        <w:tc>
          <w:tcPr>
            <w:tcW w:w="2100" w:type="dxa"/>
            <w:vAlign w:val="bottom"/>
            <w:gridSpan w:val="2"/>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2024 to 2056</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1,258,624</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1,313,932</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4.00% to 4.99%</w:t>
            </w:r>
          </w:p>
        </w:tc>
        <w:tc>
          <w:tcPr>
            <w:tcW w:w="2100" w:type="dxa"/>
            <w:vAlign w:val="bottom"/>
            <w:gridSpan w:val="2"/>
            <w:shd w:val="clear" w:color="auto" w:fill="CCEEFF"/>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2024 to 2059</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1,241,248</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1,245,727</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2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5.00% to 5.99%</w:t>
            </w:r>
          </w:p>
        </w:tc>
        <w:tc>
          <w:tcPr>
            <w:tcW w:w="2100" w:type="dxa"/>
            <w:vAlign w:val="bottom"/>
            <w:gridSpan w:val="2"/>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2028 to 2061</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313,193</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312,745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6.00% to 6.99%</w:t>
            </w:r>
          </w:p>
        </w:tc>
        <w:tc>
          <w:tcPr>
            <w:tcW w:w="2100" w:type="dxa"/>
            <w:vAlign w:val="bottom"/>
            <w:gridSpan w:val="2"/>
            <w:shd w:val="clear" w:color="auto" w:fill="CCEEFF"/>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2026 to 2036</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3420" w:type="dxa"/>
            <w:vAlign w:val="bottom"/>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7.00% to 7.99%</w:t>
            </w:r>
          </w:p>
        </w:tc>
        <w:tc>
          <w:tcPr>
            <w:tcW w:w="2100" w:type="dxa"/>
            <w:vAlign w:val="bottom"/>
            <w:gridSpan w:val="2"/>
          </w:tcPr>
          <w:p>
            <w:pPr>
              <w:jc w:val="center"/>
              <w:ind w:right="560"/>
              <w:spacing w:after="0" w:line="189" w:lineRule="exact"/>
              <w:rPr>
                <w:sz w:val="20"/>
                <w:szCs w:val="20"/>
                <w:color w:val="auto"/>
              </w:rPr>
            </w:pPr>
            <w:r>
              <w:rPr>
                <w:rFonts w:ascii="Times New Roman" w:cs="Times New Roman" w:eastAsia="Times New Roman" w:hAnsi="Times New Roman"/>
                <w:sz w:val="18"/>
                <w:szCs w:val="18"/>
                <w:color w:val="auto"/>
                <w:w w:val="98"/>
              </w:rPr>
              <w:t>2025 to 2027</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27,947</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28,125</w:t>
            </w: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8.00% to 8.99%</w:t>
            </w:r>
          </w:p>
        </w:tc>
        <w:tc>
          <w:tcPr>
            <w:tcW w:w="15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CCEEFF"/>
            </w:tcBorders>
          </w:tcPr>
          <w:p>
            <w:pPr>
              <w:spacing w:after="0"/>
              <w:rPr>
                <w:sz w:val="16"/>
                <w:szCs w:val="16"/>
                <w:color w:val="auto"/>
              </w:rPr>
            </w:pPr>
          </w:p>
        </w:tc>
        <w:tc>
          <w:tcPr>
            <w:tcW w:w="3420" w:type="dxa"/>
            <w:vAlign w:val="bottom"/>
            <w:tcBorders>
              <w:bottom w:val="single" w:sz="8" w:color="CCEEFF"/>
            </w:tcBorders>
            <w:gridSpan w:val="2"/>
          </w:tcPr>
          <w:p>
            <w:pPr>
              <w:jc w:val="center"/>
              <w:ind w:right="1980"/>
              <w:spacing w:after="0" w:line="189" w:lineRule="exact"/>
              <w:rPr>
                <w:sz w:val="20"/>
                <w:szCs w:val="20"/>
                <w:color w:val="auto"/>
              </w:rPr>
            </w:pPr>
            <w:r>
              <w:rPr>
                <w:rFonts w:ascii="Times New Roman" w:cs="Times New Roman" w:eastAsia="Times New Roman" w:hAnsi="Times New Roman"/>
                <w:sz w:val="18"/>
                <w:szCs w:val="18"/>
                <w:color w:val="auto"/>
                <w:w w:val="99"/>
              </w:rPr>
              <w:t>9.00% to 9.99%</w:t>
            </w:r>
          </w:p>
        </w:tc>
        <w:tc>
          <w:tcPr>
            <w:tcW w:w="1520" w:type="dxa"/>
            <w:vAlign w:val="bottom"/>
            <w:tcBorders>
              <w:bottom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2026</w:t>
            </w:r>
          </w:p>
        </w:tc>
        <w:tc>
          <w:tcPr>
            <w:tcW w:w="5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3,104,266</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3,163,008</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Notes payable to bank under revolving credit agreement, variable rate, due 2027</w:t>
            </w: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159,000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720,000</w:t>
            </w:r>
          </w:p>
        </w:tc>
        <w:tc>
          <w:tcPr>
            <w:tcW w:w="0" w:type="dxa"/>
            <w:vAlign w:val="bottom"/>
          </w:tcPr>
          <w:p>
            <w:pPr>
              <w:spacing w:after="0"/>
              <w:rPr>
                <w:sz w:val="1"/>
                <w:szCs w:val="1"/>
                <w:color w:val="auto"/>
              </w:rPr>
            </w:pPr>
          </w:p>
        </w:tc>
      </w:tr>
      <w:tr>
        <w:trPr>
          <w:trHeight w:val="189"/>
        </w:trPr>
        <w:tc>
          <w:tcPr>
            <w:tcW w:w="4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Unsecured notes payable:</w:t>
            </w: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2.40% due 2031</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189"/>
        </w:trPr>
        <w:tc>
          <w:tcPr>
            <w:tcW w:w="46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2.704% due 2030</w:t>
            </w: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ranging from 3.01% to 3.59% due 2029 through 2050</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189"/>
        </w:trPr>
        <w:tc>
          <w:tcPr>
            <w:tcW w:w="46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4.276%, due 2049</w:t>
            </w: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4.80%, due 2027</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5.30%, due 2052</w:t>
            </w: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5.375%, due 2034</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Notes at 5.95%, due 2024 through 2034</w:t>
            </w:r>
          </w:p>
        </w:tc>
        <w:tc>
          <w:tcPr>
            <w:tcW w:w="15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183"/>
        </w:trPr>
        <w:tc>
          <w:tcPr>
            <w:tcW w:w="46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long-term debt</w:t>
            </w: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7,308,266</w:t>
            </w: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6,938,008</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29,218</w:t>
            </w:r>
          </w:p>
        </w:tc>
        <w:tc>
          <w:tcPr>
            <w:tcW w:w="2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67,415</w:t>
            </w:r>
          </w:p>
        </w:tc>
        <w:tc>
          <w:tcPr>
            <w:tcW w:w="0" w:type="dxa"/>
            <w:vAlign w:val="bottom"/>
          </w:tcPr>
          <w:p>
            <w:pPr>
              <w:spacing w:after="0"/>
              <w:rPr>
                <w:sz w:val="1"/>
                <w:szCs w:val="1"/>
                <w:color w:val="auto"/>
              </w:rPr>
            </w:pPr>
          </w:p>
        </w:tc>
      </w:tr>
      <w:tr>
        <w:trPr>
          <w:trHeight w:val="183"/>
        </w:trPr>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w:t>
            </w: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7,279,048</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6,870,593</w:t>
            </w:r>
          </w:p>
        </w:tc>
        <w:tc>
          <w:tcPr>
            <w:tcW w:w="0" w:type="dxa"/>
            <w:vAlign w:val="bottom"/>
          </w:tcPr>
          <w:p>
            <w:pPr>
              <w:spacing w:after="0"/>
              <w:rPr>
                <w:sz w:val="1"/>
                <w:szCs w:val="1"/>
                <w:color w:val="auto"/>
              </w:rPr>
            </w:pPr>
          </w:p>
        </w:tc>
      </w:tr>
      <w:tr>
        <w:trPr>
          <w:trHeight w:val="189"/>
        </w:trPr>
        <w:tc>
          <w:tcPr>
            <w:tcW w:w="4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debt issuance costs</w:t>
            </w:r>
          </w:p>
        </w:tc>
        <w:tc>
          <w:tcPr>
            <w:tcW w:w="1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48,880</w:t>
            </w:r>
          </w:p>
        </w:tc>
        <w:tc>
          <w:tcPr>
            <w:tcW w:w="2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44,508</w:t>
            </w: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gridSpan w:val="5"/>
          </w:tcPr>
          <w:p>
            <w:pPr>
              <w:spacing w:after="0" w:line="182" w:lineRule="exact"/>
              <w:rPr>
                <w:sz w:val="20"/>
                <w:szCs w:val="20"/>
                <w:color w:val="auto"/>
              </w:rPr>
            </w:pPr>
            <w:r>
              <w:rPr>
                <w:rFonts w:ascii="Times New Roman" w:cs="Times New Roman" w:eastAsia="Times New Roman" w:hAnsi="Times New Roman"/>
                <w:sz w:val="18"/>
                <w:szCs w:val="18"/>
                <w:color w:val="auto"/>
              </w:rPr>
              <w:t>Long-term debt, excluding current portion, net of debt issuance costs</w:t>
            </w:r>
          </w:p>
        </w:tc>
        <w:tc>
          <w:tcPr>
            <w:tcW w:w="4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7,230,168</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6,826,085</w:t>
            </w:r>
          </w:p>
        </w:tc>
        <w:tc>
          <w:tcPr>
            <w:tcW w:w="0" w:type="dxa"/>
            <w:vAlign w:val="bottom"/>
          </w:tcPr>
          <w:p>
            <w:pPr>
              <w:spacing w:after="0"/>
              <w:rPr>
                <w:sz w:val="1"/>
                <w:szCs w:val="1"/>
                <w:color w:val="auto"/>
              </w:rPr>
            </w:pPr>
          </w:p>
        </w:tc>
      </w:tr>
      <w:tr>
        <w:trPr>
          <w:trHeight w:val="183"/>
        </w:trPr>
        <w:tc>
          <w:tcPr>
            <w:tcW w:w="1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Total capitalization</w:t>
            </w:r>
          </w:p>
        </w:tc>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13,411,102</w:t>
            </w:r>
          </w:p>
        </w:tc>
        <w:tc>
          <w:tcPr>
            <w:tcW w:w="240" w:type="dxa"/>
            <w:vAlign w:val="bottom"/>
          </w:tcPr>
          <w:p>
            <w:pPr>
              <w:spacing w:after="0"/>
              <w:rPr>
                <w:sz w:val="15"/>
                <w:szCs w:val="15"/>
                <w:color w:val="auto"/>
              </w:rPr>
            </w:pPr>
          </w:p>
        </w:tc>
        <w:tc>
          <w:tcPr>
            <w:tcW w:w="500" w:type="dxa"/>
            <w:vAlign w:val="bottom"/>
            <w:tcBorders>
              <w:bottom w:val="single" w:sz="8" w:color="auto"/>
            </w:tcBorders>
          </w:tcPr>
          <w:p>
            <w:pPr>
              <w:jc w:val="right"/>
              <w:ind w:right="3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12,722,268</w:t>
            </w:r>
          </w:p>
        </w:tc>
        <w:tc>
          <w:tcPr>
            <w:tcW w:w="0" w:type="dxa"/>
            <w:vAlign w:val="bottom"/>
          </w:tcPr>
          <w:p>
            <w:pPr>
              <w:spacing w:after="0"/>
              <w:rPr>
                <w:sz w:val="1"/>
                <w:szCs w:val="1"/>
                <w:color w:val="auto"/>
              </w:rPr>
            </w:pPr>
          </w:p>
        </w:tc>
      </w:tr>
      <w:tr>
        <w:trPr>
          <w:trHeight w:val="20"/>
        </w:trPr>
        <w:tc>
          <w:tcPr>
            <w:tcW w:w="67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72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6"/>
        </w:trPr>
        <w:tc>
          <w:tcPr>
            <w:tcW w:w="6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120" w:type="dxa"/>
            <w:vAlign w:val="bottom"/>
          </w:tcPr>
          <w:p>
            <w:pPr>
              <w:spacing w:after="0"/>
              <w:rPr>
                <w:sz w:val="15"/>
                <w:szCs w:val="15"/>
                <w:color w:val="auto"/>
              </w:rPr>
            </w:pPr>
          </w:p>
        </w:tc>
        <w:tc>
          <w:tcPr>
            <w:tcW w:w="84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5"/>
                <w:szCs w:val="15"/>
                <w:color w:val="auto"/>
              </w:rPr>
            </w:pPr>
          </w:p>
        </w:tc>
        <w:tc>
          <w:tcPr>
            <w:tcW w:w="74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6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5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2023</w:t>
            </w: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138,297</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4,137,696</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1,706,675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(86,485)</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5,896,183</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265,772</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2024 ($0.3071 per share)</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declared ($0.3071 per share)</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(83,998)</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(83,998)</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(117,210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3,882</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(62,872 shares)</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(2,231)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(2,231)</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(160,694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(4,971 shares)</w:t>
            </w:r>
          </w:p>
        </w:tc>
        <w:tc>
          <w:tcPr>
            <w:tcW w:w="8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175</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1,049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73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1,122</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223</w:t>
            </w:r>
          </w:p>
        </w:tc>
      </w:tr>
      <w:tr>
        <w:trPr>
          <w:trHeight w:val="169"/>
        </w:trPr>
        <w:tc>
          <w:tcPr>
            <w:tcW w:w="65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2024</w:t>
            </w: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138,438</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4,142,610</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1,888,521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(88,442)</w:t>
            </w: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6,081,127</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75,385</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2024 ($0.3071 per share)</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(108,544 shares)</w:t>
            </w:r>
          </w:p>
        </w:tc>
        <w:tc>
          <w:tcPr>
            <w:tcW w:w="8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3,736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3,790</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(30 shares)</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(23,142 shares)</w:t>
            </w:r>
          </w:p>
        </w:tc>
        <w:tc>
          <w:tcPr>
            <w:tcW w:w="8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(7,117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244</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248</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2,751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2,562</w:t>
            </w:r>
          </w:p>
        </w:tc>
      </w:tr>
      <w:tr>
        <w:trPr>
          <w:trHeight w:val="176"/>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(121)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245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124</w:t>
            </w:r>
          </w:p>
        </w:tc>
      </w:tr>
      <w:tr>
        <w:trPr>
          <w:trHeight w:val="169"/>
        </w:trPr>
        <w:tc>
          <w:tcPr>
            <w:tcW w:w="6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2024</w:t>
            </w: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138,508</w:t>
            </w: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4,149,208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1,963,716</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(88,198)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6,163,234</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69,402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69,402</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September 1, 2024 ($0.3255 per share)</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(89,081)</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(89,081)</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(106,063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3,878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3,931</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(823,595 shares)</w:t>
            </w:r>
          </w:p>
        </w:tc>
        <w:tc>
          <w:tcPr>
            <w:tcW w:w="80" w:type="dxa"/>
            <w:vAlign w:val="bottom"/>
          </w:tcPr>
          <w:p>
            <w:pPr>
              <w:spacing w:after="0"/>
              <w:rPr>
                <w:sz w:val="15"/>
                <w:szCs w:val="15"/>
                <w:color w:val="auto"/>
              </w:rPr>
            </w:pPr>
          </w:p>
        </w:tc>
        <w:tc>
          <w:tcPr>
            <w:tcW w:w="7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31,671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32,083</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(73 shares)</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r>
      <w:tr>
        <w:trPr>
          <w:trHeight w:val="176"/>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(577 shares)</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(3,295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115</w:t>
            </w:r>
          </w:p>
        </w:tc>
      </w:tr>
      <w:tr>
        <w:trPr>
          <w:trHeight w:val="175"/>
        </w:trPr>
        <w:tc>
          <w:tcPr>
            <w:tcW w:w="6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Pr>
          <w:p>
            <w:pPr>
              <w:spacing w:after="0"/>
              <w:rPr>
                <w:sz w:val="15"/>
                <w:szCs w:val="15"/>
                <w:color w:val="auto"/>
              </w:rPr>
            </w:pPr>
          </w:p>
        </w:tc>
        <w:tc>
          <w:tcPr>
            <w:tcW w:w="76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1,525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5"/>
                <w:szCs w:val="15"/>
                <w:color w:val="auto"/>
              </w:rPr>
            </w:pPr>
          </w:p>
        </w:tc>
        <w:tc>
          <w:tcPr>
            <w:tcW w:w="7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1,364</w:t>
            </w:r>
          </w:p>
        </w:tc>
      </w:tr>
      <w:tr>
        <w:trPr>
          <w:trHeight w:val="175"/>
        </w:trPr>
        <w:tc>
          <w:tcPr>
            <w:tcW w:w="65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(347)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(112)</w:t>
            </w:r>
          </w:p>
        </w:tc>
      </w:tr>
      <w:tr>
        <w:trPr>
          <w:trHeight w:val="169"/>
        </w:trPr>
        <w:tc>
          <w:tcPr>
            <w:tcW w:w="6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September 30, 2024</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138,975</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4,186,048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1,943,876</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(87,965)</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6,180,934</w:t>
            </w:r>
          </w:p>
        </w:tc>
      </w:tr>
      <w:tr>
        <w:trPr>
          <w:trHeight w:val="20"/>
        </w:trPr>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CONDENSED CONSOLIDATED STATEMENTS OF EQUITY</w:t>
      </w:r>
    </w:p>
    <w:p>
      <w:pPr>
        <w:jc w:val="center"/>
        <w:spacing w:after="0" w:line="192"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Capital in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5"/>
        </w:trPr>
        <w:tc>
          <w:tcPr>
            <w:tcW w:w="6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rPr>
              <w:t>Excess of</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Retained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w w:val="98"/>
              </w:rPr>
              <w:t>Treasury</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Par Value</w:t>
            </w:r>
          </w:p>
        </w:tc>
        <w:tc>
          <w:tcPr>
            <w:tcW w:w="1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Stock</w:t>
            </w:r>
          </w:p>
        </w:tc>
        <w:tc>
          <w:tcPr>
            <w:tcW w:w="2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133,486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3,793,262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1,534,331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(83,693)</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5,377,386</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191,434</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March 1, 2023 ($0.287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2023 declared ($0.287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(75,876)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(75,876)</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(97,315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4,117</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(399,128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19,094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19,294</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(88,051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(3,911)</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(3,911)</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(222,782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(2,917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103</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3,143</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253</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 at March 31, 2023</w:t>
            </w: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133,848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3,819,804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1,649,621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(87,331)</w:t>
            </w: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5,515,942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91,268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91,268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Dividends of June 1, 2023 ($0.287 per share)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(102,676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3,952</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(971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(42)</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(17,054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(3,026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106</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3,309</w:t>
            </w:r>
          </w:p>
        </w:tc>
      </w:tr>
      <w:tr>
        <w:trPr>
          <w:trHeight w:val="176"/>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281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164</w:t>
            </w:r>
          </w:p>
        </w:tc>
      </w:tr>
      <w:tr>
        <w:trPr>
          <w:trHeight w:val="169"/>
        </w:trPr>
        <w:tc>
          <w:tcPr>
            <w:tcW w:w="64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June 30, 2023</w:t>
            </w: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133,909</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3,827,199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1,740,682</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(87,092)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5,614,698</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80,076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80,076</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Dividends of September 1, 2023 ($0.3071 per share)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(81,230)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(81,230)</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under dividend reinvestment plan (113,043 shares)</w:t>
            </w:r>
          </w:p>
        </w:tc>
        <w:tc>
          <w:tcPr>
            <w:tcW w:w="1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3,992</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Issuance of common stock from at-the-market sale agreements (8,539,711 shares)</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4,270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299,419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303,689</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 of stock (48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r>
      <w:tr>
        <w:trPr>
          <w:trHeight w:val="176"/>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Equity compensation plan (133 shares)</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Exercise of stock options (610 shares)</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w:t>
            </w:r>
          </w:p>
        </w:tc>
      </w:tr>
      <w:tr>
        <w:trPr>
          <w:trHeight w:val="175"/>
        </w:trPr>
        <w:tc>
          <w:tcPr>
            <w:tcW w:w="6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(257)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1,710</w:t>
            </w:r>
          </w:p>
        </w:tc>
      </w:tr>
      <w:tr>
        <w:trPr>
          <w:trHeight w:val="175"/>
        </w:trPr>
        <w:tc>
          <w:tcPr>
            <w:tcW w:w="64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5"/>
                <w:szCs w:val="15"/>
                <w:color w:val="auto"/>
              </w:rPr>
            </w:pPr>
          </w:p>
        </w:tc>
        <w:tc>
          <w:tcPr>
            <w:tcW w:w="78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(707)</w:t>
            </w:r>
          </w:p>
        </w:tc>
        <w:tc>
          <w:tcPr>
            <w:tcW w:w="140" w:type="dxa"/>
            <w:vAlign w:val="bottom"/>
          </w:tcPr>
          <w:p>
            <w:pPr>
              <w:spacing w:after="0"/>
              <w:rPr>
                <w:sz w:val="15"/>
                <w:szCs w:val="15"/>
                <w:color w:val="auto"/>
              </w:rPr>
            </w:pPr>
          </w:p>
        </w:tc>
        <w:tc>
          <w:tcPr>
            <w:tcW w:w="840" w:type="dxa"/>
            <w:vAlign w:val="bottom"/>
            <w:gridSpan w:val="2"/>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(396)</w:t>
            </w:r>
          </w:p>
        </w:tc>
      </w:tr>
      <w:tr>
        <w:trPr>
          <w:trHeight w:val="169"/>
        </w:trPr>
        <w:tc>
          <w:tcPr>
            <w:tcW w:w="64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 at September 30, 2023</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138,235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4,131,834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1,739,271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(86,783)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5,922,557</w:t>
            </w: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Click or tap here to enter text.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CONDENSED CONSOLIDATED STATEMENTS OF CASH FLOW</w:t>
      </w:r>
    </w:p>
    <w:p>
      <w:pPr>
        <w:ind w:left="4540"/>
        <w:spacing w:after="0" w:line="187" w:lineRule="auto"/>
        <w:rPr>
          <w:sz w:val="20"/>
          <w:szCs w:val="20"/>
          <w:color w:val="auto"/>
        </w:rPr>
      </w:pPr>
      <w:r>
        <w:rPr>
          <w:rFonts w:ascii="Times New Roman" w:cs="Times New Roman" w:eastAsia="Times New Roman" w:hAnsi="Times New Roman"/>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line="169"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410,559</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362,778</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273,051</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255,490</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1,569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(40,541)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15,818</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17,021</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5,363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8,929</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(92,067)</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(9,543)</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265,922</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40,703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Pension and other postretirement benefits contributions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(9,394)</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(20,343)</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(13,549)</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(39,237)</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operating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622,510</w:t>
            </w:r>
          </w:p>
        </w:tc>
        <w:tc>
          <w:tcPr>
            <w:tcW w:w="1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804,569</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8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Property, plant and equipment additions, including the debt component of allowance for funds used during construction of</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$5,381 and $4,502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(932,498)</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(874,491)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Acquisitions of utility systems,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(602)</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(45,303)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proceeds from the sale of utility systems and other assets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167,274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(218)</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(766,044)</w:t>
            </w:r>
          </w:p>
        </w:tc>
        <w:tc>
          <w:tcPr>
            <w:tcW w:w="1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(918,709)</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Customers' advances and contributions in aid of construction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10,245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13,151</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customers' advances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(4,121)</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(5,222)</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Net repayments of short-term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(17,106)</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(96,668)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1,394,411</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681,203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Repayments of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(1,024,722)</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(570,634)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Change in cash overdraft position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3,437</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(9,006)</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under dividend reinvestment plan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11,603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12,061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issuance of common stock from at-the-market sale agreement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32,083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322,983</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Proceeds from exercised stock options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538</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(2,234)</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(3,955)</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Dividends paid on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(257,011)</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(232,916)</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235</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Net cash flows from financing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147,358</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111,247</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Net change in cash and cash equivalents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3,824</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4,612</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11,398</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1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8,436</w:t>
            </w: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59"/>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8,505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1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121,371</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59"/>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106,150</w:t>
            </w:r>
          </w:p>
        </w:tc>
        <w:tc>
          <w:tcPr>
            <w:tcW w:w="0" w:type="dxa"/>
            <w:vAlign w:val="bottom"/>
          </w:tcPr>
          <w:p>
            <w:pPr>
              <w:spacing w:after="0"/>
              <w:rPr>
                <w:sz w:val="1"/>
                <w:szCs w:val="1"/>
                <w:color w:val="auto"/>
              </w:rPr>
            </w:pPr>
          </w:p>
        </w:tc>
      </w:tr>
      <w:tr>
        <w:trPr>
          <w:trHeight w:val="210"/>
        </w:trPr>
        <w:tc>
          <w:tcPr>
            <w:tcW w:w="8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utility property contributions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36,913</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226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 </w:t>
      </w:r>
      <w:r>
        <w:rPr>
          <w:rFonts w:ascii="Times New Roman" w:cs="Times New Roman" w:eastAsia="Times New Roman" w:hAnsi="Times New Roman"/>
          <w:sz w:val="22"/>
          <w:szCs w:val="22"/>
          <w:b w:val="1"/>
          <w:bCs w:val="1"/>
          <w:i w:val="1"/>
          <w:iCs w:val="1"/>
          <w:color w:val="auto"/>
        </w:rPr>
        <w:t>Basis of Presentation</w:t>
      </w:r>
    </w:p>
    <w:p>
      <w:pPr>
        <w:spacing w:after="0" w:line="19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The accompanying unaudited condensed consolidated balance sheets and statements of capitalization of Essential Utilities, Inc. and subsidiaries (collectively, the “Company”, “we”, “us” or “our”) at September 30, 2024, the unaudited condensed consolidated statements of operations and comprehensive income for the three and nine months ended September 30, 2024, and the unaudited condensed consolidated statements of cash flow and of equity for the nine months ended September 30, 2024 and 2023,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2023. Interim results are not necessarily indicative of results for a full year. In the opinion of management, all adjustments, consisting of only recurring accruals, which are necessary to present a fair statement of its condensed consolidated balance sheets, condensed consolidated statements of capitalization, condensed consolidated statements of equity, condensed consolidated statements of operations and comprehensive income, and condensed consolidated statements of cash flow for the periods presented, have been made.</w:t>
      </w:r>
    </w:p>
    <w:p>
      <w:pPr>
        <w:spacing w:after="0" w:line="18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1"/>
          <w:szCs w:val="21"/>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condensed consolidated balance sheets, the revenues and expenses in its condensed consolidated statements of operations and comprehensive income, and the information that is contained in its summary of significant accounting policies and notes to condensed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volatility of interest rates. As these continue to evolve, future events and effects related to these conditions cannot be determined with precision. Accordingly, actual amounts or future results can differ materially from those estimates that the Company includes currently in its condensed consolidated financial statements, summary of significant accounting policies, and notes.</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There have been no changes to the summary of significant accounting policies previously identified in the Company’s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 </w:t>
      </w:r>
      <w:r>
        <w:rPr>
          <w:rFonts w:ascii="Times New Roman" w:cs="Times New Roman" w:eastAsia="Times New Roman" w:hAnsi="Times New Roman"/>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presents our revenues disaggregated by major source and customer class: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color w:val="auto"/>
              </w:rPr>
              <w:t>Three Months Ended</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color w:val="auto"/>
              </w:rPr>
              <w:t>September 30, 2024</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September 30, 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30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11"/>
                <w:szCs w:val="11"/>
                <w:color w:val="auto"/>
              </w:rPr>
            </w:pPr>
          </w:p>
        </w:tc>
        <w:tc>
          <w:tcPr>
            <w:tcW w:w="9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Revenues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Revenues</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3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182,616</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37,450</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36,096</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46,501</w:t>
            </w:r>
          </w:p>
        </w:tc>
        <w:tc>
          <w:tcPr>
            <w:tcW w:w="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9,838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9,334</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56"/>
        </w:trPr>
        <w:tc>
          <w:tcPr>
            <w:tcW w:w="26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279,241</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51,722</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96,374</w:t>
            </w: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2,677</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258,367</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48,819</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94,798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2,898</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280,023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51,777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96,731</w:t>
            </w: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6,724</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258,801</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48,892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94,798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8,764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color w:val="auto"/>
              </w:rPr>
              <w:t>Nine Months Ended</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Nine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color w:val="auto"/>
              </w:rPr>
              <w:t>September 30, 2024</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color w:val="auto"/>
              </w:rPr>
              <w:t>September 30, 2023</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3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right"/>
              <w:ind w:right="30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11"/>
                <w:szCs w:val="11"/>
                <w:color w:val="auto"/>
              </w:rPr>
            </w:pPr>
          </w:p>
        </w:tc>
        <w:tc>
          <w:tcPr>
            <w:tcW w:w="92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Water</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w w:val="99"/>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Other Revenues</w:t>
            </w:r>
          </w:p>
        </w:tc>
        <w:tc>
          <w:tcPr>
            <w:tcW w:w="0" w:type="dxa"/>
            <w:vAlign w:val="bottom"/>
          </w:tcPr>
          <w:p>
            <w:pPr>
              <w:spacing w:after="0"/>
              <w:rPr>
                <w:sz w:val="1"/>
                <w:szCs w:val="1"/>
                <w:color w:val="auto"/>
              </w:rPr>
            </w:pPr>
          </w:p>
        </w:tc>
      </w:tr>
      <w:tr>
        <w:trPr>
          <w:trHeight w:val="171"/>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Revenues from contracts with customers: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Revenues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Revenues</w:t>
            </w:r>
          </w:p>
        </w:tc>
        <w:tc>
          <w:tcPr>
            <w:tcW w:w="11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Residential</w:t>
            </w:r>
          </w:p>
        </w:tc>
        <w:tc>
          <w:tcPr>
            <w:tcW w:w="3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499,859</w:t>
            </w:r>
          </w:p>
        </w:tc>
        <w:tc>
          <w:tcPr>
            <w:tcW w:w="4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109,097</w:t>
            </w:r>
          </w:p>
        </w:tc>
        <w:tc>
          <w:tcPr>
            <w:tcW w:w="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326,921</w:t>
            </w:r>
          </w:p>
        </w:tc>
        <w:tc>
          <w:tcPr>
            <w:tcW w:w="14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487,704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103,632</w:t>
            </w:r>
          </w:p>
        </w:tc>
        <w:tc>
          <w:tcPr>
            <w:tcW w:w="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415,207</w:t>
            </w:r>
          </w:p>
        </w:tc>
        <w:tc>
          <w:tcPr>
            <w:tcW w:w="60" w:type="dxa"/>
            <w:vAlign w:val="bottom"/>
          </w:tcPr>
          <w:p>
            <w:pPr>
              <w:spacing w:after="0"/>
              <w:rPr>
                <w:sz w:val="16"/>
                <w:szCs w:val="16"/>
                <w:color w:val="auto"/>
              </w:rPr>
            </w:pPr>
          </w:p>
        </w:tc>
        <w:tc>
          <w:tcPr>
            <w:tcW w:w="3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140,110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66,417</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137,427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Fire protection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Industrial</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26,527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Gas transportation &amp; storage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133,458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129,151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water</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wastewater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utility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55"/>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Revenues from contracts with customers</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757,420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148,651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547,757</w:t>
            </w: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8,389</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717,819</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140,153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673,655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Alternative revenue program</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Other and eliminations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27,766</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759,882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148,579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549,250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24,019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719,422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140,435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675,076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39,472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3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3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 </w:t>
      </w:r>
      <w:r>
        <w:rPr>
          <w:rFonts w:ascii="Times New Roman" w:cs="Times New Roman" w:eastAsia="Times New Roman" w:hAnsi="Times New Roman"/>
          <w:sz w:val="22"/>
          <w:szCs w:val="22"/>
          <w:b w:val="1"/>
          <w:bCs w:val="1"/>
          <w:i w:val="1"/>
          <w:iCs w:val="1"/>
          <w:color w:val="auto"/>
        </w:rPr>
        <w:t>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Completed</w:t>
      </w:r>
    </w:p>
    <w:p>
      <w:pPr>
        <w:spacing w:after="0" w:line="226"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In October 2024, the Company acquired wastewater utility assets in Morgan County, Indiana, which serves approximately 100 customers for $500.</w:t>
      </w:r>
    </w:p>
    <w:p>
      <w:pPr>
        <w:spacing w:after="0" w:line="1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 May 2024, the Company acquired the wastewater utility assets of Westfield HOA, which serves approximately 200 customers within Westfield Homeowners Subdivision in Glenview, Illinois for a cash purchase price of $67.</w:t>
      </w:r>
    </w:p>
    <w:p>
      <w:pPr>
        <w:spacing w:after="0" w:line="10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Additionally, in July 2023, the Company completed their acquisition of a portion of the water and wastewater utility assets of the Village of Frankfort, an Illinois municipality, which serves approximately 1,500 customers for $1,424.</w:t>
      </w:r>
    </w:p>
    <w:p>
      <w:pPr>
        <w:spacing w:after="0" w:line="192"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22"/>
          <w:szCs w:val="22"/>
          <w:color w:val="auto"/>
        </w:rPr>
        <w:t>In June 2023, the Company acquired the wastewater utility assets of Union Rome, Ohio, which serves approximately 4,300 customers for a cash purchase price of $25,547.</w:t>
      </w:r>
    </w:p>
    <w:p>
      <w:pPr>
        <w:spacing w:after="0" w:line="118"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In March 2023, the Company acquired the North Heidelberg Sewer Company in Berks County, Pennsylvania, which serves approximately 300 customer connections for a cash purchase price of $136.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price allocation for these acquisitions consisted primarily of property, plant and equipment.</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pro forma effect of the utility systems acquired is not material either individually or collectively to the Company’s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Water and Wastewater Utility Acquisitions – Pending Completion</w:t>
      </w:r>
    </w:p>
    <w:p>
      <w:pPr>
        <w:spacing w:after="0" w:line="226"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In October 2024, the Company entered into a purchase agreement to acquire Integra Water Texas, LLC’s wastewater system assets in Bastrop County, Texas, which serves approximately 1,100 customers for $4,400.</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August 2024, the Company entered into a purchase agreement to acquire the Village of Midvale’s water system in Ohio, which serves approximately 900 customers for $2,950.</w:t>
      </w:r>
    </w:p>
    <w:p>
      <w:pPr>
        <w:spacing w:after="0" w:line="158"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In June 2024, the Company entered into a purchase agreement to acquire private water and wastewater utility assets in Harris County, Texas, which serves approximately 400 equivalent retail customers for $1,125.</w:t>
      </w:r>
    </w:p>
    <w:p>
      <w:pPr>
        <w:spacing w:after="0" w:line="158" w:lineRule="exact"/>
        <w:rPr>
          <w:sz w:val="20"/>
          <w:szCs w:val="20"/>
          <w:color w:val="auto"/>
        </w:rPr>
      </w:pPr>
    </w:p>
    <w:p>
      <w:pPr>
        <w:jc w:val="both"/>
        <w:ind w:right="260"/>
        <w:spacing w:after="0" w:line="229" w:lineRule="auto"/>
        <w:rPr>
          <w:sz w:val="20"/>
          <w:szCs w:val="20"/>
          <w:color w:val="auto"/>
        </w:rPr>
      </w:pPr>
      <w:r>
        <w:rPr>
          <w:rFonts w:ascii="Times New Roman" w:cs="Times New Roman" w:eastAsia="Times New Roman" w:hAnsi="Times New Roman"/>
          <w:sz w:val="22"/>
          <w:szCs w:val="22"/>
          <w:color w:val="auto"/>
        </w:rPr>
        <w:t>In December 2023, the Company entered into a purchase agreement to acquire North Versailles Township Sanitary Authority’s wastewater assets in Pennsylvania which serves approximately 4,400 customers for between $25,000 and $30,000. In August 2024, the purchase agreement was terminated mutually by the Company and the Authority.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99"/>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ind w:right="-9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18"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color w:val="auto"/>
        </w:rPr>
        <w:t>In October 2021, the Company entered into a purchase agreement to acquire the wastewater utility assets of the City of Beaver Falls, Pennsylvania which consists of approximately 7,600 equivalent retail customers for $41,250.</w:t>
      </w:r>
    </w:p>
    <w:p>
      <w:pPr>
        <w:spacing w:after="0" w:line="172"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2025. Closing for our utility acquisitions are subject to the timing of the respective regulatory approval processes.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East Whiteland Purchase Agreement</w:t>
      </w:r>
    </w:p>
    <w:p>
      <w:pPr>
        <w:spacing w:after="0" w:line="22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 2024, the Pennsylvania Supreme Court granted the Petitions for Allowance of Appeal of the Pennsylvania Public Utility Commission, the Company, and East Whiteland Township. The Company, the Pennsylvania Public Utility Commission, East Whiteland Township, and several Amicus Curiae filed Initial Briefs on September 26, 2024. The OCA filed a Joint Motion to Modify the Briefing Schedule on October 1, 2024 to allow additional time for the OCA’s brief and reply briefs from the other parties. Management believes the final resolution of this matter will not have a material adverse effect on the Company’s financial position, results of operations,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DELCORA Purchase Agreement</w:t>
      </w:r>
    </w:p>
    <w:p>
      <w:pPr>
        <w:spacing w:after="0" w:line="224"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22"/>
          <w:szCs w:val="22"/>
          <w:color w:val="auto"/>
        </w:rPr>
        <w:t>In 2019, the Company entered into a purchase agreement to acquire the wastewater utility system assets of the Delaware County Regional Water Quality Control Authority (“DELCORA”), which consists of</w:t>
      </w:r>
    </w:p>
    <w:p>
      <w:pPr>
        <w:jc w:val="center"/>
        <w:ind w:right="-9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approximately 16,000 customers, or the equivalent of 198,000 retail customers, in 42 municipalities in Southeast Pennsylvania for $276,500. There are several legal proceedings involving the Company as a result of the purchase agreement that are on-going. For additional information, refer to the Company’s Annual Report on Form 10-K for the year ended December 31, 2023.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regulatory approval and on-going litigation.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w:t>
      </w:r>
      <w:r>
        <w:rPr>
          <w:rFonts w:ascii="Times New Roman" w:cs="Times New Roman" w:eastAsia="Times New Roman" w:hAnsi="Times New Roman"/>
          <w:sz w:val="22"/>
          <w:szCs w:val="22"/>
          <w:b w:val="1"/>
          <w:bCs w:val="1"/>
          <w:i w:val="1"/>
          <w:iCs w:val="1"/>
          <w:color w:val="auto"/>
        </w:rPr>
        <w:t>Dispositions</w:t>
      </w:r>
    </w:p>
    <w:p>
      <w:pPr>
        <w:spacing w:after="0" w:line="212"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2"/>
          <w:szCs w:val="22"/>
          <w:color w:val="auto"/>
        </w:rPr>
        <w:t>On October 1, 2023, the Company sold its regulated natural gas utility assets in West Virginia, which served approximately 13,000 customers or about two percent of the Company’s regulated natural gas customers (“Peoples Gas West Virginia”). Initially the sale closed for an estimated purchase price of $39,965, subject to working capital and other adjustments. In March 2024, the Company received an additional $1,213 from the buyer. The additional proceeds were based on finalizing closing working capital and other adjustments, resulting in a final purchase price of $41,178 and a loss of an inconsequential amount. The sale of Peoples Gas West Virginia had no major effect on the Company’s operations and did not meet the requirements to be classified as discontinued operations.</w:t>
      </w:r>
    </w:p>
    <w:p>
      <w:pPr>
        <w:spacing w:after="0" w:line="18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In October 2023, the Company entered into an agreement to sell its interest in three non-utility local microgrid and distributed energy projects for $165,000. As of December 31, 2023, balances associated with these projects of $63,182 were included in prepayments and other current assets in the condensed consolidated balance sheets. The sale was completed in January 2024, and the Company recognized a gain of $91,236 during the first quarter of 2024 which is included in other expense (income) in the accompanying condensed consolidated statement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 </w:t>
      </w:r>
      <w:r>
        <w:rPr>
          <w:rFonts w:ascii="Times New Roman" w:cs="Times New Roman" w:eastAsia="Times New Roman" w:hAnsi="Times New Roman"/>
          <w:sz w:val="22"/>
          <w:szCs w:val="22"/>
          <w:b w:val="1"/>
          <w:bCs w:val="1"/>
          <w:i w:val="1"/>
          <w:iCs w:val="1"/>
          <w:color w:val="auto"/>
        </w:rPr>
        <w:t>Goodwill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changes in the Company’s goodwill, by business segment: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Regulated Natural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548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Regulated Water</w:t>
            </w:r>
          </w:p>
        </w:tc>
        <w:tc>
          <w:tcPr>
            <w:tcW w:w="3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Gas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Consolidated</w:t>
            </w:r>
          </w:p>
        </w:tc>
      </w:tr>
      <w:tr>
        <w:trPr>
          <w:trHeight w:val="183"/>
        </w:trPr>
        <w:tc>
          <w:tcPr>
            <w:tcW w:w="54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tcBorders>
              <w:top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58,450</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2,340,738</w:t>
            </w:r>
          </w:p>
        </w:tc>
      </w:tr>
      <w:tr>
        <w:trPr>
          <w:trHeight w:val="189"/>
        </w:trPr>
        <w:tc>
          <w:tcPr>
            <w:tcW w:w="54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Reclassification to utility plant acquisition adjustment</w:t>
            </w:r>
          </w:p>
        </w:tc>
        <w:tc>
          <w:tcPr>
            <w:tcW w:w="420" w:type="dxa"/>
            <w:vAlign w:val="bottom"/>
          </w:tcPr>
          <w:p>
            <w:pPr>
              <w:spacing w:after="0"/>
              <w:rPr>
                <w:sz w:val="16"/>
                <w:szCs w:val="16"/>
                <w:color w:val="auto"/>
              </w:rPr>
            </w:pPr>
          </w:p>
        </w:tc>
        <w:tc>
          <w:tcPr>
            <w:tcW w:w="11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r>
      <w:tr>
        <w:trPr>
          <w:trHeight w:val="183"/>
        </w:trPr>
        <w:tc>
          <w:tcPr>
            <w:tcW w:w="5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2024</w:t>
            </w:r>
          </w:p>
        </w:tc>
        <w:tc>
          <w:tcPr>
            <w:tcW w:w="420" w:type="dxa"/>
            <w:vAlign w:val="bottom"/>
            <w:tcBorders>
              <w:top w:val="single" w:sz="8" w:color="auto"/>
              <w:bottom w:val="single" w:sz="8" w:color="auto"/>
            </w:tcBorders>
            <w:shd w:val="clear" w:color="auto" w:fill="CCEEFF"/>
          </w:tcPr>
          <w:p>
            <w:pPr>
              <w:jc w:val="right"/>
              <w:ind w:right="254"/>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58,431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2,277,447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2,340,719</w:t>
            </w: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38" w:lineRule="auto"/>
        <w:rPr>
          <w:sz w:val="20"/>
          <w:szCs w:val="20"/>
          <w:color w:val="auto"/>
        </w:rPr>
      </w:pPr>
      <w:r>
        <w:rPr>
          <w:rFonts w:ascii="Times New Roman" w:cs="Times New Roman" w:eastAsia="Times New Roman" w:hAnsi="Times New Roman"/>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 </w:t>
      </w:r>
      <w:r>
        <w:rPr>
          <w:rFonts w:ascii="Times New Roman" w:cs="Times New Roman" w:eastAsia="Times New Roman" w:hAnsi="Times New Roman"/>
          <w:sz w:val="22"/>
          <w:szCs w:val="22"/>
          <w:b w:val="1"/>
          <w:bCs w:val="1"/>
          <w:i w:val="1"/>
          <w:iCs w:val="1"/>
          <w:color w:val="auto"/>
        </w:rPr>
        <w:t>Capitalization</w:t>
      </w:r>
    </w:p>
    <w:p>
      <w:pPr>
        <w:spacing w:after="0" w:line="212"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At-the-Market Offering</w:t>
      </w:r>
    </w:p>
    <w:p>
      <w:pPr>
        <w:spacing w:after="0" w:line="21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On August 13, 2024, we filed a prospectus supplement under the 2024 universal shelf registration statement relating to a new at-the-market equity sales program (“ATM”), under which we may issue and sell shares of our common stock up to an aggregate offering price of $1,000,000 (“2024 ATM”). This 2024 ATM replaced our previous ATM filed on October 14, 2022 (“2022 ATM”).</w:t>
      </w:r>
    </w:p>
    <w:p>
      <w:pPr>
        <w:spacing w:after="0" w:line="19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22"/>
          <w:szCs w:val="22"/>
          <w:color w:val="auto"/>
        </w:rPr>
        <w:t>During the three and nine months ended September 30, 2024, we issued 823,595 shares of common stock for net proceeds of approximately $32,000 under the 2024 ATM. As of September 30, 2024, the 2024 ATM had approximately $968,000 of equity available for issuance. As of December 31, 2023, the Company had issued 10,260,833 shares of common stock for net proceeds of $386,023 under the 2022 ATM. There were no common stock sales under the 2022 ATM in 2024. The Company used the net proceeds from the sales of shares through the 2022 and 2024 ATMs for working capital, capital expenditures, water and wastewater utility acquisitions, and repaying a portion of outstanding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Long-term Debt and Loans Payable</w:t>
      </w:r>
    </w:p>
    <w:p>
      <w:pPr>
        <w:spacing w:after="0" w:line="22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color w:val="auto"/>
        </w:rPr>
        <w:t>On June 12, 2024, Aqua Pennsylvania and Peoples Natural Gas Companies amended the terms of their respective $100,000 and $300,000, 364-day revolving credit agreements, as follows: (1) extended the maturity dates to June 10, 2025; and (2) revised the interest rate index from the Bloomberg Short-Term Bank Yield Index (BSBY) to the Secured Overnight Financing Rate (SOFR).</w:t>
      </w:r>
    </w:p>
    <w:p>
      <w:pPr>
        <w:spacing w:after="0" w:line="16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August 15, 2024, the Company issued $500,000 of senior notes, less expenses of $3,015, due in 2027, with an interest rate of 4.80%. On January 8, 2024, the Company issued $500,000 of senior notes, less expenses of $4,610, due in 2034, with an interest rate of 5.375%. The Company used the net proceeds from the issuance of these notes (1) to repay a portion of the borrowings under the Company’s existing five year unsecured revolving credit facility, and (2) for general corporate purposes.</w:t>
      </w:r>
    </w:p>
    <w:p>
      <w:pPr>
        <w:spacing w:after="0" w:line="179"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1"/>
          <w:szCs w:val="21"/>
          <w:color w:val="auto"/>
        </w:rPr>
        <w:t>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bonds were used to repay existing indebtedness and for general corporate purposes.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 </w:t>
      </w:r>
      <w:r>
        <w:rPr>
          <w:rFonts w:ascii="Times New Roman" w:cs="Times New Roman" w:eastAsia="Times New Roman" w:hAnsi="Times New Roman"/>
          <w:sz w:val="22"/>
          <w:szCs w:val="22"/>
          <w:b w:val="1"/>
          <w:bCs w:val="1"/>
          <w:i w:val="1"/>
          <w:iCs w:val="1"/>
          <w:color w:val="auto"/>
        </w:rPr>
        <w:t>Financial Instruments</w:t>
      </w:r>
    </w:p>
    <w:p>
      <w:pPr>
        <w:spacing w:after="0" w:line="212"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22"/>
          <w:szCs w:val="22"/>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nine months ended September 30, 2024 and 2023.</w:t>
      </w:r>
    </w:p>
    <w:p>
      <w:pPr>
        <w:spacing w:after="0" w:line="17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color w:val="auto"/>
        </w:rPr>
        <w:t>The fair value of loans payable is determined based on its carrying amount and utilizing Level 1 methods and assumptions. As of September 30, 2024 and December 31, 2023, the carrying amount of the Company’s loans payable was $143,017 and $160,123, respectively, which equates to their estimated fair value. The fair value of cash and cash equivalents is determined based on Level 1 methods and assumptions. As of September 30, 2024 and December 31, 2023, the carrying amounts of the Company's cash and cash equivalents was $8,436 and $4,612,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2024 and December 31, 2023, the carrying amount of these securities was $30,320 and $26,442, respectively, which equates to their fair value, and is reported in the condensed consolidated balance sheet in deferred charges and other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Unrealized gain and loss on equity securities held in conjunction with our non-qualified pension plan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1"/>
        </w:trPr>
        <w:tc>
          <w:tcPr>
            <w:tcW w:w="6840" w:type="dxa"/>
            <w:vAlign w:val="bottom"/>
          </w:tcPr>
          <w:p>
            <w:pPr>
              <w:spacing w:after="0"/>
              <w:rPr>
                <w:sz w:val="19"/>
                <w:szCs w:val="19"/>
                <w:color w:val="auto"/>
              </w:rPr>
            </w:pPr>
          </w:p>
        </w:tc>
        <w:tc>
          <w:tcPr>
            <w:tcW w:w="20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6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gain recognized during the period on equity securities</w:t>
            </w:r>
          </w:p>
        </w:tc>
        <w:tc>
          <w:tcPr>
            <w:tcW w:w="760" w:type="dxa"/>
            <w:vAlign w:val="bottom"/>
            <w:shd w:val="clear" w:color="auto" w:fill="CCEEFF"/>
          </w:tcPr>
          <w:p>
            <w:pPr>
              <w:jc w:val="right"/>
              <w:ind w:right="592"/>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155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984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89"/>
        </w:trPr>
        <w:tc>
          <w:tcPr>
            <w:tcW w:w="68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Less: net gain recognized during the period on equity securities sold during the period</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68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Unrealized gain recognized during the reporting period on equity securities still held at the</w:t>
            </w:r>
          </w:p>
        </w:tc>
        <w:tc>
          <w:tcPr>
            <w:tcW w:w="760" w:type="dxa"/>
            <w:vAlign w:val="bottom"/>
            <w:vMerge w:val="restart"/>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w:t>
            </w:r>
          </w:p>
        </w:tc>
        <w:tc>
          <w:tcPr>
            <w:tcW w:w="2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date</w:t>
            </w:r>
          </w:p>
        </w:tc>
        <w:tc>
          <w:tcPr>
            <w:tcW w:w="7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120"/>
        <w:spacing w:after="0" w:line="245" w:lineRule="auto"/>
        <w:rPr>
          <w:sz w:val="20"/>
          <w:szCs w:val="20"/>
          <w:color w:val="auto"/>
        </w:rPr>
      </w:pPr>
      <w:r>
        <w:rPr>
          <w:rFonts w:ascii="Times New Roman" w:cs="Times New Roman" w:eastAsia="Times New Roman" w:hAnsi="Times New Roman"/>
          <w:sz w:val="22"/>
          <w:szCs w:val="22"/>
          <w:color w:val="auto"/>
        </w:rPr>
        <w:t>The net gain recognized on equity securities is presented on the condensed consolidated statements of operations and comprehensive income on the line item “Other,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amounts and estimated fair values of the Company’s long-term debt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4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September 30,</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December 31,</w:t>
            </w:r>
          </w:p>
        </w:tc>
      </w:tr>
      <w:tr>
        <w:trPr>
          <w:trHeight w:val="257"/>
        </w:trPr>
        <w:tc>
          <w:tcPr>
            <w:tcW w:w="47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22"/>
                <w:szCs w:val="22"/>
                <w:color w:val="auto"/>
              </w:rPr>
              <w:t>2024</w:t>
            </w: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7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Carrying amount</w:t>
            </w: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7,308,266</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25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6,938,009</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Estimated fair value</w:t>
            </w:r>
          </w:p>
        </w:tc>
        <w:tc>
          <w:tcPr>
            <w:tcW w:w="5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6,560,731</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5,980,722</w:t>
            </w:r>
          </w:p>
        </w:tc>
      </w:tr>
    </w:tbl>
    <w:p>
      <w:pPr>
        <w:spacing w:after="0" w:line="17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The Company’s customers’ advances for construction have a carrying value of $120,154 as of September 30, 2024, and $128,755 as of December 31, 2023. Their relative fair values cannot be accurately estimated because future refund payments depend on several variables, including new customer connections, customer consumption levels, and future rates. Portions of these non-interest-bearing instruments are payable annually through 2033, and amounts not paid by the respective contract expiration dates become non-refundable. The fair value of these amounts would, however, be less than their carrying value due to the non-interest-bearing feature.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 </w:t>
      </w:r>
      <w:r>
        <w:rPr>
          <w:rFonts w:ascii="Times New Roman" w:cs="Times New Roman" w:eastAsia="Times New Roman" w:hAnsi="Times New Roman"/>
          <w:sz w:val="22"/>
          <w:szCs w:val="22"/>
          <w:b w:val="1"/>
          <w:bCs w:val="1"/>
          <w:i w:val="1"/>
          <w:iCs w:val="1"/>
          <w:color w:val="auto"/>
        </w:rPr>
        <w:t>Net Income per Common Share</w:t>
      </w:r>
    </w:p>
    <w:p>
      <w:pPr>
        <w:spacing w:after="0" w:line="21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1"/>
          <w:szCs w:val="21"/>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Pr>
          <w:p>
            <w:pPr>
              <w:spacing w:after="0"/>
              <w:rPr>
                <w:sz w:val="22"/>
                <w:szCs w:val="22"/>
                <w:color w:val="auto"/>
              </w:rPr>
            </w:pPr>
          </w:p>
        </w:tc>
        <w:tc>
          <w:tcPr>
            <w:tcW w:w="2700" w:type="dxa"/>
            <w:vAlign w:val="bottom"/>
            <w:gridSpan w:val="4"/>
          </w:tcPr>
          <w:p>
            <w:pPr>
              <w:jc w:val="center"/>
              <w:ind w:right="180"/>
              <w:spacing w:after="0"/>
              <w:rPr>
                <w:sz w:val="20"/>
                <w:szCs w:val="20"/>
                <w:color w:val="auto"/>
              </w:rPr>
            </w:pPr>
            <w:r>
              <w:rPr>
                <w:rFonts w:ascii="Times New Roman" w:cs="Times New Roman" w:eastAsia="Times New Roman" w:hAnsi="Times New Roman"/>
                <w:sz w:val="22"/>
                <w:szCs w:val="22"/>
                <w:color w:val="auto"/>
                <w:w w:val="99"/>
              </w:rPr>
              <w:t>Three Months Ended</w:t>
            </w:r>
          </w:p>
        </w:tc>
        <w:tc>
          <w:tcPr>
            <w:tcW w:w="248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Nine Months Ended</w:t>
            </w: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2700" w:type="dxa"/>
            <w:vAlign w:val="bottom"/>
            <w:gridSpan w:val="4"/>
          </w:tcPr>
          <w:p>
            <w:pPr>
              <w:jc w:val="center"/>
              <w:ind w:right="180"/>
              <w:spacing w:after="0"/>
              <w:rPr>
                <w:sz w:val="20"/>
                <w:szCs w:val="20"/>
                <w:color w:val="auto"/>
              </w:rPr>
            </w:pPr>
            <w:r>
              <w:rPr>
                <w:rFonts w:ascii="Times New Roman" w:cs="Times New Roman" w:eastAsia="Times New Roman" w:hAnsi="Times New Roman"/>
                <w:sz w:val="22"/>
                <w:szCs w:val="22"/>
                <w:color w:val="auto"/>
                <w:w w:val="97"/>
              </w:rPr>
              <w:t>September 30,</w:t>
            </w:r>
          </w:p>
        </w:tc>
        <w:tc>
          <w:tcPr>
            <w:tcW w:w="2480" w:type="dxa"/>
            <w:vAlign w:val="bottom"/>
            <w:gridSpan w:val="3"/>
          </w:tcPr>
          <w:p>
            <w:pPr>
              <w:jc w:val="right"/>
              <w:ind w:right="512"/>
              <w:spacing w:after="0"/>
              <w:rPr>
                <w:sz w:val="20"/>
                <w:szCs w:val="20"/>
                <w:color w:val="auto"/>
              </w:rPr>
            </w:pPr>
            <w:r>
              <w:rPr>
                <w:rFonts w:ascii="Times New Roman" w:cs="Times New Roman" w:eastAsia="Times New Roman" w:hAnsi="Times New Roman"/>
                <w:sz w:val="22"/>
                <w:szCs w:val="22"/>
                <w:color w:val="auto"/>
              </w:rPr>
              <w:t>September 30,</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8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1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7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basic</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computation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274,021</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266,767</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273,656</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265,135</w:t>
            </w:r>
          </w:p>
        </w:tc>
        <w:tc>
          <w:tcPr>
            <w:tcW w:w="0" w:type="dxa"/>
            <w:vAlign w:val="bottom"/>
          </w:tcPr>
          <w:p>
            <w:pPr>
              <w:spacing w:after="0"/>
              <w:rPr>
                <w:sz w:val="1"/>
                <w:szCs w:val="1"/>
                <w:color w:val="auto"/>
              </w:rPr>
            </w:pPr>
          </w:p>
        </w:tc>
      </w:tr>
      <w:tr>
        <w:trPr>
          <w:trHeight w:val="230"/>
        </w:trPr>
        <w:tc>
          <w:tcPr>
            <w:tcW w:w="60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Effect of dilutive securities: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Employee stock-based compensation</w:t>
            </w:r>
          </w:p>
        </w:tc>
        <w:tc>
          <w:tcPr>
            <w:tcW w:w="10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522</w:t>
            </w:r>
          </w:p>
        </w:tc>
        <w:tc>
          <w:tcPr>
            <w:tcW w:w="1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409</w:t>
            </w:r>
          </w:p>
        </w:tc>
        <w:tc>
          <w:tcPr>
            <w:tcW w:w="1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471</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553</w:t>
            </w:r>
          </w:p>
        </w:tc>
        <w:tc>
          <w:tcPr>
            <w:tcW w:w="0" w:type="dxa"/>
            <w:vAlign w:val="bottom"/>
          </w:tcPr>
          <w:p>
            <w:pPr>
              <w:spacing w:after="0"/>
              <w:rPr>
                <w:sz w:val="1"/>
                <w:szCs w:val="1"/>
                <w:color w:val="auto"/>
              </w:rPr>
            </w:pPr>
          </w:p>
        </w:tc>
      </w:tr>
      <w:tr>
        <w:trPr>
          <w:trHeight w:val="196"/>
        </w:trPr>
        <w:tc>
          <w:tcPr>
            <w:tcW w:w="606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rPr>
              <w:t>Average common shares outstanding during the period for diluted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274,543</w:t>
            </w:r>
          </w:p>
        </w:tc>
        <w:tc>
          <w:tcPr>
            <w:tcW w:w="18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267,176</w:t>
            </w:r>
          </w:p>
        </w:tc>
        <w:tc>
          <w:tcPr>
            <w:tcW w:w="1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274,127</w:t>
            </w:r>
          </w:p>
        </w:tc>
        <w:tc>
          <w:tcPr>
            <w:tcW w:w="2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265,688</w:t>
            </w:r>
          </w:p>
        </w:tc>
        <w:tc>
          <w:tcPr>
            <w:tcW w:w="0" w:type="dxa"/>
            <w:vAlign w:val="bottom"/>
          </w:tcPr>
          <w:p>
            <w:pPr>
              <w:spacing w:after="0"/>
              <w:rPr>
                <w:sz w:val="1"/>
                <w:szCs w:val="1"/>
                <w:color w:val="auto"/>
              </w:rPr>
            </w:pPr>
          </w:p>
        </w:tc>
      </w:tr>
      <w:tr>
        <w:trPr>
          <w:trHeight w:val="248"/>
        </w:trPr>
        <w:tc>
          <w:tcPr>
            <w:tcW w:w="6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computation</w:t>
            </w:r>
          </w:p>
        </w:tc>
        <w:tc>
          <w:tcPr>
            <w:tcW w:w="108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160"/>
        <w:spacing w:after="0" w:line="230" w:lineRule="auto"/>
        <w:rPr>
          <w:sz w:val="20"/>
          <w:szCs w:val="20"/>
          <w:color w:val="auto"/>
        </w:rPr>
      </w:pPr>
      <w:r>
        <w:rPr>
          <w:rFonts w:ascii="Times New Roman" w:cs="Times New Roman" w:eastAsia="Times New Roman" w:hAnsi="Times New Roman"/>
          <w:sz w:val="22"/>
          <w:szCs w:val="22"/>
          <w:color w:val="auto"/>
        </w:rPr>
        <w:t>The number of outstanding employee stock options that were not included in the diluted earnings per share calculation because the effect would have been anti-dilutive was: 243,780 for the three and nine months ended September 30, 2024; and 150,062 for the three and nine months ended September 30, 2023. Additionally, the dilutive effect of performance share units and restricted share units granted are included in the Company’s calculation of diluted net income per share.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 </w:t>
      </w:r>
      <w:r>
        <w:rPr>
          <w:rFonts w:ascii="Times New Roman" w:cs="Times New Roman" w:eastAsia="Times New Roman" w:hAnsi="Times New Roman"/>
          <w:sz w:val="22"/>
          <w:szCs w:val="22"/>
          <w:b w:val="1"/>
          <w:bCs w:val="1"/>
          <w:i w:val="1"/>
          <w:iCs w:val="1"/>
          <w:color w:val="auto"/>
        </w:rPr>
        <w:t>Stock-based Compensation</w:t>
      </w:r>
    </w:p>
    <w:p>
      <w:pPr>
        <w:spacing w:after="0" w:line="212"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22"/>
          <w:szCs w:val="22"/>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2024, 1,300,450 shares were still available for issuance under the Plan. No further grants may be made under the Company’s 2004 Equity Compensation Plan.</w:t>
      </w:r>
    </w:p>
    <w:p>
      <w:pPr>
        <w:spacing w:after="0" w:line="19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Performance Share Units </w:t>
      </w:r>
      <w:r>
        <w:rPr>
          <w:rFonts w:ascii="Times New Roman" w:cs="Times New Roman" w:eastAsia="Times New Roman" w:hAnsi="Times New Roman"/>
          <w:sz w:val="22"/>
          <w:szCs w:val="22"/>
          <w:color w:val="auto"/>
        </w:rPr>
        <w:t>– A performance share unit (“PSU”) represents the right to receive a share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4"/>
          </w:tcPr>
          <w:p>
            <w:pPr>
              <w:jc w:val="center"/>
              <w:ind w:left="51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right"/>
              <w:ind w:right="5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4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center"/>
              <w:ind w:right="232"/>
              <w:spacing w:after="0"/>
              <w:rPr>
                <w:sz w:val="20"/>
                <w:szCs w:val="20"/>
                <w:color w:val="auto"/>
              </w:rPr>
            </w:pPr>
            <w:r>
              <w:rPr>
                <w:rFonts w:ascii="Times New Roman" w:cs="Times New Roman" w:eastAsia="Times New Roman" w:hAnsi="Times New Roman"/>
                <w:sz w:val="22"/>
                <w:szCs w:val="22"/>
                <w:color w:val="auto"/>
                <w:w w:val="99"/>
              </w:rPr>
              <w:t>September 30,</w:t>
            </w:r>
          </w:p>
        </w:tc>
        <w:tc>
          <w:tcPr>
            <w:tcW w:w="6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43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45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24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986</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1,039</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2"/>
                <w:szCs w:val="2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2,174</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22"/>
                <w:szCs w:val="22"/>
                <w:color w:val="auto"/>
                <w:w w:val="72"/>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5,444</w:t>
            </w:r>
          </w:p>
        </w:tc>
      </w:tr>
      <w:tr>
        <w:trPr>
          <w:trHeight w:val="282"/>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1,364</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PSU transactions for the nine months ended September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Share Units</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beginning of period</w:t>
            </w:r>
          </w:p>
        </w:tc>
        <w:tc>
          <w:tcPr>
            <w:tcW w:w="3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531,437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40.03</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227,284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38.10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Performance criteria adjustment</w:t>
            </w:r>
          </w:p>
        </w:tc>
        <w:tc>
          <w:tcPr>
            <w:tcW w:w="486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(155,959)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31.50</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Share units issued</w:t>
            </w:r>
          </w:p>
        </w:tc>
        <w:tc>
          <w:tcPr>
            <w:tcW w:w="4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(96,425)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43.40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486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(46,419)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41.23</w:t>
            </w:r>
          </w:p>
        </w:tc>
        <w:tc>
          <w:tcPr>
            <w:tcW w:w="0" w:type="dxa"/>
            <w:vAlign w:val="bottom"/>
          </w:tcPr>
          <w:p>
            <w:pPr>
              <w:spacing w:after="0"/>
              <w:rPr>
                <w:sz w:val="1"/>
                <w:szCs w:val="1"/>
                <w:color w:val="auto"/>
              </w:rPr>
            </w:pPr>
          </w:p>
        </w:tc>
      </w:tr>
      <w:tr>
        <w:trPr>
          <w:trHeight w:val="223"/>
        </w:trPr>
        <w:tc>
          <w:tcPr>
            <w:tcW w:w="47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share units at end of period</w:t>
            </w:r>
          </w:p>
        </w:tc>
        <w:tc>
          <w:tcPr>
            <w:tcW w:w="33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459,918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41.14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40" w:type="dxa"/>
            <w:vAlign w:val="bottom"/>
            <w:vMerge w:val="restart"/>
          </w:tcPr>
          <w:p>
            <w:pPr>
              <w:jc w:val="right"/>
              <w:ind w:right="2192"/>
              <w:spacing w:after="0"/>
              <w:rPr>
                <w:sz w:val="20"/>
                <w:szCs w:val="20"/>
                <w:color w:val="auto"/>
              </w:rPr>
            </w:pPr>
            <w:r>
              <w:rPr>
                <w:rFonts w:ascii="Times New Roman" w:cs="Times New Roman" w:eastAsia="Times New Roman" w:hAnsi="Times New Roman"/>
                <w:sz w:val="22"/>
                <w:szCs w:val="22"/>
                <w:color w:val="auto"/>
              </w:rPr>
              <w:t>18</w:t>
            </w: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7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8"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25"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2024 and 2023 was $38.10 and $45.06,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8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Restricted Stock Units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 restricted stock unit (“RSU”) represents the right to receive a share of the Company’s common stock.</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60" w:type="dxa"/>
            <w:vAlign w:val="bottom"/>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40" w:type="dxa"/>
            <w:vAlign w:val="bottom"/>
            <w:gridSpan w:val="4"/>
          </w:tcPr>
          <w:p>
            <w:pPr>
              <w:jc w:val="center"/>
              <w:ind w:right="232"/>
              <w:spacing w:after="0"/>
              <w:rPr>
                <w:sz w:val="20"/>
                <w:szCs w:val="20"/>
                <w:color w:val="auto"/>
              </w:rPr>
            </w:pPr>
            <w:r>
              <w:rPr>
                <w:rFonts w:ascii="Times New Roman" w:cs="Times New Roman" w:eastAsia="Times New Roman" w:hAnsi="Times New Roman"/>
                <w:sz w:val="22"/>
                <w:szCs w:val="22"/>
                <w:color w:val="auto"/>
                <w:w w:val="98"/>
              </w:rPr>
              <w:t>Nine Months Ended</w:t>
            </w:r>
          </w:p>
        </w:tc>
      </w:tr>
      <w:tr>
        <w:trPr>
          <w:trHeight w:val="257"/>
        </w:trPr>
        <w:tc>
          <w:tcPr>
            <w:tcW w:w="4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60" w:type="dxa"/>
            <w:vAlign w:val="bottom"/>
            <w:tcBorders>
              <w:bottom w:val="single" w:sz="8" w:color="auto"/>
            </w:tcBorders>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9"/>
              </w:rPr>
              <w:t>September 30,</w:t>
            </w:r>
          </w:p>
        </w:tc>
        <w:tc>
          <w:tcPr>
            <w:tcW w:w="4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22"/>
                <w:szCs w:val="22"/>
                <w:color w:val="auto"/>
                <w:w w:val="99"/>
              </w:rPr>
              <w:t>September 30,</w:t>
            </w:r>
          </w:p>
        </w:tc>
        <w:tc>
          <w:tcPr>
            <w:tcW w:w="1040" w:type="dxa"/>
            <w:vAlign w:val="bottom"/>
            <w:tcBorders>
              <w:bottom w:val="single" w:sz="8" w:color="auto"/>
            </w:tcBorders>
          </w:tcPr>
          <w:p>
            <w:pPr>
              <w:spacing w:after="0"/>
              <w:rPr>
                <w:sz w:val="22"/>
                <w:szCs w:val="22"/>
                <w:color w:val="auto"/>
              </w:rPr>
            </w:pPr>
          </w:p>
        </w:tc>
      </w:tr>
      <w:tr>
        <w:trPr>
          <w:trHeight w:val="223"/>
        </w:trPr>
        <w:tc>
          <w:tcPr>
            <w:tcW w:w="4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00" w:type="dxa"/>
            <w:vAlign w:val="bottom"/>
          </w:tcPr>
          <w:p>
            <w:pPr>
              <w:spacing w:after="0"/>
              <w:rPr>
                <w:sz w:val="19"/>
                <w:szCs w:val="19"/>
                <w:color w:val="auto"/>
              </w:rPr>
            </w:pPr>
          </w:p>
        </w:tc>
        <w:tc>
          <w:tcPr>
            <w:tcW w:w="11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5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w w:val="99"/>
              </w:rPr>
              <w:t>2023</w:t>
            </w:r>
          </w:p>
        </w:tc>
      </w:tr>
      <w:tr>
        <w:trPr>
          <w:trHeight w:val="182"/>
        </w:trPr>
        <w:tc>
          <w:tcPr>
            <w:tcW w:w="4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7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180" w:type="dxa"/>
            <w:vAlign w:val="bottom"/>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w w:val="96"/>
              </w:rPr>
              <w:t>508</w:t>
            </w:r>
          </w:p>
        </w:tc>
        <w:tc>
          <w:tcPr>
            <w:tcW w:w="11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746</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2,078</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2,186</w:t>
            </w:r>
          </w:p>
        </w:tc>
      </w:tr>
      <w:tr>
        <w:trPr>
          <w:trHeight w:val="282"/>
        </w:trPr>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128</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548</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RSU transactions for the nine months ended September 30,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Number</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Weighted</w:t>
            </w:r>
          </w:p>
        </w:tc>
      </w:tr>
      <w:tr>
        <w:trPr>
          <w:trHeight w:val="229"/>
        </w:trPr>
        <w:tc>
          <w:tcPr>
            <w:tcW w:w="7940" w:type="dxa"/>
            <w:vAlign w:val="bottom"/>
          </w:tcPr>
          <w:p>
            <w:pPr>
              <w:spacing w:after="0"/>
              <w:rPr>
                <w:sz w:val="19"/>
                <w:szCs w:val="19"/>
                <w:color w:val="auto"/>
              </w:rPr>
            </w:pPr>
          </w:p>
        </w:tc>
        <w:tc>
          <w:tcPr>
            <w:tcW w:w="148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1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9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Stock Units</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6"/>
              </w:rPr>
              <w:t>Fair Value</w:t>
            </w:r>
          </w:p>
        </w:tc>
      </w:tr>
      <w:tr>
        <w:trPr>
          <w:trHeight w:val="223"/>
        </w:trPr>
        <w:tc>
          <w:tcPr>
            <w:tcW w:w="79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beginning of period</w:t>
            </w:r>
          </w:p>
        </w:tc>
        <w:tc>
          <w:tcPr>
            <w:tcW w:w="14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192,217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3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45.06</w:t>
            </w:r>
          </w:p>
        </w:tc>
      </w:tr>
      <w:tr>
        <w:trPr>
          <w:trHeight w:val="229"/>
        </w:trPr>
        <w:tc>
          <w:tcPr>
            <w:tcW w:w="79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4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104,661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36.61</w:t>
            </w:r>
          </w:p>
        </w:tc>
      </w:tr>
      <w:tr>
        <w:trPr>
          <w:trHeight w:val="230"/>
        </w:trPr>
        <w:tc>
          <w:tcPr>
            <w:tcW w:w="79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units vested and issued</w:t>
            </w:r>
          </w:p>
        </w:tc>
        <w:tc>
          <w:tcPr>
            <w:tcW w:w="14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(65,625)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44.42</w:t>
            </w:r>
          </w:p>
        </w:tc>
      </w:tr>
      <w:tr>
        <w:trPr>
          <w:trHeight w:val="230"/>
        </w:trPr>
        <w:tc>
          <w:tcPr>
            <w:tcW w:w="79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4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(19,828)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41.36</w:t>
            </w:r>
          </w:p>
        </w:tc>
      </w:tr>
      <w:tr>
        <w:trPr>
          <w:trHeight w:val="223"/>
        </w:trPr>
        <w:tc>
          <w:tcPr>
            <w:tcW w:w="7940" w:type="dxa"/>
            <w:vAlign w:val="bottom"/>
            <w:tcBorders>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units at end of period</w:t>
            </w:r>
          </w:p>
        </w:tc>
        <w:tc>
          <w:tcPr>
            <w:tcW w:w="14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211,425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41.40</w:t>
            </w:r>
          </w:p>
        </w:tc>
      </w:tr>
      <w:tr>
        <w:trPr>
          <w:trHeight w:val="20"/>
        </w:trPr>
        <w:tc>
          <w:tcPr>
            <w:tcW w:w="7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2"/>
          <w:szCs w:val="22"/>
          <w:color w:val="auto"/>
        </w:rPr>
        <w:t>The per unit weighted-average fair value at the date of grant for RSUs granted during the nine months ended September 30, 2024 and 2023 was $36.61 and $45.53,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Options </w:t>
      </w:r>
      <w:r>
        <w:rPr>
          <w:rFonts w:ascii="Times New Roman" w:cs="Times New Roman" w:eastAsia="Times New Roman" w:hAnsi="Times New Roman"/>
          <w:sz w:val="22"/>
          <w:szCs w:val="22"/>
          <w:color w:val="auto"/>
        </w:rPr>
        <w:t>– A stock option represents the option to purchase a number of shares of common stock of the Company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2"/>
                <w:szCs w:val="22"/>
                <w:color w:val="auto"/>
              </w:rPr>
            </w:pPr>
          </w:p>
        </w:tc>
        <w:tc>
          <w:tcPr>
            <w:tcW w:w="2380" w:type="dxa"/>
            <w:vAlign w:val="bottom"/>
            <w:gridSpan w:val="4"/>
          </w:tcPr>
          <w:p>
            <w:pPr>
              <w:jc w:val="center"/>
              <w:ind w:left="2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60" w:type="dxa"/>
            <w:vAlign w:val="bottom"/>
            <w:gridSpan w:val="4"/>
          </w:tcPr>
          <w:p>
            <w:pPr>
              <w:jc w:val="right"/>
              <w:ind w:right="43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5360" w:type="dxa"/>
            <w:vAlign w:val="bottom"/>
          </w:tcPr>
          <w:p>
            <w:pPr>
              <w:spacing w:after="0"/>
              <w:rPr>
                <w:sz w:val="22"/>
                <w:szCs w:val="22"/>
                <w:color w:val="auto"/>
              </w:rPr>
            </w:pPr>
          </w:p>
        </w:tc>
        <w:tc>
          <w:tcPr>
            <w:tcW w:w="2380" w:type="dxa"/>
            <w:vAlign w:val="bottom"/>
            <w:tcBorders>
              <w:bottom w:val="single" w:sz="8" w:color="auto"/>
            </w:tcBorders>
            <w:gridSpan w:val="4"/>
          </w:tcPr>
          <w:p>
            <w:pPr>
              <w:jc w:val="center"/>
              <w:ind w:left="312"/>
              <w:spacing w:after="0"/>
              <w:rPr>
                <w:sz w:val="20"/>
                <w:szCs w:val="20"/>
                <w:color w:val="auto"/>
              </w:rPr>
            </w:pPr>
            <w:r>
              <w:rPr>
                <w:rFonts w:ascii="Times New Roman" w:cs="Times New Roman" w:eastAsia="Times New Roman" w:hAnsi="Times New Roman"/>
                <w:sz w:val="22"/>
                <w:szCs w:val="22"/>
                <w:color w:val="auto"/>
                <w:w w:val="97"/>
              </w:rPr>
              <w:t>September 30,</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22"/>
                <w:szCs w:val="22"/>
                <w:color w:val="auto"/>
              </w:rPr>
              <w:t>September 30,</w:t>
            </w:r>
          </w:p>
        </w:tc>
      </w:tr>
      <w:tr>
        <w:trPr>
          <w:trHeight w:val="223"/>
        </w:trPr>
        <w:tc>
          <w:tcPr>
            <w:tcW w:w="536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340" w:type="dxa"/>
            <w:vAlign w:val="bottom"/>
          </w:tcPr>
          <w:p>
            <w:pPr>
              <w:spacing w:after="0"/>
              <w:rPr>
                <w:sz w:val="19"/>
                <w:szCs w:val="19"/>
                <w:color w:val="auto"/>
              </w:rPr>
            </w:pPr>
          </w:p>
        </w:tc>
        <w:tc>
          <w:tcPr>
            <w:tcW w:w="110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rPr>
              <w:t>2023</w:t>
            </w:r>
          </w:p>
        </w:tc>
      </w:tr>
      <w:tr>
        <w:trPr>
          <w:trHeight w:val="182"/>
        </w:trPr>
        <w:tc>
          <w:tcPr>
            <w:tcW w:w="53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9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9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w w:val="72"/>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11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181</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233</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22"/>
                <w:szCs w:val="22"/>
                <w:color w:val="auto"/>
                <w:w w:val="72"/>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480</w:t>
            </w:r>
          </w:p>
        </w:tc>
      </w:tr>
      <w:tr>
        <w:trPr>
          <w:trHeight w:val="282"/>
        </w:trPr>
        <w:tc>
          <w:tcPr>
            <w:tcW w:w="53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9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bl>
    <w:p>
      <w:pPr>
        <w:spacing w:after="0" w:line="149" w:lineRule="exact"/>
        <w:rPr>
          <w:sz w:val="20"/>
          <w:szCs w:val="20"/>
          <w:color w:val="auto"/>
        </w:rPr>
      </w:pPr>
    </w:p>
    <w:p>
      <w:pPr>
        <w:ind w:right="980"/>
        <w:spacing w:after="0" w:line="245" w:lineRule="auto"/>
        <w:rPr>
          <w:sz w:val="20"/>
          <w:szCs w:val="20"/>
          <w:color w:val="auto"/>
        </w:rPr>
      </w:pPr>
      <w:r>
        <w:rPr>
          <w:rFonts w:ascii="Times New Roman" w:cs="Times New Roman" w:eastAsia="Times New Roman" w:hAnsi="Times New Roman"/>
          <w:sz w:val="22"/>
          <w:szCs w:val="22"/>
          <w:color w:val="auto"/>
        </w:rPr>
        <w:t>The fair value of options was estimated at the grant date using the Black-Scholes option-pricing model. The following assumptions were used in the application of this valuation model:</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color w:val="auto"/>
              </w:rPr>
              <w:t>2024</w:t>
            </w:r>
          </w:p>
        </w:tc>
        <w:tc>
          <w:tcPr>
            <w:tcW w:w="10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jc w:val="right"/>
              <w:ind w:right="1672"/>
              <w:spacing w:after="0"/>
              <w:rPr>
                <w:sz w:val="20"/>
                <w:szCs w:val="20"/>
                <w:color w:val="auto"/>
              </w:rPr>
            </w:pPr>
            <w:r>
              <w:rPr>
                <w:rFonts w:ascii="Times New Roman" w:cs="Times New Roman" w:eastAsia="Times New Roman" w:hAnsi="Times New Roman"/>
                <w:sz w:val="22"/>
                <w:szCs w:val="22"/>
                <w:color w:val="auto"/>
              </w:rPr>
              <w:t>2023</w:t>
            </w:r>
          </w:p>
        </w:tc>
      </w:tr>
      <w:tr>
        <w:trPr>
          <w:trHeight w:val="223"/>
        </w:trPr>
        <w:tc>
          <w:tcPr>
            <w:tcW w:w="49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Expected term (years)</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line="223" w:lineRule="exact"/>
              <w:rPr>
                <w:sz w:val="20"/>
                <w:szCs w:val="20"/>
                <w:color w:val="auto"/>
              </w:rPr>
            </w:pPr>
            <w:r>
              <w:rPr>
                <w:rFonts w:ascii="Times New Roman" w:cs="Times New Roman" w:eastAsia="Times New Roman" w:hAnsi="Times New Roman"/>
                <w:sz w:val="22"/>
                <w:szCs w:val="22"/>
                <w:color w:val="auto"/>
              </w:rPr>
              <w:t>5.5</w:t>
            </w:r>
          </w:p>
        </w:tc>
        <w:tc>
          <w:tcPr>
            <w:tcW w:w="70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512"/>
              <w:spacing w:after="0" w:line="223" w:lineRule="exact"/>
              <w:rPr>
                <w:sz w:val="20"/>
                <w:szCs w:val="20"/>
                <w:color w:val="auto"/>
              </w:rPr>
            </w:pPr>
            <w:r>
              <w:rPr>
                <w:rFonts w:ascii="Times New Roman" w:cs="Times New Roman" w:eastAsia="Times New Roman" w:hAnsi="Times New Roman"/>
                <w:sz w:val="22"/>
                <w:szCs w:val="22"/>
                <w:color w:val="auto"/>
              </w:rPr>
              <w:t>5.5</w:t>
            </w:r>
          </w:p>
        </w:tc>
      </w:tr>
      <w:tr>
        <w:trPr>
          <w:trHeight w:val="230"/>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Risk-free interest rate</w:t>
            </w:r>
          </w:p>
        </w:tc>
        <w:tc>
          <w:tcPr>
            <w:tcW w:w="192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4.00%</w:t>
            </w:r>
          </w:p>
        </w:tc>
        <w:tc>
          <w:tcPr>
            <w:tcW w:w="700" w:type="dxa"/>
            <w:vAlign w:val="bottom"/>
          </w:tcPr>
          <w:p>
            <w:pPr>
              <w:spacing w:after="0"/>
              <w:rPr>
                <w:sz w:val="19"/>
                <w:szCs w:val="19"/>
                <w:color w:val="auto"/>
              </w:rPr>
            </w:pPr>
          </w:p>
        </w:tc>
        <w:tc>
          <w:tcPr>
            <w:tcW w:w="2640" w:type="dxa"/>
            <w:vAlign w:val="bottom"/>
          </w:tcPr>
          <w:p>
            <w:pPr>
              <w:jc w:val="right"/>
              <w:ind w:right="512"/>
              <w:spacing w:after="0" w:line="229" w:lineRule="exact"/>
              <w:rPr>
                <w:sz w:val="20"/>
                <w:szCs w:val="20"/>
                <w:color w:val="auto"/>
              </w:rPr>
            </w:pPr>
            <w:r>
              <w:rPr>
                <w:rFonts w:ascii="Times New Roman" w:cs="Times New Roman" w:eastAsia="Times New Roman" w:hAnsi="Times New Roman"/>
                <w:sz w:val="22"/>
                <w:szCs w:val="22"/>
                <w:color w:val="auto"/>
              </w:rPr>
              <w:t>4.03%</w:t>
            </w:r>
          </w:p>
        </w:tc>
      </w:tr>
      <w:tr>
        <w:trPr>
          <w:trHeight w:val="229"/>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volatility</w:t>
            </w:r>
          </w:p>
        </w:tc>
        <w:tc>
          <w:tcPr>
            <w:tcW w:w="19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28.30%</w:t>
            </w:r>
          </w:p>
        </w:tc>
        <w:tc>
          <w:tcPr>
            <w:tcW w:w="70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512"/>
              <w:spacing w:after="0" w:line="229" w:lineRule="exact"/>
              <w:rPr>
                <w:sz w:val="20"/>
                <w:szCs w:val="20"/>
                <w:color w:val="auto"/>
              </w:rPr>
            </w:pPr>
            <w:r>
              <w:rPr>
                <w:rFonts w:ascii="Times New Roman" w:cs="Times New Roman" w:eastAsia="Times New Roman" w:hAnsi="Times New Roman"/>
                <w:sz w:val="22"/>
                <w:szCs w:val="22"/>
                <w:color w:val="auto"/>
              </w:rPr>
              <w:t>27.80%</w:t>
            </w:r>
          </w:p>
        </w:tc>
      </w:tr>
      <w:tr>
        <w:trPr>
          <w:trHeight w:val="230"/>
        </w:trPr>
        <w:tc>
          <w:tcPr>
            <w:tcW w:w="49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Dividend yield</w:t>
            </w:r>
          </w:p>
        </w:tc>
        <w:tc>
          <w:tcPr>
            <w:tcW w:w="1920" w:type="dxa"/>
            <w:vAlign w:val="bottom"/>
          </w:tcPr>
          <w:p>
            <w:pPr>
              <w:spacing w:after="0"/>
              <w:rPr>
                <w:sz w:val="19"/>
                <w:szCs w:val="19"/>
                <w:color w:val="auto"/>
              </w:rPr>
            </w:pPr>
          </w:p>
        </w:tc>
        <w:tc>
          <w:tcPr>
            <w:tcW w:w="1080" w:type="dxa"/>
            <w:vAlign w:val="bottom"/>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3.43%</w:t>
            </w:r>
          </w:p>
        </w:tc>
        <w:tc>
          <w:tcPr>
            <w:tcW w:w="700" w:type="dxa"/>
            <w:vAlign w:val="bottom"/>
          </w:tcPr>
          <w:p>
            <w:pPr>
              <w:spacing w:after="0"/>
              <w:rPr>
                <w:sz w:val="19"/>
                <w:szCs w:val="19"/>
                <w:color w:val="auto"/>
              </w:rPr>
            </w:pPr>
          </w:p>
        </w:tc>
        <w:tc>
          <w:tcPr>
            <w:tcW w:w="2640" w:type="dxa"/>
            <w:vAlign w:val="bottom"/>
          </w:tcPr>
          <w:p>
            <w:pPr>
              <w:jc w:val="right"/>
              <w:ind w:right="512"/>
              <w:spacing w:after="0" w:line="229" w:lineRule="exact"/>
              <w:rPr>
                <w:sz w:val="20"/>
                <w:szCs w:val="20"/>
                <w:color w:val="auto"/>
              </w:rPr>
            </w:pPr>
            <w:r>
              <w:rPr>
                <w:rFonts w:ascii="Times New Roman" w:cs="Times New Roman" w:eastAsia="Times New Roman" w:hAnsi="Times New Roman"/>
                <w:sz w:val="22"/>
                <w:szCs w:val="22"/>
                <w:color w:val="auto"/>
              </w:rPr>
              <w:t>2.53%</w:t>
            </w:r>
          </w:p>
        </w:tc>
      </w:tr>
      <w:tr>
        <w:trPr>
          <w:trHeight w:val="230"/>
        </w:trPr>
        <w:tc>
          <w:tcPr>
            <w:tcW w:w="49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Grant date fair value per option</w:t>
            </w:r>
          </w:p>
        </w:tc>
        <w:tc>
          <w:tcPr>
            <w:tcW w:w="1920" w:type="dxa"/>
            <w:vAlign w:val="bottom"/>
            <w:shd w:val="clear" w:color="auto" w:fill="CCEEFF"/>
          </w:tcPr>
          <w:p>
            <w:pPr>
              <w:jc w:val="right"/>
              <w:ind w:right="1712"/>
              <w:spacing w:after="0" w:line="229"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CCEEFF"/>
          </w:tcPr>
          <w:p>
            <w:pPr>
              <w:jc w:val="right"/>
              <w:ind w:right="52"/>
              <w:spacing w:after="0" w:line="229" w:lineRule="exact"/>
              <w:rPr>
                <w:sz w:val="20"/>
                <w:szCs w:val="20"/>
                <w:color w:val="auto"/>
              </w:rPr>
            </w:pPr>
            <w:r>
              <w:rPr>
                <w:rFonts w:ascii="Times New Roman" w:cs="Times New Roman" w:eastAsia="Times New Roman" w:hAnsi="Times New Roman"/>
                <w:sz w:val="22"/>
                <w:szCs w:val="22"/>
                <w:color w:val="auto"/>
              </w:rPr>
              <w:t>8.12</w:t>
            </w:r>
          </w:p>
        </w:tc>
        <w:tc>
          <w:tcPr>
            <w:tcW w:w="700" w:type="dxa"/>
            <w:vAlign w:val="bottom"/>
            <w:shd w:val="clear" w:color="auto" w:fill="CCEEFF"/>
          </w:tcPr>
          <w:p>
            <w:pPr>
              <w:jc w:val="right"/>
              <w:ind w:right="332"/>
              <w:spacing w:after="0" w:line="229" w:lineRule="exact"/>
              <w:rPr>
                <w:sz w:val="20"/>
                <w:szCs w:val="20"/>
                <w:color w:val="auto"/>
              </w:rPr>
            </w:pPr>
            <w:r>
              <w:rPr>
                <w:rFonts w:ascii="Times New Roman" w:cs="Times New Roman" w:eastAsia="Times New Roman" w:hAnsi="Times New Roman"/>
                <w:sz w:val="22"/>
                <w:szCs w:val="22"/>
                <w:color w:val="auto"/>
              </w:rPr>
              <w:t>$</w:t>
            </w:r>
          </w:p>
        </w:tc>
        <w:tc>
          <w:tcPr>
            <w:tcW w:w="2640" w:type="dxa"/>
            <w:vAlign w:val="bottom"/>
            <w:shd w:val="clear" w:color="auto" w:fill="CCEEFF"/>
          </w:tcPr>
          <w:p>
            <w:pPr>
              <w:jc w:val="right"/>
              <w:ind w:right="512"/>
              <w:spacing w:after="0" w:line="229" w:lineRule="exact"/>
              <w:rPr>
                <w:sz w:val="20"/>
                <w:szCs w:val="20"/>
                <w:color w:val="auto"/>
              </w:rPr>
            </w:pPr>
            <w:r>
              <w:rPr>
                <w:rFonts w:ascii="Times New Roman" w:cs="Times New Roman" w:eastAsia="Times New Roman" w:hAnsi="Times New Roman"/>
                <w:sz w:val="22"/>
                <w:szCs w:val="22"/>
                <w:color w:val="auto"/>
              </w:rPr>
              <w:t>11.37</w:t>
            </w:r>
          </w:p>
        </w:tc>
      </w:tr>
    </w:tbl>
    <w:p>
      <w:pPr>
        <w:spacing w:after="0" w:line="21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option transactions for the nine months ended September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22"/>
                <w:szCs w:val="22"/>
                <w:color w:val="auto"/>
                <w:w w:val="95"/>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Weighted</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380"/>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32"/>
              <w:spacing w:after="0" w:line="229" w:lineRule="exact"/>
              <w:rPr>
                <w:sz w:val="20"/>
                <w:szCs w:val="20"/>
                <w:color w:val="auto"/>
              </w:rPr>
            </w:pPr>
            <w:r>
              <w:rPr>
                <w:rFonts w:ascii="Times New Roman" w:cs="Times New Roman" w:eastAsia="Times New Roman" w:hAnsi="Times New Roman"/>
                <w:sz w:val="22"/>
                <w:szCs w:val="22"/>
                <w:color w:val="auto"/>
                <w:w w:val="98"/>
              </w:rPr>
              <w:t>Aggregate</w:t>
            </w:r>
          </w:p>
        </w:tc>
      </w:tr>
      <w:tr>
        <w:trPr>
          <w:trHeight w:val="229"/>
        </w:trPr>
        <w:tc>
          <w:tcPr>
            <w:tcW w:w="5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ind w:right="400"/>
              <w:spacing w:after="0" w:line="229" w:lineRule="exact"/>
              <w:rPr>
                <w:sz w:val="20"/>
                <w:szCs w:val="20"/>
                <w:color w:val="auto"/>
              </w:rPr>
            </w:pPr>
            <w:r>
              <w:rPr>
                <w:rFonts w:ascii="Times New Roman" w:cs="Times New Roman" w:eastAsia="Times New Roman" w:hAnsi="Times New Roman"/>
                <w:sz w:val="22"/>
                <w:szCs w:val="22"/>
                <w:color w:val="auto"/>
                <w:w w:val="97"/>
              </w:rPr>
              <w:t>Exercise</w:t>
            </w: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2"/>
                <w:szCs w:val="22"/>
                <w:color w:val="auto"/>
                <w:w w:val="99"/>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center"/>
              <w:ind w:right="152"/>
              <w:spacing w:after="0" w:line="229" w:lineRule="exact"/>
              <w:rPr>
                <w:sz w:val="20"/>
                <w:szCs w:val="20"/>
                <w:color w:val="auto"/>
              </w:rPr>
            </w:pPr>
            <w:r>
              <w:rPr>
                <w:rFonts w:ascii="Times New Roman" w:cs="Times New Roman" w:eastAsia="Times New Roman" w:hAnsi="Times New Roman"/>
                <w:sz w:val="22"/>
                <w:szCs w:val="22"/>
                <w:color w:val="auto"/>
                <w:w w:val="98"/>
              </w:rPr>
              <w:t>Intrinsic</w:t>
            </w:r>
          </w:p>
        </w:tc>
      </w:tr>
      <w:tr>
        <w:trPr>
          <w:trHeight w:val="257"/>
        </w:trPr>
        <w:tc>
          <w:tcPr>
            <w:tcW w:w="50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22"/>
                <w:szCs w:val="22"/>
                <w:color w:val="auto"/>
              </w:rPr>
              <w:t>Shares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color w:val="auto"/>
                <w:w w:val="97"/>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Life (years)</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5"/>
              </w:rPr>
              <w:t>Value</w:t>
            </w:r>
          </w:p>
        </w:tc>
      </w:tr>
      <w:tr>
        <w:trPr>
          <w:trHeight w:val="223"/>
        </w:trPr>
        <w:tc>
          <w:tcPr>
            <w:tcW w:w="502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882,442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37.03</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3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119,548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35.78</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Forfeited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(17,917)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39.27</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50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Expired</w:t>
            </w:r>
          </w:p>
        </w:tc>
        <w:tc>
          <w:tcPr>
            <w:tcW w:w="146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(7,103)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44.57</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Exercised</w:t>
            </w:r>
          </w:p>
        </w:tc>
        <w:tc>
          <w:tcPr>
            <w:tcW w:w="1460" w:type="dxa"/>
            <w:vAlign w:val="bottom"/>
            <w:gridSpan w:val="2"/>
            <w:shd w:val="clear" w:color="auto" w:fill="CCEEFF"/>
          </w:tcPr>
          <w:p>
            <w:pPr>
              <w:jc w:val="right"/>
              <w:ind w:right="100"/>
              <w:spacing w:after="0" w:line="229" w:lineRule="exact"/>
              <w:rPr>
                <w:sz w:val="20"/>
                <w:szCs w:val="20"/>
                <w:color w:val="auto"/>
              </w:rPr>
            </w:pPr>
            <w:r>
              <w:rPr>
                <w:rFonts w:ascii="Times New Roman" w:cs="Times New Roman" w:eastAsia="Times New Roman" w:hAnsi="Times New Roman"/>
                <w:sz w:val="22"/>
                <w:szCs w:val="22"/>
                <w:color w:val="auto"/>
              </w:rPr>
              <w:t>(15,383)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34.94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3"/>
        </w:trPr>
        <w:tc>
          <w:tcPr>
            <w:tcW w:w="50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Outstanding at end of period</w:t>
            </w:r>
          </w:p>
        </w:tc>
        <w:tc>
          <w:tcPr>
            <w:tcW w:w="13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961,587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36.81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5.2</w:t>
            </w:r>
          </w:p>
        </w:tc>
        <w:tc>
          <w:tcPr>
            <w:tcW w:w="420" w:type="dxa"/>
            <w:vAlign w:val="bottom"/>
            <w:tcBorders>
              <w:bottom w:val="single" w:sz="8" w:color="auto"/>
            </w:tcBorders>
            <w:gridSpan w:val="2"/>
          </w:tcPr>
          <w:p>
            <w:pPr>
              <w:jc w:val="right"/>
              <w:ind w:right="14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2,598</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5020" w:type="dxa"/>
            <w:vAlign w:val="bottom"/>
            <w:tcBorders>
              <w:bottom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Exercisable at end of period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786,865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36.24</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4.5</w:t>
            </w:r>
          </w:p>
        </w:tc>
        <w:tc>
          <w:tcPr>
            <w:tcW w:w="420" w:type="dxa"/>
            <w:vAlign w:val="bottom"/>
            <w:tcBorders>
              <w:bottom w:val="single" w:sz="8" w:color="auto"/>
            </w:tcBorders>
            <w:gridSpan w:val="2"/>
            <w:shd w:val="clear" w:color="auto" w:fill="CCEEFF"/>
          </w:tcPr>
          <w:p>
            <w:pPr>
              <w:jc w:val="right"/>
              <w:ind w:right="140"/>
              <w:spacing w:after="0" w:line="229"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2,296</w:t>
            </w:r>
          </w:p>
        </w:tc>
      </w:tr>
      <w:tr>
        <w:trPr>
          <w:trHeight w:val="20"/>
        </w:trPr>
        <w:tc>
          <w:tcPr>
            <w:tcW w:w="5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Restricted Stock – </w:t>
      </w:r>
      <w:r>
        <w:rPr>
          <w:rFonts w:ascii="Times New Roman" w:cs="Times New Roman" w:eastAsia="Times New Roman" w:hAnsi="Times New Roman"/>
          <w:sz w:val="21"/>
          <w:szCs w:val="21"/>
          <w:color w:val="auto"/>
        </w:rPr>
        <w:t>Restricted stock awards provide the grantee with the rights of a shareholder, including the right to receive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2720" w:type="dxa"/>
            <w:vAlign w:val="bottom"/>
            <w:gridSpan w:val="4"/>
          </w:tcPr>
          <w:p>
            <w:pPr>
              <w:jc w:val="center"/>
              <w:ind w:left="27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4"/>
          </w:tcPr>
          <w:p>
            <w:pPr>
              <w:jc w:val="center"/>
              <w:ind w:left="272"/>
              <w:spacing w:after="0"/>
              <w:rPr>
                <w:sz w:val="20"/>
                <w:szCs w:val="20"/>
                <w:color w:val="auto"/>
              </w:rPr>
            </w:pPr>
            <w:r>
              <w:rPr>
                <w:rFonts w:ascii="Times New Roman" w:cs="Times New Roman" w:eastAsia="Times New Roman" w:hAnsi="Times New Roman"/>
                <w:sz w:val="22"/>
                <w:szCs w:val="22"/>
                <w:color w:val="auto"/>
                <w:w w:val="98"/>
              </w:rPr>
              <w:t>Nine Months Ended</w:t>
            </w:r>
          </w:p>
        </w:tc>
        <w:tc>
          <w:tcPr>
            <w:tcW w:w="380" w:type="dxa"/>
            <w:vAlign w:val="bottom"/>
          </w:tcPr>
          <w:p>
            <w:pPr>
              <w:spacing w:after="0"/>
              <w:rPr>
                <w:sz w:val="21"/>
                <w:szCs w:val="21"/>
                <w:color w:val="auto"/>
              </w:rPr>
            </w:pPr>
          </w:p>
        </w:tc>
      </w:tr>
      <w:tr>
        <w:trPr>
          <w:trHeight w:val="257"/>
        </w:trPr>
        <w:tc>
          <w:tcPr>
            <w:tcW w:w="4860" w:type="dxa"/>
            <w:vAlign w:val="bottom"/>
          </w:tcPr>
          <w:p>
            <w:pPr>
              <w:spacing w:after="0"/>
              <w:rPr>
                <w:sz w:val="22"/>
                <w:szCs w:val="22"/>
                <w:color w:val="auto"/>
              </w:rPr>
            </w:pPr>
          </w:p>
        </w:tc>
        <w:tc>
          <w:tcPr>
            <w:tcW w:w="2720" w:type="dxa"/>
            <w:vAlign w:val="bottom"/>
            <w:tcBorders>
              <w:bottom w:val="single" w:sz="8" w:color="auto"/>
            </w:tcBorders>
            <w:gridSpan w:val="4"/>
          </w:tcPr>
          <w:p>
            <w:pPr>
              <w:jc w:val="center"/>
              <w:ind w:left="272"/>
              <w:spacing w:after="0"/>
              <w:rPr>
                <w:sz w:val="20"/>
                <w:szCs w:val="20"/>
                <w:color w:val="auto"/>
              </w:rPr>
            </w:pPr>
            <w:r>
              <w:rPr>
                <w:rFonts w:ascii="Times New Roman" w:cs="Times New Roman" w:eastAsia="Times New Roman" w:hAnsi="Times New Roman"/>
                <w:sz w:val="22"/>
                <w:szCs w:val="22"/>
                <w:color w:val="auto"/>
                <w:w w:val="99"/>
              </w:rPr>
              <w:t>September 30,</w:t>
            </w:r>
          </w:p>
        </w:tc>
        <w:tc>
          <w:tcPr>
            <w:tcW w:w="38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640" w:type="dxa"/>
            <w:vAlign w:val="bottom"/>
            <w:tcBorders>
              <w:bottom w:val="single" w:sz="8" w:color="auto"/>
            </w:tcBorders>
            <w:gridSpan w:val="4"/>
          </w:tcPr>
          <w:p>
            <w:pPr>
              <w:jc w:val="center"/>
              <w:ind w:left="272"/>
              <w:spacing w:after="0"/>
              <w:rPr>
                <w:sz w:val="20"/>
                <w:szCs w:val="20"/>
                <w:color w:val="auto"/>
              </w:rPr>
            </w:pPr>
            <w:r>
              <w:rPr>
                <w:rFonts w:ascii="Times New Roman" w:cs="Times New Roman" w:eastAsia="Times New Roman" w:hAnsi="Times New Roman"/>
                <w:sz w:val="22"/>
                <w:szCs w:val="22"/>
                <w:color w:val="auto"/>
                <w:w w:val="99"/>
              </w:rPr>
              <w:t>September 30,</w:t>
            </w:r>
          </w:p>
        </w:tc>
        <w:tc>
          <w:tcPr>
            <w:tcW w:w="380" w:type="dxa"/>
            <w:vAlign w:val="bottom"/>
            <w:tcBorders>
              <w:bottom w:val="single" w:sz="8" w:color="auto"/>
            </w:tcBorders>
          </w:tcPr>
          <w:p>
            <w:pPr>
              <w:spacing w:after="0"/>
              <w:rPr>
                <w:sz w:val="22"/>
                <w:szCs w:val="22"/>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380" w:type="dxa"/>
            <w:vAlign w:val="bottom"/>
            <w:tcBorders>
              <w:bottom w:val="single" w:sz="8" w:color="auto"/>
            </w:tcBorders>
          </w:tcPr>
          <w:p>
            <w:pPr>
              <w:spacing w:after="0"/>
              <w:rPr>
                <w:sz w:val="19"/>
                <w:szCs w:val="19"/>
                <w:color w:val="auto"/>
              </w:rPr>
            </w:pPr>
          </w:p>
        </w:tc>
      </w:tr>
      <w:tr>
        <w:trPr>
          <w:trHeight w:val="182"/>
        </w:trPr>
        <w:tc>
          <w:tcPr>
            <w:tcW w:w="4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0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restricted stock transactions for the nine months ended September 30,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9"/>
              </w:rPr>
              <w:t>Number</w:t>
            </w:r>
          </w:p>
        </w:tc>
        <w:tc>
          <w:tcPr>
            <w:tcW w:w="400" w:type="dxa"/>
            <w:vAlign w:val="bottom"/>
          </w:tcPr>
          <w:p>
            <w:pPr>
              <w:spacing w:after="0"/>
              <w:rPr>
                <w:sz w:val="21"/>
                <w:szCs w:val="21"/>
                <w:color w:val="auto"/>
              </w:rPr>
            </w:pPr>
          </w:p>
        </w:tc>
        <w:tc>
          <w:tcPr>
            <w:tcW w:w="1580" w:type="dxa"/>
            <w:vAlign w:val="bottom"/>
          </w:tcPr>
          <w:p>
            <w:pPr>
              <w:jc w:val="center"/>
              <w:ind w:right="292"/>
              <w:spacing w:after="0"/>
              <w:rPr>
                <w:sz w:val="20"/>
                <w:szCs w:val="20"/>
                <w:color w:val="auto"/>
              </w:rPr>
            </w:pPr>
            <w:r>
              <w:rPr>
                <w:rFonts w:ascii="Times New Roman" w:cs="Times New Roman" w:eastAsia="Times New Roman" w:hAnsi="Times New Roman"/>
                <w:sz w:val="22"/>
                <w:szCs w:val="22"/>
                <w:color w:val="auto"/>
                <w:w w:val="95"/>
              </w:rPr>
              <w:t>Weighted</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400" w:type="dxa"/>
            <w:vAlign w:val="bottom"/>
          </w:tcPr>
          <w:p>
            <w:pPr>
              <w:spacing w:after="0"/>
              <w:rPr>
                <w:sz w:val="19"/>
                <w:szCs w:val="19"/>
                <w:color w:val="auto"/>
              </w:rPr>
            </w:pPr>
          </w:p>
        </w:tc>
        <w:tc>
          <w:tcPr>
            <w:tcW w:w="1580" w:type="dxa"/>
            <w:vAlign w:val="bottom"/>
          </w:tcPr>
          <w:p>
            <w:pPr>
              <w:jc w:val="center"/>
              <w:ind w:right="292"/>
              <w:spacing w:after="0" w:line="229" w:lineRule="exact"/>
              <w:rPr>
                <w:sz w:val="20"/>
                <w:szCs w:val="20"/>
                <w:color w:val="auto"/>
              </w:rPr>
            </w:pPr>
            <w:r>
              <w:rPr>
                <w:rFonts w:ascii="Times New Roman" w:cs="Times New Roman" w:eastAsia="Times New Roman" w:hAnsi="Times New Roman"/>
                <w:sz w:val="22"/>
                <w:szCs w:val="22"/>
                <w:color w:val="auto"/>
                <w:w w:val="93"/>
              </w:rPr>
              <w:t>Average</w:t>
            </w: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5"/>
              </w:rPr>
              <w:t>Shares</w:t>
            </w:r>
          </w:p>
        </w:tc>
        <w:tc>
          <w:tcPr>
            <w:tcW w:w="400" w:type="dxa"/>
            <w:vAlign w:val="bottom"/>
          </w:tcPr>
          <w:p>
            <w:pPr>
              <w:spacing w:after="0"/>
              <w:rPr>
                <w:sz w:val="22"/>
                <w:szCs w:val="22"/>
                <w:color w:val="auto"/>
              </w:rPr>
            </w:pPr>
          </w:p>
        </w:tc>
        <w:tc>
          <w:tcPr>
            <w:tcW w:w="1580" w:type="dxa"/>
            <w:vAlign w:val="bottom"/>
          </w:tcPr>
          <w:p>
            <w:pPr>
              <w:jc w:val="center"/>
              <w:ind w:right="292"/>
              <w:spacing w:after="0"/>
              <w:rPr>
                <w:sz w:val="20"/>
                <w:szCs w:val="20"/>
                <w:color w:val="auto"/>
              </w:rPr>
            </w:pPr>
            <w:r>
              <w:rPr>
                <w:rFonts w:ascii="Times New Roman" w:cs="Times New Roman" w:eastAsia="Times New Roman" w:hAnsi="Times New Roman"/>
                <w:sz w:val="22"/>
                <w:szCs w:val="22"/>
                <w:color w:val="auto"/>
                <w:w w:val="96"/>
              </w:rPr>
              <w:t>Fair Value</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beginning of period</w:t>
            </w:r>
          </w:p>
        </w:tc>
        <w:tc>
          <w:tcPr>
            <w:tcW w:w="23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40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4080" w:type="dxa"/>
            <w:vAlign w:val="bottom"/>
            <w:gridSpan w:val="2"/>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23"/>
        </w:trPr>
        <w:tc>
          <w:tcPr>
            <w:tcW w:w="490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restricted stock at end of period</w:t>
            </w:r>
          </w:p>
        </w:tc>
        <w:tc>
          <w:tcPr>
            <w:tcW w:w="2360" w:type="dxa"/>
            <w:vAlign w:val="bottom"/>
            <w:vMerge w:val="restart"/>
          </w:tcPr>
          <w:p>
            <w:pPr>
              <w:jc w:val="right"/>
              <w:ind w:right="1412"/>
              <w:spacing w:after="0"/>
              <w:rPr>
                <w:sz w:val="20"/>
                <w:szCs w:val="20"/>
                <w:color w:val="auto"/>
              </w:rPr>
            </w:pPr>
            <w:r>
              <w:rPr>
                <w:rFonts w:ascii="Times New Roman" w:cs="Times New Roman" w:eastAsia="Times New Roman" w:hAnsi="Times New Roman"/>
                <w:sz w:val="22"/>
                <w:szCs w:val="22"/>
                <w:color w:val="auto"/>
              </w:rPr>
              <w:t>21</w:t>
            </w:r>
          </w:p>
        </w:tc>
        <w:tc>
          <w:tcPr>
            <w:tcW w:w="17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1,412</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35.42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0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9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were no restricted stock awards granted during the nine months ended September 30, 2024 and 2023.</w:t>
      </w:r>
    </w:p>
    <w:p>
      <w:pPr>
        <w:spacing w:after="0" w:line="21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Stock Awards </w:t>
      </w:r>
      <w:r>
        <w:rPr>
          <w:rFonts w:ascii="Times New Roman" w:cs="Times New Roman" w:eastAsia="Times New Roman" w:hAnsi="Times New Roman"/>
          <w:sz w:val="22"/>
          <w:szCs w:val="22"/>
          <w:color w:val="auto"/>
        </w:rPr>
        <w:t>– Stock awards represent the issuance of the Company’s common stock, without restriction. The issuance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awards results in compensation expense that is equal to the fair market value of the stock on the grant date and is expensed immediately upon grant.</w:t>
      </w:r>
    </w:p>
    <w:p>
      <w:pPr>
        <w:spacing w:after="0" w:line="191"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The following table provides the compensation cost and income tax benefit for stock-based compensation related to stock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2"/>
                <w:szCs w:val="22"/>
                <w:color w:val="auto"/>
              </w:rPr>
            </w:pPr>
          </w:p>
        </w:tc>
        <w:tc>
          <w:tcPr>
            <w:tcW w:w="2600" w:type="dxa"/>
            <w:vAlign w:val="bottom"/>
            <w:gridSpan w:val="4"/>
          </w:tcPr>
          <w:p>
            <w:pPr>
              <w:jc w:val="center"/>
              <w:ind w:left="192"/>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60" w:type="dxa"/>
            <w:vAlign w:val="bottom"/>
            <w:gridSpan w:val="4"/>
          </w:tcPr>
          <w:p>
            <w:pPr>
              <w:jc w:val="center"/>
              <w:ind w:right="252"/>
              <w:spacing w:after="0"/>
              <w:rPr>
                <w:sz w:val="20"/>
                <w:szCs w:val="20"/>
                <w:color w:val="auto"/>
              </w:rPr>
            </w:pPr>
            <w:r>
              <w:rPr>
                <w:rFonts w:ascii="Times New Roman" w:cs="Times New Roman" w:eastAsia="Times New Roman" w:hAnsi="Times New Roman"/>
                <w:sz w:val="22"/>
                <w:szCs w:val="22"/>
                <w:color w:val="auto"/>
                <w:w w:val="98"/>
              </w:rPr>
              <w:t>Nine Months Ended</w:t>
            </w:r>
          </w:p>
        </w:tc>
      </w:tr>
      <w:tr>
        <w:trPr>
          <w:trHeight w:val="257"/>
        </w:trPr>
        <w:tc>
          <w:tcPr>
            <w:tcW w:w="4700" w:type="dxa"/>
            <w:vAlign w:val="bottom"/>
          </w:tcPr>
          <w:p>
            <w:pPr>
              <w:spacing w:after="0"/>
              <w:rPr>
                <w:sz w:val="22"/>
                <w:szCs w:val="22"/>
                <w:color w:val="auto"/>
              </w:rPr>
            </w:pPr>
          </w:p>
        </w:tc>
        <w:tc>
          <w:tcPr>
            <w:tcW w:w="2600" w:type="dxa"/>
            <w:vAlign w:val="bottom"/>
            <w:tcBorders>
              <w:bottom w:val="single" w:sz="8" w:color="auto"/>
            </w:tcBorders>
            <w:gridSpan w:val="4"/>
          </w:tcPr>
          <w:p>
            <w:pPr>
              <w:jc w:val="center"/>
              <w:ind w:left="212"/>
              <w:spacing w:after="0"/>
              <w:rPr>
                <w:sz w:val="20"/>
                <w:szCs w:val="20"/>
                <w:color w:val="auto"/>
              </w:rPr>
            </w:pPr>
            <w:r>
              <w:rPr>
                <w:rFonts w:ascii="Times New Roman" w:cs="Times New Roman" w:eastAsia="Times New Roman" w:hAnsi="Times New Roman"/>
                <w:sz w:val="22"/>
                <w:szCs w:val="22"/>
                <w:color w:val="auto"/>
                <w:w w:val="97"/>
              </w:rPr>
              <w:t>September 30,</w:t>
            </w:r>
          </w:p>
        </w:tc>
        <w:tc>
          <w:tcPr>
            <w:tcW w:w="3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center"/>
              <w:ind w:left="572"/>
              <w:spacing w:after="0"/>
              <w:rPr>
                <w:sz w:val="20"/>
                <w:szCs w:val="20"/>
                <w:color w:val="auto"/>
              </w:rPr>
            </w:pPr>
            <w:r>
              <w:rPr>
                <w:rFonts w:ascii="Times New Roman" w:cs="Times New Roman" w:eastAsia="Times New Roman" w:hAnsi="Times New Roman"/>
                <w:sz w:val="22"/>
                <w:szCs w:val="22"/>
                <w:color w:val="auto"/>
                <w:w w:val="99"/>
              </w:rPr>
              <w:t>September 30,</w:t>
            </w:r>
          </w:p>
        </w:tc>
        <w:tc>
          <w:tcPr>
            <w:tcW w:w="1040" w:type="dxa"/>
            <w:vAlign w:val="bottom"/>
            <w:tcBorders>
              <w:bottom w:val="single" w:sz="8" w:color="auto"/>
            </w:tcBorders>
          </w:tcPr>
          <w:p>
            <w:pPr>
              <w:spacing w:after="0"/>
              <w:rPr>
                <w:sz w:val="22"/>
                <w:szCs w:val="22"/>
                <w:color w:val="auto"/>
              </w:rPr>
            </w:pPr>
          </w:p>
        </w:tc>
      </w:tr>
      <w:tr>
        <w:trPr>
          <w:trHeight w:val="223"/>
        </w:trPr>
        <w:tc>
          <w:tcPr>
            <w:tcW w:w="4700" w:type="dxa"/>
            <w:vAlign w:val="bottom"/>
          </w:tcPr>
          <w:p>
            <w:pPr>
              <w:spacing w:after="0"/>
              <w:rPr>
                <w:sz w:val="19"/>
                <w:szCs w:val="19"/>
                <w:color w:val="auto"/>
              </w:rPr>
            </w:pPr>
          </w:p>
        </w:tc>
        <w:tc>
          <w:tcPr>
            <w:tcW w:w="1020" w:type="dxa"/>
            <w:vAlign w:val="bottom"/>
          </w:tcPr>
          <w:p>
            <w:pPr>
              <w:jc w:val="right"/>
              <w:ind w:right="3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158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2"/>
                <w:szCs w:val="22"/>
                <w:color w:val="auto"/>
              </w:rPr>
              <w:t>2023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w w:val="99"/>
              </w:rPr>
              <w:t>2023</w:t>
            </w:r>
          </w:p>
        </w:tc>
      </w:tr>
      <w:tr>
        <w:trPr>
          <w:trHeight w:val="182"/>
        </w:trPr>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21"/>
                <w:szCs w:val="21"/>
                <w:color w:val="auto"/>
              </w:rPr>
              <w:t>Stock-based compensation within operations and</w:t>
            </w: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maintenance expenses</w:t>
            </w:r>
          </w:p>
        </w:tc>
        <w:tc>
          <w:tcPr>
            <w:tcW w:w="102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22"/>
                <w:szCs w:val="22"/>
                <w:color w:val="auto"/>
              </w:rPr>
              <w:t>-   $</w:t>
            </w:r>
          </w:p>
        </w:tc>
        <w:tc>
          <w:tcPr>
            <w:tcW w:w="8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22"/>
                <w:szCs w:val="22"/>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840</w:t>
            </w: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780</w:t>
            </w:r>
          </w:p>
        </w:tc>
      </w:tr>
      <w:tr>
        <w:trPr>
          <w:trHeight w:val="28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Income tax benefit</w:t>
            </w:r>
          </w:p>
        </w:tc>
        <w:tc>
          <w:tcPr>
            <w:tcW w:w="1020" w:type="dxa"/>
            <w:vAlign w:val="bottom"/>
          </w:tcPr>
          <w:p>
            <w:pPr>
              <w:spacing w:after="0"/>
              <w:rPr>
                <w:sz w:val="24"/>
                <w:szCs w:val="24"/>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233</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219</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stock award transactions for the nine months ended September 30, 2024:</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22"/>
                <w:szCs w:val="22"/>
                <w:color w:val="auto"/>
                <w:w w:val="97"/>
              </w:rPr>
              <w:t>Number</w:t>
            </w: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8"/>
              </w:rPr>
              <w:t>Weighted</w:t>
            </w:r>
          </w:p>
        </w:tc>
      </w:tr>
      <w:tr>
        <w:trPr>
          <w:trHeight w:val="230"/>
        </w:trPr>
        <w:tc>
          <w:tcPr>
            <w:tcW w:w="7140" w:type="dxa"/>
            <w:vAlign w:val="bottom"/>
          </w:tcPr>
          <w:p>
            <w:pPr>
              <w:spacing w:after="0"/>
              <w:rPr>
                <w:sz w:val="19"/>
                <w:szCs w:val="19"/>
                <w:color w:val="auto"/>
              </w:rPr>
            </w:pPr>
          </w:p>
        </w:tc>
        <w:tc>
          <w:tcPr>
            <w:tcW w:w="2100" w:type="dxa"/>
            <w:vAlign w:val="bottom"/>
            <w:gridSpan w:val="2"/>
          </w:tcPr>
          <w:p>
            <w:pPr>
              <w:jc w:val="center"/>
              <w:ind w:right="280"/>
              <w:spacing w:after="0" w:line="229" w:lineRule="exact"/>
              <w:rPr>
                <w:sz w:val="20"/>
                <w:szCs w:val="20"/>
                <w:color w:val="auto"/>
              </w:rPr>
            </w:pPr>
            <w:r>
              <w:rPr>
                <w:rFonts w:ascii="Times New Roman" w:cs="Times New Roman" w:eastAsia="Times New Roman" w:hAnsi="Times New Roman"/>
                <w:sz w:val="22"/>
                <w:szCs w:val="22"/>
                <w:color w:val="auto"/>
                <w:w w:val="97"/>
              </w:rPr>
              <w:t>of</w:t>
            </w: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Times New Roman" w:cs="Times New Roman" w:eastAsia="Times New Roman" w:hAnsi="Times New Roman"/>
                <w:sz w:val="22"/>
                <w:szCs w:val="22"/>
                <w:color w:val="auto"/>
                <w:w w:val="96"/>
              </w:rPr>
              <w:t>Average</w:t>
            </w:r>
          </w:p>
        </w:tc>
      </w:tr>
      <w:tr>
        <w:trPr>
          <w:trHeight w:val="257"/>
        </w:trPr>
        <w:tc>
          <w:tcPr>
            <w:tcW w:w="7140" w:type="dxa"/>
            <w:vAlign w:val="bottom"/>
          </w:tcPr>
          <w:p>
            <w:pPr>
              <w:spacing w:after="0"/>
              <w:rPr>
                <w:sz w:val="22"/>
                <w:szCs w:val="22"/>
                <w:color w:val="auto"/>
              </w:rPr>
            </w:pP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22"/>
                <w:szCs w:val="22"/>
                <w:color w:val="auto"/>
                <w:w w:val="96"/>
              </w:rPr>
              <w:t>Stock Awards</w:t>
            </w:r>
          </w:p>
        </w:tc>
        <w:tc>
          <w:tcPr>
            <w:tcW w:w="340" w:type="dxa"/>
            <w:vAlign w:val="bottom"/>
          </w:tcPr>
          <w:p>
            <w:pPr>
              <w:spacing w:after="0"/>
              <w:rPr>
                <w:sz w:val="22"/>
                <w:szCs w:val="22"/>
                <w:color w:val="auto"/>
              </w:rPr>
            </w:pPr>
          </w:p>
        </w:tc>
        <w:tc>
          <w:tcPr>
            <w:tcW w:w="1660" w:type="dxa"/>
            <w:vAlign w:val="bottom"/>
          </w:tcPr>
          <w:p>
            <w:pPr>
              <w:jc w:val="center"/>
              <w:ind w:right="232"/>
              <w:spacing w:after="0"/>
              <w:rPr>
                <w:sz w:val="20"/>
                <w:szCs w:val="20"/>
                <w:color w:val="auto"/>
              </w:rPr>
            </w:pPr>
            <w:r>
              <w:rPr>
                <w:rFonts w:ascii="Times New Roman" w:cs="Times New Roman" w:eastAsia="Times New Roman" w:hAnsi="Times New Roman"/>
                <w:sz w:val="22"/>
                <w:szCs w:val="22"/>
                <w:color w:val="auto"/>
                <w:w w:val="94"/>
              </w:rPr>
              <w:t>Fair Value</w:t>
            </w:r>
          </w:p>
        </w:tc>
      </w:tr>
      <w:tr>
        <w:trPr>
          <w:trHeight w:val="223"/>
        </w:trPr>
        <w:tc>
          <w:tcPr>
            <w:tcW w:w="7140" w:type="dxa"/>
            <w:vAlign w:val="bottom"/>
            <w:tcBorders>
              <w:top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beginning of period</w:t>
            </w:r>
          </w:p>
        </w:tc>
        <w:tc>
          <w:tcPr>
            <w:tcW w:w="18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Granted</w:t>
            </w:r>
          </w:p>
        </w:tc>
        <w:tc>
          <w:tcPr>
            <w:tcW w:w="18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22,813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36.82</w:t>
            </w:r>
          </w:p>
        </w:tc>
      </w:tr>
      <w:tr>
        <w:trPr>
          <w:trHeight w:val="230"/>
        </w:trPr>
        <w:tc>
          <w:tcPr>
            <w:tcW w:w="71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22"/>
                <w:szCs w:val="22"/>
                <w:color w:val="auto"/>
              </w:rPr>
              <w:t>Vested</w:t>
            </w:r>
          </w:p>
        </w:tc>
        <w:tc>
          <w:tcPr>
            <w:tcW w:w="2100" w:type="dxa"/>
            <w:vAlign w:val="bottom"/>
            <w:gridSpan w:val="2"/>
            <w:shd w:val="clear" w:color="auto" w:fill="CCEEFF"/>
          </w:tcPr>
          <w:p>
            <w:pPr>
              <w:jc w:val="right"/>
              <w:ind w:right="260"/>
              <w:spacing w:after="0" w:line="229" w:lineRule="exact"/>
              <w:rPr>
                <w:sz w:val="20"/>
                <w:szCs w:val="20"/>
                <w:color w:val="auto"/>
              </w:rPr>
            </w:pPr>
            <w:r>
              <w:rPr>
                <w:rFonts w:ascii="Times New Roman" w:cs="Times New Roman" w:eastAsia="Times New Roman" w:hAnsi="Times New Roman"/>
                <w:sz w:val="22"/>
                <w:szCs w:val="22"/>
                <w:color w:val="auto"/>
              </w:rPr>
              <w:t>(22,813)</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36.82</w:t>
            </w:r>
          </w:p>
        </w:tc>
      </w:tr>
      <w:tr>
        <w:trPr>
          <w:trHeight w:val="223"/>
        </w:trPr>
        <w:tc>
          <w:tcPr>
            <w:tcW w:w="71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Nonvested stock awards at end of period</w:t>
            </w:r>
          </w:p>
        </w:tc>
        <w:tc>
          <w:tcPr>
            <w:tcW w:w="1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2"/>
          <w:szCs w:val="22"/>
          <w:color w:val="auto"/>
        </w:rPr>
        <w:t>The weighted-average fair value at the date of grant for stock awards granted during the nine months ended September 30, 2024 and 2023 was $36.82 and $41.78,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10 – </w:t>
      </w:r>
      <w:r>
        <w:rPr>
          <w:rFonts w:ascii="Times New Roman" w:cs="Times New Roman" w:eastAsia="Times New Roman" w:hAnsi="Times New Roman"/>
          <w:sz w:val="22"/>
          <w:szCs w:val="22"/>
          <w:b w:val="1"/>
          <w:bCs w:val="1"/>
          <w:i w:val="1"/>
          <w:iCs w:val="1"/>
          <w:color w:val="auto"/>
        </w:rPr>
        <w:t>Pension Plans and Other Postretirement Benefits</w:t>
      </w:r>
    </w:p>
    <w:p>
      <w:pPr>
        <w:spacing w:after="0" w:line="226"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2"/>
          <w:szCs w:val="22"/>
          <w:color w:val="auto"/>
        </w:rPr>
        <w:t>The Company maintains a qualified defined benefit pension plan (the “Pension Plan”), a nonqualified pension plan, and other postretirement benefit plans for certain of its employees.</w:t>
      </w:r>
    </w:p>
    <w:p>
      <w:pPr>
        <w:spacing w:after="0" w:line="186"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22"/>
          <w:szCs w:val="22"/>
          <w:color w:val="auto"/>
        </w:rPr>
        <w:t>The following tables provide the components of net periodic benefit cost for the Company’s pension and other postretirement benefit plans:</w:t>
      </w: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5"/>
          </w:tcPr>
          <w:p>
            <w:pPr>
              <w:jc w:val="center"/>
              <w:ind w:right="520"/>
              <w:spacing w:after="0" w:line="246" w:lineRule="exact"/>
              <w:rPr>
                <w:sz w:val="20"/>
                <w:szCs w:val="20"/>
                <w:color w:val="auto"/>
              </w:rPr>
            </w:pPr>
            <w:r>
              <w:rPr>
                <w:rFonts w:ascii="Times New Roman" w:cs="Times New Roman" w:eastAsia="Times New Roman" w:hAnsi="Times New Roman"/>
                <w:sz w:val="22"/>
                <w:szCs w:val="22"/>
                <w:color w:val="auto"/>
                <w:w w:val="98"/>
              </w:rPr>
              <w:t>Pension Benefits</w:t>
            </w:r>
          </w:p>
        </w:tc>
        <w:tc>
          <w:tcPr>
            <w:tcW w:w="5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49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0" w:type="dxa"/>
            <w:vAlign w:val="bottom"/>
            <w:gridSpan w:val="4"/>
          </w:tcPr>
          <w:p>
            <w:pPr>
              <w:jc w:val="right"/>
              <w:ind w:right="752"/>
              <w:spacing w:after="0" w:line="196" w:lineRule="exact"/>
              <w:rPr>
                <w:sz w:val="20"/>
                <w:szCs w:val="20"/>
                <w:color w:val="auto"/>
              </w:rPr>
            </w:pPr>
            <w:r>
              <w:rPr>
                <w:rFonts w:ascii="Times New Roman" w:cs="Times New Roman" w:eastAsia="Times New Roman" w:hAnsi="Times New Roman"/>
                <w:sz w:val="22"/>
                <w:szCs w:val="22"/>
                <w:color w:val="auto"/>
              </w:rPr>
              <w:t>Nine Months Ended</w:t>
            </w:r>
          </w:p>
        </w:tc>
        <w:tc>
          <w:tcPr>
            <w:tcW w:w="20" w:type="dxa"/>
            <w:vAlign w:val="bottom"/>
          </w:tcPr>
          <w:p>
            <w:pPr>
              <w:spacing w:after="0"/>
              <w:rPr>
                <w:sz w:val="17"/>
                <w:szCs w:val="17"/>
                <w:color w:val="auto"/>
              </w:rPr>
            </w:pPr>
          </w:p>
        </w:tc>
      </w:tr>
      <w:tr>
        <w:trPr>
          <w:trHeight w:val="257"/>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8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w w:val="95"/>
              </w:rPr>
              <w:t>2023</w:t>
            </w:r>
          </w:p>
        </w:tc>
        <w:tc>
          <w:tcPr>
            <w:tcW w:w="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99"/>
              </w:rPr>
              <w:t>2023</w:t>
            </w:r>
          </w:p>
        </w:tc>
        <w:tc>
          <w:tcPr>
            <w:tcW w:w="20" w:type="dxa"/>
            <w:vAlign w:val="bottom"/>
          </w:tcPr>
          <w:p>
            <w:pPr>
              <w:spacing w:after="0"/>
              <w:rPr>
                <w:sz w:val="19"/>
                <w:szCs w:val="19"/>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358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400</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1,072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1,201</w:t>
            </w:r>
          </w:p>
        </w:tc>
        <w:tc>
          <w:tcPr>
            <w:tcW w:w="20" w:type="dxa"/>
            <w:vAlign w:val="bottom"/>
          </w:tcPr>
          <w:p>
            <w:pPr>
              <w:spacing w:after="0"/>
              <w:rPr>
                <w:sz w:val="19"/>
                <w:szCs w:val="19"/>
                <w:color w:val="auto"/>
              </w:rPr>
            </w:pPr>
          </w:p>
        </w:tc>
      </w:tr>
      <w:tr>
        <w:trPr>
          <w:trHeight w:val="230"/>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3,908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4,309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11,724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12,926</w:t>
            </w:r>
          </w:p>
        </w:tc>
        <w:tc>
          <w:tcPr>
            <w:tcW w:w="20" w:type="dxa"/>
            <w:vAlign w:val="bottom"/>
          </w:tcPr>
          <w:p>
            <w:pPr>
              <w:spacing w:after="0"/>
              <w:rPr>
                <w:sz w:val="19"/>
                <w:szCs w:val="19"/>
                <w:color w:val="auto"/>
              </w:rPr>
            </w:pPr>
          </w:p>
        </w:tc>
      </w:tr>
      <w:tr>
        <w:trPr>
          <w:trHeight w:val="229"/>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(4,696)</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(5,673)</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(14,088)</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(17,018)</w:t>
            </w:r>
          </w:p>
        </w:tc>
        <w:tc>
          <w:tcPr>
            <w:tcW w:w="20" w:type="dxa"/>
            <w:vAlign w:val="bottom"/>
          </w:tcPr>
          <w:p>
            <w:pPr>
              <w:spacing w:after="0"/>
              <w:rPr>
                <w:sz w:val="19"/>
                <w:szCs w:val="19"/>
                <w:color w:val="auto"/>
              </w:rPr>
            </w:pPr>
          </w:p>
        </w:tc>
      </w:tr>
      <w:tr>
        <w:trPr>
          <w:trHeight w:val="229"/>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prior service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82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171</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244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513</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751</w:t>
            </w:r>
          </w:p>
        </w:tc>
        <w:tc>
          <w:tcPr>
            <w:tcW w:w="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810</w:t>
            </w:r>
          </w:p>
        </w:tc>
        <w:tc>
          <w:tcPr>
            <w:tcW w:w="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2,253</w:t>
            </w:r>
          </w:p>
        </w:tc>
        <w:tc>
          <w:tcPr>
            <w:tcW w:w="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2,428</w:t>
            </w:r>
          </w:p>
        </w:tc>
        <w:tc>
          <w:tcPr>
            <w:tcW w:w="20" w:type="dxa"/>
            <w:vAlign w:val="bottom"/>
          </w:tcPr>
          <w:p>
            <w:pPr>
              <w:spacing w:after="0"/>
              <w:rPr>
                <w:sz w:val="19"/>
                <w:szCs w:val="19"/>
                <w:color w:val="auto"/>
              </w:rPr>
            </w:pPr>
          </w:p>
        </w:tc>
      </w:tr>
      <w:tr>
        <w:trPr>
          <w:trHeight w:val="223"/>
        </w:trPr>
        <w:tc>
          <w:tcPr>
            <w:tcW w:w="446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20" w:type="dxa"/>
            <w:vAlign w:val="bottom"/>
            <w:tcBorders>
              <w:bottom w:val="single" w:sz="8" w:color="auto"/>
            </w:tcBorders>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403</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17</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1,205</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2"/>
                <w:szCs w:val="22"/>
                <w:color w:val="auto"/>
              </w:rPr>
              <w:t>50</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Other</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22"/>
                <w:szCs w:val="22"/>
                <w:color w:val="auto"/>
                <w:w w:val="97"/>
              </w:rPr>
              <w:t>Postretirement Benefits</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372"/>
              <w:spacing w:after="0" w:line="196" w:lineRule="exact"/>
              <w:rPr>
                <w:sz w:val="20"/>
                <w:szCs w:val="20"/>
                <w:color w:val="auto"/>
              </w:rPr>
            </w:pPr>
            <w:r>
              <w:rPr>
                <w:rFonts w:ascii="Times New Roman" w:cs="Times New Roman" w:eastAsia="Times New Roman" w:hAnsi="Times New Roman"/>
                <w:sz w:val="22"/>
                <w:szCs w:val="22"/>
                <w:color w:val="auto"/>
              </w:rPr>
              <w:t>Three Months Ended</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0" w:type="dxa"/>
            <w:vAlign w:val="bottom"/>
            <w:gridSpan w:val="4"/>
          </w:tcPr>
          <w:p>
            <w:pPr>
              <w:jc w:val="center"/>
              <w:ind w:right="112"/>
              <w:spacing w:after="0" w:line="196" w:lineRule="exact"/>
              <w:rPr>
                <w:sz w:val="20"/>
                <w:szCs w:val="20"/>
                <w:color w:val="auto"/>
              </w:rPr>
            </w:pPr>
            <w:r>
              <w:rPr>
                <w:rFonts w:ascii="Times New Roman" w:cs="Times New Roman" w:eastAsia="Times New Roman" w:hAnsi="Times New Roman"/>
                <w:sz w:val="22"/>
                <w:szCs w:val="22"/>
                <w:color w:val="auto"/>
                <w:w w:val="98"/>
              </w:rPr>
              <w:t>Nine Months Ended</w:t>
            </w:r>
          </w:p>
        </w:tc>
        <w:tc>
          <w:tcPr>
            <w:tcW w:w="20" w:type="dxa"/>
            <w:vAlign w:val="bottom"/>
          </w:tcPr>
          <w:p>
            <w:pPr>
              <w:spacing w:after="0"/>
              <w:rPr>
                <w:sz w:val="17"/>
                <w:szCs w:val="17"/>
                <w:color w:val="auto"/>
              </w:rPr>
            </w:pPr>
          </w:p>
        </w:tc>
      </w:tr>
      <w:tr>
        <w:trPr>
          <w:trHeight w:val="257"/>
        </w:trPr>
        <w:tc>
          <w:tcPr>
            <w:tcW w:w="4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00" w:type="dxa"/>
            <w:vAlign w:val="bottom"/>
            <w:gridSpan w:val="4"/>
          </w:tcPr>
          <w:p>
            <w:pPr>
              <w:jc w:val="right"/>
              <w:ind w:right="672"/>
              <w:spacing w:after="0"/>
              <w:rPr>
                <w:sz w:val="20"/>
                <w:szCs w:val="20"/>
                <w:color w:val="auto"/>
              </w:rPr>
            </w:pPr>
            <w:r>
              <w:rPr>
                <w:rFonts w:ascii="Times New Roman" w:cs="Times New Roman" w:eastAsia="Times New Roman" w:hAnsi="Times New Roman"/>
                <w:sz w:val="22"/>
                <w:szCs w:val="22"/>
                <w:color w:val="auto"/>
              </w:rPr>
              <w:t>September 30,</w:t>
            </w: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20" w:type="dxa"/>
            <w:vAlign w:val="bottom"/>
            <w:gridSpan w:val="5"/>
          </w:tcPr>
          <w:p>
            <w:pPr>
              <w:jc w:val="center"/>
              <w:ind w:right="260"/>
              <w:spacing w:after="0"/>
              <w:rPr>
                <w:sz w:val="20"/>
                <w:szCs w:val="20"/>
                <w:color w:val="auto"/>
              </w:rPr>
            </w:pPr>
            <w:r>
              <w:rPr>
                <w:rFonts w:ascii="Times New Roman" w:cs="Times New Roman" w:eastAsia="Times New Roman" w:hAnsi="Times New Roman"/>
                <w:sz w:val="22"/>
                <w:szCs w:val="22"/>
                <w:color w:val="auto"/>
                <w:w w:val="97"/>
              </w:rPr>
              <w:t>September 30,</w:t>
            </w:r>
          </w:p>
        </w:tc>
      </w:tr>
      <w:tr>
        <w:trPr>
          <w:trHeight w:val="223"/>
        </w:trPr>
        <w:tc>
          <w:tcPr>
            <w:tcW w:w="44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Times New Roman" w:cs="Times New Roman" w:eastAsia="Times New Roman" w:hAnsi="Times New Roman"/>
                <w:sz w:val="22"/>
                <w:szCs w:val="22"/>
                <w:color w:val="auto"/>
                <w:w w:val="95"/>
              </w:rPr>
              <w:t>2023</w:t>
            </w:r>
          </w:p>
        </w:tc>
        <w:tc>
          <w:tcPr>
            <w:tcW w:w="3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Times New Roman" w:cs="Times New Roman" w:eastAsia="Times New Roman" w:hAnsi="Times New Roman"/>
                <w:sz w:val="22"/>
                <w:szCs w:val="22"/>
                <w:color w:val="auto"/>
                <w:w w:val="99"/>
              </w:rPr>
              <w:t>2023</w:t>
            </w:r>
          </w:p>
        </w:tc>
        <w:tc>
          <w:tcPr>
            <w:tcW w:w="20" w:type="dxa"/>
            <w:vAlign w:val="bottom"/>
          </w:tcPr>
          <w:p>
            <w:pPr>
              <w:spacing w:after="0"/>
              <w:rPr>
                <w:sz w:val="19"/>
                <w:szCs w:val="19"/>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Service cost</w:t>
            </w: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363</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337</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1,089</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1,011</w:t>
            </w:r>
          </w:p>
        </w:tc>
        <w:tc>
          <w:tcPr>
            <w:tcW w:w="20" w:type="dxa"/>
            <w:vAlign w:val="bottom"/>
          </w:tcPr>
          <w:p>
            <w:pPr>
              <w:spacing w:after="0"/>
              <w:rPr>
                <w:sz w:val="19"/>
                <w:szCs w:val="19"/>
                <w:color w:val="auto"/>
              </w:rPr>
            </w:pPr>
          </w:p>
        </w:tc>
      </w:tr>
      <w:tr>
        <w:trPr>
          <w:trHeight w:val="230"/>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1,119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3,337</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3,357</w:t>
            </w:r>
          </w:p>
        </w:tc>
        <w:tc>
          <w:tcPr>
            <w:tcW w:w="20" w:type="dxa"/>
            <w:vAlign w:val="bottom"/>
          </w:tcPr>
          <w:p>
            <w:pPr>
              <w:spacing w:after="0"/>
              <w:rPr>
                <w:sz w:val="19"/>
                <w:szCs w:val="19"/>
                <w:color w:val="auto"/>
              </w:rPr>
            </w:pPr>
          </w:p>
        </w:tc>
      </w:tr>
      <w:tr>
        <w:trPr>
          <w:trHeight w:val="230"/>
        </w:trPr>
        <w:tc>
          <w:tcPr>
            <w:tcW w:w="446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Expected return on plan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(1,105)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(1,093)</w:t>
            </w: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(3,315)</w:t>
            </w: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(3,279)</w:t>
            </w:r>
          </w:p>
        </w:tc>
        <w:tc>
          <w:tcPr>
            <w:tcW w:w="20" w:type="dxa"/>
            <w:vAlign w:val="bottom"/>
          </w:tcPr>
          <w:p>
            <w:pPr>
              <w:spacing w:after="0"/>
              <w:rPr>
                <w:sz w:val="19"/>
                <w:szCs w:val="19"/>
                <w:color w:val="auto"/>
              </w:rPr>
            </w:pPr>
          </w:p>
        </w:tc>
      </w:tr>
      <w:tr>
        <w:trPr>
          <w:trHeight w:val="230"/>
        </w:trPr>
        <w:tc>
          <w:tcPr>
            <w:tcW w:w="446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Amortization of actuarial gain</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(267)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(329)</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2"/>
                <w:szCs w:val="22"/>
                <w:color w:val="auto"/>
              </w:rPr>
              <w:t>(801)</w:t>
            </w: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(988)</w:t>
            </w:r>
          </w:p>
        </w:tc>
        <w:tc>
          <w:tcPr>
            <w:tcW w:w="20" w:type="dxa"/>
            <w:vAlign w:val="bottom"/>
          </w:tcPr>
          <w:p>
            <w:pPr>
              <w:spacing w:after="0"/>
              <w:rPr>
                <w:sz w:val="19"/>
                <w:szCs w:val="19"/>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Net periodic benefit cost</w:t>
            </w:r>
          </w:p>
        </w:tc>
        <w:tc>
          <w:tcPr>
            <w:tcW w:w="320" w:type="dxa"/>
            <w:vAlign w:val="bottom"/>
            <w:tcBorders>
              <w:top w:val="single" w:sz="8" w:color="auto"/>
              <w:bottom w:val="single" w:sz="8" w:color="auto"/>
            </w:tcBorders>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8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center"/>
              <w:ind w:right="232"/>
              <w:spacing w:after="0" w:line="223" w:lineRule="exact"/>
              <w:rPr>
                <w:sz w:val="20"/>
                <w:szCs w:val="20"/>
                <w:color w:val="auto"/>
              </w:rPr>
            </w:pPr>
            <w:r>
              <w:rPr>
                <w:rFonts w:ascii="Times New Roman" w:cs="Times New Roman" w:eastAsia="Times New Roman" w:hAnsi="Times New Roman"/>
                <w:sz w:val="22"/>
                <w:szCs w:val="22"/>
                <w:color w:val="auto"/>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310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101</w:t>
            </w:r>
          </w:p>
        </w:tc>
        <w:tc>
          <w:tcPr>
            <w:tcW w:w="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The net periodic benefit cost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other than service cost in the condensed consolidated statements of operations and comprehensive income on the line item “Other, net”.</w:t>
      </w:r>
    </w:p>
    <w:p>
      <w:pPr>
        <w:spacing w:after="0" w:line="192"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2"/>
          <w:szCs w:val="22"/>
          <w:color w:val="auto"/>
        </w:rPr>
        <w:t>The Company made a cash contribution of $9,394 to the Pension Plan during the third quarter of 2024, which completed the Company’s expected cash contributions for the year.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11 – </w:t>
      </w:r>
      <w:r>
        <w:rPr>
          <w:rFonts w:ascii="Times New Roman" w:cs="Times New Roman" w:eastAsia="Times New Roman" w:hAnsi="Times New Roman"/>
          <w:sz w:val="22"/>
          <w:szCs w:val="22"/>
          <w:b w:val="1"/>
          <w:bCs w:val="1"/>
          <w:i w:val="1"/>
          <w:iCs w:val="1"/>
          <w:color w:val="auto"/>
        </w:rPr>
        <w:t>Rate Activity</w:t>
      </w:r>
    </w:p>
    <w:p>
      <w:pPr>
        <w:spacing w:after="0" w:line="212" w:lineRule="exact"/>
        <w:rPr>
          <w:sz w:val="20"/>
          <w:szCs w:val="20"/>
          <w:color w:val="auto"/>
        </w:rPr>
      </w:pPr>
    </w:p>
    <w:p>
      <w:pPr>
        <w:jc w:val="both"/>
        <w:ind w:right="480"/>
        <w:spacing w:after="0" w:line="233" w:lineRule="auto"/>
        <w:rPr>
          <w:sz w:val="20"/>
          <w:szCs w:val="20"/>
          <w:color w:val="auto"/>
        </w:rPr>
      </w:pPr>
      <w:r>
        <w:rPr>
          <w:rFonts w:ascii="Times New Roman" w:cs="Times New Roman" w:eastAsia="Times New Roman" w:hAnsi="Times New Roman"/>
          <w:sz w:val="22"/>
          <w:szCs w:val="22"/>
          <w:color w:val="auto"/>
        </w:rPr>
        <w:t>On October 9, 2024, Aqua New Jersey received an order from the New Jersey Board of Public Utilities that was designed to provide an increase in water rates of $2,250 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w:t>
      </w:r>
    </w:p>
    <w:p>
      <w:pPr>
        <w:spacing w:after="0" w:line="179"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22"/>
          <w:szCs w:val="22"/>
          <w:color w:val="auto"/>
        </w:rPr>
        <w:t>On September 12, 2024, the Pennsylvania Public Utility Commission (“PAPUC”) issued an order approving the settlement agreement to the general rate case filed by the Company’s regulated natural gas operating subsidiary, Peoples Natural Gas, that allowed base rate increases designed to increase total annual operating revenues by $93,000 or 11.1%. At the time the rate order was received, the rates in effect included various surcharges and credits, such as the Distribution System Improvement Charges (“DSIC”) and Tax Cuts and Jobs Act (“TCJA”) amortization credits totaling approximately $21,000 on an annual basis. The order also provided an annualized change in gathering and other operating revenues of approximately $3,000. Consequently the aggregate annual base rates increased approximately $111,000 as the DSIC was reset to zero, and the TCJA amortization 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 decreases rates when the weather is colder than average, and increases rates when the weather is warmer than average. The Company expects the weather normalization adjustment mechanism to result in reduced earnings volatility during the heating season. On October 11, 2024, the Pennsylvania Office of the Consumers Advocate appealed this rate case to the Commonwealth Court.</w:t>
      </w:r>
    </w:p>
    <w:p>
      <w:pPr>
        <w:spacing w:after="0" w:line="19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On September 12, 2024, the Company’s regulated water and wastewater operating subsidiary in Virginia, Aqua Virginia, received an order from the State Corporation Commission approving an increase in revenues by $5,490 or 23.8% on an annual basis. The Company implemented interim rates in February 2024 and will refund to customers the difference between interim and final approved rates.</w:t>
      </w:r>
    </w:p>
    <w:p>
      <w:pPr>
        <w:spacing w:after="0" w:line="179"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2"/>
          <w:szCs w:val="22"/>
          <w:color w:val="auto"/>
        </w:rPr>
        <w:t>On May 23, 2024, Aqua Pennsylvania filed an application with the PAPUC designed to increase rates by $126,675 or 18.9% on an annual basis. The Company anticipates a final order to be issued by February 2025.</w:t>
      </w:r>
    </w:p>
    <w:p>
      <w:pPr>
        <w:spacing w:after="0" w:line="186"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On January 2, 2024, Aqua Illinois filed an application with the Illinois Commerce Commission designed to increase water and wastewater rates by $19,196 or 18.9% on an annual basis. On October 8, 2024, the Company received a recommended decision from the administrative law judge. The Company anticipates a final order to be issued by December 2024.</w:t>
      </w:r>
    </w:p>
    <w:p>
      <w:pPr>
        <w:spacing w:after="0" w:line="19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color w:val="auto"/>
        </w:rPr>
        <w:t>On December 13, 2023, the Company’s regulated water and wastewater utility operating divisions in Ohio received an order from the Public Utilities Commission of Ohio designed to increase operating</w:t>
      </w: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revenues by $4,850 annually. New rates for water and sewer service went into effect on December 13, 2023.</w:t>
      </w:r>
    </w:p>
    <w:p>
      <w:pPr>
        <w:spacing w:after="0" w:line="193" w:lineRule="exact"/>
        <w:rPr>
          <w:sz w:val="20"/>
          <w:szCs w:val="20"/>
          <w:color w:val="auto"/>
        </w:rPr>
      </w:pPr>
    </w:p>
    <w:p>
      <w:pPr>
        <w:ind w:right="240"/>
        <w:spacing w:after="0" w:line="230" w:lineRule="auto"/>
        <w:rPr>
          <w:sz w:val="20"/>
          <w:szCs w:val="20"/>
          <w:color w:val="auto"/>
        </w:rPr>
      </w:pPr>
      <w:r>
        <w:rPr>
          <w:rFonts w:ascii="Times New Roman" w:cs="Times New Roman" w:eastAsia="Times New Roman" w:hAnsi="Times New Roman"/>
          <w:sz w:val="22"/>
          <w:szCs w:val="22"/>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 annually. The rates authorized on March 28, 2023 and implemented on an interim basis effective April 1, 2023 did not change with the final order.</w:t>
      </w:r>
    </w:p>
    <w:p>
      <w:pPr>
        <w:spacing w:after="0" w:line="191"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 then by an additional $3,743 and $4,130 in the second and third years, respectively. In February 2023, the Company had implemented interim rates, based on an estimate of the final outcome of the order, and no refunds or additional billings are required for the difference between interim and final approved rates.</w:t>
      </w:r>
    </w:p>
    <w:p>
      <w:pPr>
        <w:spacing w:after="0" w:line="192"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During the first nine months of 2024, four of the Company’s water and wastewater utility operating divisions in Ohio implemented base rate increases designed to increase total operating revenues on an annual basis by $2,127. Further, during the first nine months of 2024, the Company implemented infrastructure rehabilitation surcharges designed to increase total operating revenues on an annual basis by $28,733 in its water and wastewater utility operating divisions in Pennsylvania and Illinois, and by $1,170 in its natural gas operating division in Kentucky.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 </w:t>
      </w:r>
      <w:r>
        <w:rPr>
          <w:rFonts w:ascii="Times New Roman" w:cs="Times New Roman" w:eastAsia="Times New Roman" w:hAnsi="Times New Roman"/>
          <w:sz w:val="22"/>
          <w:szCs w:val="22"/>
          <w:b w:val="1"/>
          <w:bCs w:val="1"/>
          <w:i w:val="1"/>
          <w:iCs w:val="1"/>
          <w:color w:val="auto"/>
        </w:rPr>
        <w:t>Taxes Other than Income Taxes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provides the components of taxes other than income taxes: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80" w:type="dxa"/>
            <w:vAlign w:val="bottom"/>
            <w:gridSpan w:val="5"/>
          </w:tcPr>
          <w:p>
            <w:pPr>
              <w:jc w:val="center"/>
              <w:ind w:right="520"/>
              <w:spacing w:after="0"/>
              <w:rPr>
                <w:sz w:val="20"/>
                <w:szCs w:val="20"/>
                <w:color w:val="auto"/>
              </w:rPr>
            </w:pPr>
            <w:r>
              <w:rPr>
                <w:rFonts w:ascii="Times New Roman" w:cs="Times New Roman" w:eastAsia="Times New Roman" w:hAnsi="Times New Roman"/>
                <w:sz w:val="22"/>
                <w:szCs w:val="22"/>
                <w:color w:val="auto"/>
                <w:w w:val="97"/>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752"/>
              <w:spacing w:after="0"/>
              <w:rPr>
                <w:sz w:val="20"/>
                <w:szCs w:val="20"/>
                <w:color w:val="auto"/>
              </w:rPr>
            </w:pPr>
            <w:r>
              <w:rPr>
                <w:rFonts w:ascii="Times New Roman" w:cs="Times New Roman" w:eastAsia="Times New Roman" w:hAnsi="Times New Roman"/>
                <w:sz w:val="22"/>
                <w:szCs w:val="22"/>
                <w:color w:val="auto"/>
              </w:rPr>
              <w:t>Nine Months Ended</w:t>
            </w:r>
          </w:p>
        </w:tc>
      </w:tr>
      <w:tr>
        <w:trPr>
          <w:trHeight w:val="257"/>
        </w:trPr>
        <w:tc>
          <w:tcPr>
            <w:tcW w:w="3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980" w:type="dxa"/>
            <w:vAlign w:val="bottom"/>
            <w:gridSpan w:val="5"/>
          </w:tcPr>
          <w:p>
            <w:pPr>
              <w:jc w:val="center"/>
              <w:ind w:right="500"/>
              <w:spacing w:after="0"/>
              <w:rPr>
                <w:sz w:val="20"/>
                <w:szCs w:val="20"/>
                <w:color w:val="auto"/>
              </w:rPr>
            </w:pPr>
            <w:r>
              <w:rPr>
                <w:rFonts w:ascii="Times New Roman" w:cs="Times New Roman" w:eastAsia="Times New Roman" w:hAnsi="Times New Roman"/>
                <w:sz w:val="22"/>
                <w:szCs w:val="22"/>
                <w:color w:val="auto"/>
                <w:w w:val="97"/>
              </w:rPr>
              <w:t>September 30,</w:t>
            </w:r>
          </w:p>
        </w:tc>
        <w:tc>
          <w:tcPr>
            <w:tcW w:w="360" w:type="dxa"/>
            <w:vAlign w:val="bottom"/>
          </w:tcPr>
          <w:p>
            <w:pPr>
              <w:spacing w:after="0"/>
              <w:rPr>
                <w:sz w:val="22"/>
                <w:szCs w:val="22"/>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September 30,</w:t>
            </w:r>
          </w:p>
        </w:tc>
        <w:tc>
          <w:tcPr>
            <w:tcW w:w="1060" w:type="dxa"/>
            <w:vAlign w:val="bottom"/>
          </w:tcPr>
          <w:p>
            <w:pPr>
              <w:spacing w:after="0"/>
              <w:rPr>
                <w:sz w:val="22"/>
                <w:szCs w:val="22"/>
                <w:color w:val="auto"/>
              </w:rPr>
            </w:pPr>
          </w:p>
        </w:tc>
      </w:tr>
      <w:tr>
        <w:trPr>
          <w:trHeight w:val="263"/>
        </w:trPr>
        <w:tc>
          <w:tcPr>
            <w:tcW w:w="38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2023</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22"/>
                <w:szCs w:val="22"/>
                <w:color w:val="auto"/>
              </w:rPr>
              <w:t>2024</w:t>
            </w:r>
          </w:p>
        </w:tc>
        <w:tc>
          <w:tcPr>
            <w:tcW w:w="220" w:type="dxa"/>
            <w:vAlign w:val="bottom"/>
            <w:tcBorders>
              <w:top w:val="single" w:sz="8" w:color="auto"/>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color w:val="auto"/>
                <w:w w:val="99"/>
              </w:rPr>
              <w:t>2023</w:t>
            </w:r>
          </w:p>
        </w:tc>
      </w:tr>
      <w:tr>
        <w:trPr>
          <w:trHeight w:val="223"/>
        </w:trPr>
        <w:tc>
          <w:tcPr>
            <w:tcW w:w="38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2"/>
                <w:szCs w:val="22"/>
                <w:color w:val="auto"/>
              </w:rPr>
              <w:t>Property</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9,099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7,402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26,510</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2"/>
                <w:szCs w:val="22"/>
                <w:color w:val="auto"/>
              </w:rPr>
              <w:t>23,937</w:t>
            </w:r>
          </w:p>
        </w:tc>
      </w:tr>
      <w:tr>
        <w:trPr>
          <w:trHeight w:val="230"/>
        </w:trPr>
        <w:tc>
          <w:tcPr>
            <w:tcW w:w="38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Gross receipts, excise and franchise</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4,810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5,456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13,409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13,661</w:t>
            </w:r>
          </w:p>
        </w:tc>
      </w:tr>
      <w:tr>
        <w:trPr>
          <w:trHeight w:val="230"/>
        </w:trPr>
        <w:tc>
          <w:tcPr>
            <w:tcW w:w="3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Payroll</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5,074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4,901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17,594</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16,468</w:t>
            </w:r>
          </w:p>
        </w:tc>
      </w:tr>
      <w:tr>
        <w:trPr>
          <w:trHeight w:val="229"/>
        </w:trPr>
        <w:tc>
          <w:tcPr>
            <w:tcW w:w="38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Regulatory assessments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1,989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2,146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5,814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5,544</w:t>
            </w:r>
          </w:p>
        </w:tc>
      </w:tr>
      <w:tr>
        <w:trPr>
          <w:trHeight w:val="230"/>
        </w:trPr>
        <w:tc>
          <w:tcPr>
            <w:tcW w:w="380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22"/>
                <w:szCs w:val="22"/>
                <w:color w:val="auto"/>
              </w:rPr>
              <w:t>Pumping fees</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2,148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3,320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5,526</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2"/>
                <w:szCs w:val="22"/>
                <w:color w:val="auto"/>
              </w:rPr>
              <w:t>4,967</w:t>
            </w:r>
          </w:p>
        </w:tc>
      </w:tr>
      <w:tr>
        <w:trPr>
          <w:trHeight w:val="230"/>
        </w:trPr>
        <w:tc>
          <w:tcPr>
            <w:tcW w:w="3800" w:type="dxa"/>
            <w:vAlign w:val="bottom"/>
            <w:tcBorders>
              <w:bottom w:val="single" w:sz="8" w:color="CCEEFF"/>
            </w:tcBorders>
          </w:tcPr>
          <w:p>
            <w:pPr>
              <w:spacing w:after="0" w:line="229" w:lineRule="exact"/>
              <w:rPr>
                <w:sz w:val="20"/>
                <w:szCs w:val="20"/>
                <w:color w:val="auto"/>
              </w:rPr>
            </w:pPr>
            <w:r>
              <w:rPr>
                <w:rFonts w:ascii="Times New Roman" w:cs="Times New Roman" w:eastAsia="Times New Roman" w:hAnsi="Times New Roman"/>
                <w:sz w:val="22"/>
                <w:szCs w:val="22"/>
                <w:color w:val="auto"/>
              </w:rPr>
              <w:t>Other</w:t>
            </w:r>
          </w:p>
        </w:tc>
        <w:tc>
          <w:tcPr>
            <w:tcW w:w="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982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982</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2,506</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2"/>
                <w:szCs w:val="22"/>
                <w:color w:val="auto"/>
              </w:rPr>
              <w:t>2,856</w:t>
            </w:r>
          </w:p>
        </w:tc>
      </w:tr>
      <w:tr>
        <w:trPr>
          <w:trHeight w:val="250"/>
        </w:trPr>
        <w:tc>
          <w:tcPr>
            <w:tcW w:w="3800" w:type="dxa"/>
            <w:vAlign w:val="bottom"/>
            <w:tcBorders>
              <w:bottom w:val="single" w:sz="8" w:color="CCEEFF"/>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Total taxes other than income</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24,102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24,207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71,359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1060" w:type="dxa"/>
            <w:vAlign w:val="bottom"/>
            <w:tcBorders>
              <w:bottom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67,433</w:t>
            </w:r>
          </w:p>
        </w:tc>
      </w:tr>
      <w:tr>
        <w:trPr>
          <w:trHeight w:val="20"/>
        </w:trPr>
        <w:tc>
          <w:tcPr>
            <w:tcW w:w="3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35"/>
        </w:trPr>
        <w:tc>
          <w:tcPr>
            <w:tcW w:w="3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6"/>
        </w:trPr>
        <w:tc>
          <w:tcPr>
            <w:tcW w:w="3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13 – </w:t>
      </w:r>
      <w:r>
        <w:rPr>
          <w:rFonts w:ascii="Times New Roman" w:cs="Times New Roman" w:eastAsia="Times New Roman" w:hAnsi="Times New Roman"/>
          <w:sz w:val="22"/>
          <w:szCs w:val="22"/>
          <w:b w:val="1"/>
          <w:bCs w:val="1"/>
          <w:i w:val="1"/>
          <w:iCs w:val="1"/>
          <w:color w:val="auto"/>
        </w:rPr>
        <w:t>Segment Information</w:t>
      </w:r>
    </w:p>
    <w:p>
      <w:pPr>
        <w:spacing w:after="0" w:line="9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1"/>
          <w:szCs w:val="21"/>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85"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The following table presents information about the Company’s reportable segments. Asset information by segment is not utilized for purposes of assessing performance or allocating resources, and, as a result, such information is not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13"/>
          </w:tcPr>
          <w:p>
            <w:pPr>
              <w:jc w:val="right"/>
              <w:ind w:right="748"/>
              <w:spacing w:after="0"/>
              <w:rPr>
                <w:sz w:val="20"/>
                <w:szCs w:val="20"/>
                <w:color w:val="auto"/>
              </w:rPr>
            </w:pPr>
            <w:r>
              <w:rPr>
                <w:rFonts w:ascii="Times New Roman" w:cs="Times New Roman" w:eastAsia="Times New Roman" w:hAnsi="Times New Roman"/>
                <w:sz w:val="14"/>
                <w:szCs w:val="14"/>
                <w:color w:val="auto"/>
              </w:rPr>
              <w:t>Three Months Ended - September 30, 2024</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right"/>
              <w:ind w:right="628"/>
              <w:spacing w:after="0"/>
              <w:rPr>
                <w:sz w:val="20"/>
                <w:szCs w:val="20"/>
                <w:color w:val="auto"/>
              </w:rPr>
            </w:pPr>
            <w:r>
              <w:rPr>
                <w:rFonts w:ascii="Times New Roman" w:cs="Times New Roman" w:eastAsia="Times New Roman" w:hAnsi="Times New Roman"/>
                <w:sz w:val="14"/>
                <w:szCs w:val="14"/>
                <w:color w:val="auto"/>
              </w:rPr>
              <w:t>Three Months Ended - September 30, 2023</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Consolidated</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16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0"/>
                <w:szCs w:val="10"/>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5"/>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Water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334,477</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96,731</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4,047</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435,255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310,591</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94,798</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5,866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411,255</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96,369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147,018</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57,877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86,035</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75,452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67,648</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(812)</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(16,905)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112,275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(30,660)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(12,213)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(9,776)</w:t>
            </w: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(10,064)</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80,076</w:t>
            </w:r>
          </w:p>
        </w:tc>
        <w:tc>
          <w:tcPr>
            <w:tcW w:w="0" w:type="dxa"/>
            <w:vAlign w:val="bottom"/>
          </w:tcPr>
          <w:p>
            <w:pPr>
              <w:spacing w:after="0"/>
              <w:rPr>
                <w:sz w:val="1"/>
                <w:szCs w:val="1"/>
                <w:color w:val="auto"/>
              </w:rPr>
            </w:pPr>
          </w:p>
        </w:tc>
      </w:tr>
      <w:tr>
        <w:trPr>
          <w:trHeight w:val="271"/>
        </w:trPr>
        <w:tc>
          <w:tcPr>
            <w:tcW w:w="3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gridSpan w:val="13"/>
          </w:tcPr>
          <w:p>
            <w:pPr>
              <w:jc w:val="right"/>
              <w:ind w:right="768"/>
              <w:spacing w:after="0"/>
              <w:rPr>
                <w:sz w:val="20"/>
                <w:szCs w:val="20"/>
                <w:color w:val="auto"/>
              </w:rPr>
            </w:pPr>
            <w:r>
              <w:rPr>
                <w:rFonts w:ascii="Times New Roman" w:cs="Times New Roman" w:eastAsia="Times New Roman" w:hAnsi="Times New Roman"/>
                <w:sz w:val="14"/>
                <w:szCs w:val="14"/>
                <w:color w:val="auto"/>
              </w:rPr>
              <w:t>Nine Months Ended - September 30, 2024</w:t>
            </w:r>
          </w:p>
        </w:tc>
        <w:tc>
          <w:tcPr>
            <w:tcW w:w="1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11"/>
          </w:tcPr>
          <w:p>
            <w:pPr>
              <w:jc w:val="right"/>
              <w:ind w:right="648"/>
              <w:spacing w:after="0"/>
              <w:rPr>
                <w:sz w:val="20"/>
                <w:szCs w:val="20"/>
                <w:color w:val="auto"/>
              </w:rPr>
            </w:pPr>
            <w:r>
              <w:rPr>
                <w:rFonts w:ascii="Times New Roman" w:cs="Times New Roman" w:eastAsia="Times New Roman" w:hAnsi="Times New Roman"/>
                <w:sz w:val="14"/>
                <w:szCs w:val="14"/>
                <w:color w:val="auto"/>
              </w:rPr>
              <w:t>Nine Months Ended - September 30, 2023</w:t>
            </w: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4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Consolidated</w:t>
            </w:r>
          </w:p>
        </w:tc>
        <w:tc>
          <w:tcPr>
            <w:tcW w:w="80" w:type="dxa"/>
            <w:vAlign w:val="bottom"/>
          </w:tcPr>
          <w:p>
            <w:pPr>
              <w:spacing w:after="0"/>
              <w:rPr>
                <w:sz w:val="10"/>
                <w:szCs w:val="10"/>
                <w:color w:val="auto"/>
              </w:rPr>
            </w:pPr>
          </w:p>
        </w:tc>
        <w:tc>
          <w:tcPr>
            <w:tcW w:w="7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3"/>
                <w:szCs w:val="13"/>
                <w:color w:val="auto"/>
              </w:rPr>
              <w:t>Regulated</w:t>
            </w:r>
          </w:p>
        </w:tc>
        <w:tc>
          <w:tcPr>
            <w:tcW w:w="16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0"/>
                <w:szCs w:val="10"/>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85"/>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Water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Water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Operating revenues</w:t>
            </w: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916,850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549,250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15,630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1,481,730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871,563</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675,076</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27,766</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1,574,405</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 expense</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282,627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423,780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148,270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418,520</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Purchased gas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295,929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314,838</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99,361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161,393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93,457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255,490</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 (a)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104,334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91,103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67,894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207,709</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funds used during construction</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(3,527)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(15,503)</w:t>
            </w: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(12,529)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(2,038)</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(14,567)</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 (benefit)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54,604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(38,752)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(8,790)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(73,703)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(7,467)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(35,611)</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263,859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(30,863)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410,559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267,345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(31,967)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362,778</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495,259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932,498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493,851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377,562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874,491</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60" w:right="520" w:hanging="328"/>
        <w:spacing w:after="0" w:line="261" w:lineRule="auto"/>
        <w:tabs>
          <w:tab w:leader="none" w:pos="6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regulated water and regulated natural gas segments report interest expense that includes long-term debt that was pushed-down to the regulated operating subsidiaries from Essential Utilities, Inc.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1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 </w:t>
      </w:r>
      <w:r>
        <w:rPr>
          <w:rFonts w:ascii="Times New Roman" w:cs="Times New Roman" w:eastAsia="Times New Roman" w:hAnsi="Times New Roman"/>
          <w:sz w:val="22"/>
          <w:szCs w:val="22"/>
          <w:b w:val="1"/>
          <w:bCs w:val="1"/>
          <w:i w:val="1"/>
          <w:iCs w:val="1"/>
          <w:color w:val="auto"/>
        </w:rPr>
        <w:t>Commitments and Contingencies</w:t>
      </w:r>
    </w:p>
    <w:p>
      <w:pPr>
        <w:spacing w:after="0" w:line="212"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2"/>
          <w:szCs w:val="22"/>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2024, the aggregate amount of $23,220 is accrued for loss contingencies and is reported in the Company’s condensed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September 30, 2024, estimates that approximately $647 of the amount accrued for these matters are probable of recovery through insurance, which amount is also reported in the Company’s condensed consolidated balance sheet as deferred charges and other assets, net.</w:t>
      </w:r>
    </w:p>
    <w:p>
      <w:pPr>
        <w:spacing w:after="0" w:line="19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2"/>
          <w:szCs w:val="22"/>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The Company has an accrual for the amount of loss asserted in the complaint that we determined to be probable and estimable of being incurred. The Company is vigorously defending against this claim.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 Further,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w:t>
      </w:r>
    </w:p>
    <w:p>
      <w:pPr>
        <w:spacing w:after="0" w:line="197"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21"/>
          <w:szCs w:val="21"/>
          <w:color w:val="auto"/>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7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commenced on December 7, 2018, in the United States District Court for the District of South Carolina. Several defendants in such lawsuit have agreed to settle. In February and April 2024, the MDL court issued its final approval of the DuPont and 3M class action settlements, respectively. In April 2024 and May 2024, Tyco Fire Products LP and BASF Corp, respectively, filed similar class action settlements in the MDL court to resolve claims. In June 2024, Tyco Fire Products LP settlement was granted preliminary approval by the MDL court. The Company submitted the phase one public water system claims requirements pursuant to the Dupont and 3M settlement agreements and will submit other requirements within the time period provided by the MDL court. The amount of recovery, if any, by the Company is uncertain.</w:t>
      </w:r>
    </w:p>
    <w:p>
      <w:pPr>
        <w:spacing w:after="0" w:line="195"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1"/>
          <w:szCs w:val="21"/>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8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$2,295 at September 30, 2024 and represents a reserve for unpaid claim costs, including an estimate for the cost of incurred but not reported claims.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 </w:t>
      </w:r>
      <w:r>
        <w:rPr>
          <w:rFonts w:ascii="Times New Roman" w:cs="Times New Roman" w:eastAsia="Times New Roman" w:hAnsi="Times New Roman"/>
          <w:sz w:val="22"/>
          <w:szCs w:val="22"/>
          <w:b w:val="1"/>
          <w:bCs w:val="1"/>
          <w:i w:val="1"/>
          <w:iCs w:val="1"/>
          <w:color w:val="auto"/>
        </w:rPr>
        <w:t>Income Taxes</w:t>
      </w:r>
    </w:p>
    <w:p>
      <w:pPr>
        <w:spacing w:after="0" w:line="22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Company’s effective tax rate was an expense of 18.6% and 1.7% for the three and nine months ended September 30, 2024, respectively. The Company’s effective tax rate was a benefit of 4.9% and 10.9% for the three and nine months ended September 30, 2023, respectively. The change in the effective tax rate for the third quarter is mainly due to the decrease in tax benefit associated with the tax deduction for continued qualifying infrastructure investment. The change in the effective tax rate for the first nine months of the year is primarily attributed to the gain recognized from the sale of the Company’s interest in three non-utility local microgrid and distributed energy projects in the first quarter of 2024 and a decrease in tax benefit associated with the tax deduction for continued qualifying infrastructure investment. In determining its interim tax provision, the Company reflects its estimated impact from its permanent and flow-through tax differences. The Company uses the flow-through method to account for the repairs tax deduction for qualifying utility infrastructure at its regulated Pennsylvania and New Jersey subsidiaries.</w:t>
      </w:r>
    </w:p>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2"/>
          <w:szCs w:val="22"/>
          <w:color w:val="auto"/>
        </w:rPr>
        <w:t>The statutory Federal tax rate is 21.0% for the nine months ended September 30, 2024 and 2023. For states with a corporate net income tax, the state corporate net income tax rates range from 2.5% to 9.50% for all periods presented.</w:t>
      </w:r>
    </w:p>
    <w:p>
      <w:pPr>
        <w:spacing w:after="0" w:line="17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2"/>
          <w:szCs w:val="22"/>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adopted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ind w:left="3200"/>
        <w:spacing w:after="0" w:line="231" w:lineRule="auto"/>
        <w:rPr>
          <w:sz w:val="20"/>
          <w:szCs w:val="20"/>
          <w:color w:val="auto"/>
        </w:rPr>
      </w:pPr>
      <w:r>
        <w:rPr>
          <w:rFonts w:ascii="Times New Roman" w:cs="Times New Roman" w:eastAsia="Times New Roman" w:hAnsi="Times New Roman"/>
          <w:sz w:val="22"/>
          <w:szCs w:val="22"/>
          <w:color w:val="auto"/>
        </w:rPr>
        <w:t>ESSENTIAL UTILITIES, INC. AND SUBSIDIARIES</w:t>
      </w:r>
    </w:p>
    <w:p>
      <w:pPr>
        <w:ind w:left="1740"/>
        <w:spacing w:after="0" w:line="218" w:lineRule="auto"/>
        <w:rPr>
          <w:sz w:val="20"/>
          <w:szCs w:val="20"/>
          <w:color w:val="auto"/>
        </w:rPr>
      </w:pPr>
      <w:r>
        <w:rPr>
          <w:rFonts w:ascii="Times New Roman" w:cs="Times New Roman" w:eastAsia="Times New Roman" w:hAnsi="Times New Roman"/>
          <w:sz w:val="22"/>
          <w:szCs w:val="22"/>
          <w:color w:val="auto"/>
        </w:rPr>
        <w:t>NOTES TO CONDENSED CONSOLIDATED FINANCIAL STATEMENTS (continued)</w:t>
      </w:r>
    </w:p>
    <w:p>
      <w:pPr>
        <w:jc w:val="center"/>
        <w:ind w:right="-59"/>
        <w:spacing w:after="0" w:line="217" w:lineRule="auto"/>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regulatory liability, as the accounting treatment is expected to be determined in the next rate case that was filed in May 2024.</w:t>
      </w:r>
    </w:p>
    <w:p>
      <w:pPr>
        <w:spacing w:after="0" w:line="241" w:lineRule="exact"/>
        <w:rPr>
          <w:sz w:val="20"/>
          <w:szCs w:val="20"/>
          <w:color w:val="auto"/>
        </w:rPr>
      </w:pPr>
    </w:p>
    <w:p>
      <w:pPr>
        <w:ind w:right="5060"/>
        <w:spacing w:after="0" w:line="444" w:lineRule="auto"/>
        <w:rPr>
          <w:sz w:val="20"/>
          <w:szCs w:val="20"/>
          <w:color w:val="auto"/>
        </w:rPr>
      </w:pPr>
      <w:r>
        <w:rPr>
          <w:rFonts w:ascii="Times New Roman" w:cs="Times New Roman" w:eastAsia="Times New Roman" w:hAnsi="Times New Roman"/>
          <w:sz w:val="22"/>
          <w:szCs w:val="22"/>
          <w:b w:val="1"/>
          <w:bCs w:val="1"/>
          <w:color w:val="auto"/>
        </w:rPr>
        <w:t xml:space="preserve">Note 16 – </w:t>
      </w:r>
      <w:r>
        <w:rPr>
          <w:rFonts w:ascii="Times New Roman" w:cs="Times New Roman" w:eastAsia="Times New Roman" w:hAnsi="Times New Roman"/>
          <w:sz w:val="22"/>
          <w:szCs w:val="22"/>
          <w:b w:val="1"/>
          <w:bCs w:val="1"/>
          <w:i w:val="1"/>
          <w:iCs w:val="1"/>
          <w:color w:val="auto"/>
        </w:rPr>
        <w:t>Recent Accounting Pronouncements and Disclosure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Pronouncements to be adopted upon the effective date:</w:t>
      </w:r>
    </w:p>
    <w:p>
      <w:pPr>
        <w:spacing w:after="0" w:line="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The ASU enhances the transparency and decision usefulness of income tax disclosures and is effective for annual periods beginning after December 15, 2024 on a prospective basis. Early adoption is permitted. The Company has determined the additional disclosures required to be reflected in its financial statements and plans to adopt the standard in its 2025 annual report on Form 10-K and subsequent quarterly filings on Form 10-Q.</w:t>
      </w:r>
    </w:p>
    <w:p>
      <w:pPr>
        <w:spacing w:after="0" w:line="19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In November 2023, the FASB issued ASU 2023-07 Segment Reporting – Improving Reportable Segment Disclosures (Topic 280).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Company is evaluating the impact of adopting the updated provisions and plans to adopt the standard in its 2024 annual report on Form 10-K.</w:t>
      </w:r>
    </w:p>
    <w:p>
      <w:pPr>
        <w:spacing w:after="0" w:line="193"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2"/>
          <w:szCs w:val="22"/>
          <w:color w:val="auto"/>
        </w:rPr>
        <w:t>In March 2024, the U.S. Securities and Exchange Commission (SEC) issued its final climate disclosure rule, which requires the disclosure of Scope 1 and Scope 2 greenhouse gas emissions and other climate-related topics in annual reports and registration statements, when material. A number of petitions have been filed in federal courts seeking to challenge the SEC’s climate disclosure rule. As a result, in April 2024, the SEC placed a pause on its implementation of the new rule. We are evaluating the impact of the new rule and, depending on the outcome of the proceedings, will include the required disclosures once it becomes effective.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196" w:lineRule="exact"/>
        <w:rPr>
          <w:sz w:val="20"/>
          <w:szCs w:val="20"/>
          <w:color w:val="auto"/>
        </w:rPr>
      </w:pPr>
    </w:p>
    <w:p>
      <w:pPr>
        <w:jc w:val="center"/>
        <w:ind w:right="40"/>
        <w:spacing w:after="0" w:line="248"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2680"/>
        <w:spacing w:after="0" w:line="439" w:lineRule="auto"/>
        <w:rPr>
          <w:sz w:val="20"/>
          <w:szCs w:val="20"/>
          <w:color w:val="auto"/>
        </w:rPr>
      </w:pPr>
      <w:r>
        <w:rPr>
          <w:rFonts w:ascii="Times New Roman" w:cs="Times New Roman" w:eastAsia="Times New Roman" w:hAnsi="Times New Roman"/>
          <w:sz w:val="22"/>
          <w:szCs w:val="22"/>
          <w:color w:val="auto"/>
        </w:rPr>
        <w:t>Item 2 – Management’s Discussion and Analysis of Financial Condition and Results of Operations Forward-looking Statements</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2"/>
          <w:szCs w:val="22"/>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the threat of cyber-attacks and data breaches, changes in capital requirements and funding, our ability to close acquisitions, changes to the capital markets, impact of public health threats, and our ability to assimilate acquired operations, as well as those risks, uncertainties and other factors discussed in our Annual Report on Form 10-K for the fiscal year ended December 31, 2023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Information</w:t>
      </w:r>
    </w:p>
    <w:p>
      <w:pPr>
        <w:spacing w:after="0" w:line="22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1"/>
          <w:szCs w:val="21"/>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distribution services to customers in western Pennsylvania and Kentucky. Approximately 95%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October 1, 2023, the Company sold its regulated natural gas utility assets in West Virginia, which represented approximately</w:t>
      </w:r>
    </w:p>
    <w:p>
      <w:pPr>
        <w:spacing w:after="0" w:line="229" w:lineRule="auto"/>
        <w:rPr>
          <w:sz w:val="20"/>
          <w:szCs w:val="20"/>
          <w:color w:val="auto"/>
        </w:rPr>
      </w:pPr>
      <w:r>
        <w:rPr>
          <w:rFonts w:ascii="Times New Roman" w:cs="Times New Roman" w:eastAsia="Times New Roman" w:hAnsi="Times New Roman"/>
          <w:sz w:val="22"/>
          <w:szCs w:val="22"/>
          <w:color w:val="auto"/>
        </w:rPr>
        <w:t>two percent of the Company’s regulated natural gas customers. Initially the sale closed for an estimated purchase price of</w:t>
      </w:r>
    </w:p>
    <w:p>
      <w:pPr>
        <w:spacing w:after="0" w:line="228" w:lineRule="auto"/>
        <w:rPr>
          <w:sz w:val="20"/>
          <w:szCs w:val="20"/>
          <w:color w:val="auto"/>
        </w:rPr>
      </w:pPr>
      <w:r>
        <w:rPr>
          <w:rFonts w:ascii="Times New Roman" w:cs="Times New Roman" w:eastAsia="Times New Roman" w:hAnsi="Times New Roman"/>
          <w:sz w:val="21"/>
          <w:szCs w:val="21"/>
          <w:color w:val="auto"/>
        </w:rPr>
        <w:t>$39,965, subject to working capital and other adjustments. In March 2024, the Company received an additional $1,213 from the</w:t>
      </w:r>
    </w:p>
    <w:p>
      <w:pPr>
        <w:spacing w:after="0" w:line="230" w:lineRule="auto"/>
        <w:rPr>
          <w:sz w:val="20"/>
          <w:szCs w:val="20"/>
          <w:color w:val="auto"/>
        </w:rPr>
      </w:pPr>
      <w:r>
        <w:rPr>
          <w:rFonts w:ascii="Times New Roman" w:cs="Times New Roman" w:eastAsia="Times New Roman" w:hAnsi="Times New Roman"/>
          <w:sz w:val="22"/>
          <w:szCs w:val="22"/>
          <w:color w:val="auto"/>
        </w:rPr>
        <w:t>buyer. The additional proceeds were based on finalizing closing working capital and other adjustments, resulting in a final</w:t>
      </w:r>
    </w:p>
    <w:p>
      <w:pPr>
        <w:spacing w:after="0" w:line="228" w:lineRule="auto"/>
        <w:rPr>
          <w:sz w:val="20"/>
          <w:szCs w:val="20"/>
          <w:color w:val="auto"/>
        </w:rPr>
      </w:pPr>
      <w:r>
        <w:rPr>
          <w:rFonts w:ascii="Times New Roman" w:cs="Times New Roman" w:eastAsia="Times New Roman" w:hAnsi="Times New Roman"/>
          <w:sz w:val="21"/>
          <w:szCs w:val="21"/>
          <w:color w:val="auto"/>
        </w:rPr>
        <w:t>purchase price of $41,178 and a loss of an inconsequential amount. In October 2023, the Company entered into an agreement to</w:t>
      </w:r>
    </w:p>
    <w:p>
      <w:pPr>
        <w:spacing w:after="0" w:line="218" w:lineRule="auto"/>
        <w:rPr>
          <w:sz w:val="20"/>
          <w:szCs w:val="20"/>
          <w:color w:val="auto"/>
        </w:rPr>
      </w:pPr>
      <w:r>
        <w:rPr>
          <w:rFonts w:ascii="Times New Roman" w:cs="Times New Roman" w:eastAsia="Times New Roman" w:hAnsi="Times New Roman"/>
          <w:sz w:val="22"/>
          <w:szCs w:val="22"/>
          <w:color w:val="auto"/>
        </w:rPr>
        <w:t>sell its interest in three non-utility local microgrid and distributed energy projects for $165,000. The sale was completed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2024, and the Company recognized a gain of $91,236 in the first quarter of 2024. These transactions are consistent with</w:t>
      </w:r>
    </w:p>
    <w:p>
      <w:pPr>
        <w:spacing w:after="0" w:line="219" w:lineRule="auto"/>
        <w:rPr>
          <w:sz w:val="20"/>
          <w:szCs w:val="20"/>
          <w:color w:val="auto"/>
        </w:rPr>
      </w:pPr>
      <w:r>
        <w:rPr>
          <w:rFonts w:ascii="Times New Roman" w:cs="Times New Roman" w:eastAsia="Times New Roman" w:hAnsi="Times New Roman"/>
          <w:sz w:val="22"/>
          <w:szCs w:val="22"/>
          <w:color w:val="auto"/>
        </w:rPr>
        <w:t>the Company’s long-term strategy of focusing on its core business and will allow the Company to prioritize the growth of its</w:t>
      </w:r>
    </w:p>
    <w:p>
      <w:pPr>
        <w:spacing w:after="0" w:line="217" w:lineRule="auto"/>
        <w:rPr>
          <w:sz w:val="20"/>
          <w:szCs w:val="20"/>
          <w:color w:val="auto"/>
        </w:rPr>
      </w:pPr>
      <w:r>
        <w:rPr>
          <w:rFonts w:ascii="Times New Roman" w:cs="Times New Roman" w:eastAsia="Times New Roman" w:hAnsi="Times New Roman"/>
          <w:sz w:val="22"/>
          <w:szCs w:val="22"/>
          <w:color w:val="auto"/>
        </w:rPr>
        <w:t>utilities in states where it has scale. The Company used the proceeds from these transactions to finance its capital expenditures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water and wastewater acquisitions, in place of external funding from equity and debt issuances.</w:t>
      </w:r>
    </w:p>
    <w:p>
      <w:pPr>
        <w:spacing w:after="0" w:line="192" w:lineRule="exact"/>
        <w:rPr>
          <w:sz w:val="20"/>
          <w:szCs w:val="20"/>
          <w:color w:val="auto"/>
        </w:rPr>
      </w:pPr>
    </w:p>
    <w:p>
      <w:pPr>
        <w:ind w:right="600"/>
        <w:spacing w:after="0" w:line="249"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our financial condition and results of operations should be read together with our condensed consolidated financial statements and related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Recent Developments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Macroeconomic Factors</w:t>
      </w:r>
    </w:p>
    <w:p>
      <w:pPr>
        <w:spacing w:after="0" w:line="21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Since 2020, our industry has been significantly impacted by inflation, volatility in interest rates, and other macroeconomic factors. Interest rates remain elevated to curb inflation. In 2024, we experienced moderate macroeconomic pressures, which we expect to continue through the remainder of 2024.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Environmental Compliance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Water Quality Standards</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1"/>
          <w:szCs w:val="21"/>
          <w:color w:val="auto"/>
        </w:rPr>
        <w:t>On April 10, 2024, the U.S. Environmental Protection Agency (“EPA”) announced the final National Primary Drinking Water Regulation (“NPDWR”) for the treatment of six per- and polyfluoroalkyl substances or compounds (“PFAS”). The NPDWR established the maximum contaminant levels (MCLs) in drinking water and allows for a five-year window to comply. The Company performed its analysis of the NPDWR and estimated an investment of at least $450,000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estimated annual operating expenses of approximately five percent of the installed capital expenditures, in today’s dollars, related to testing, treatment, and disposal. These were preliminary estimates and actual capital expenditures and expenses may differ based upon a variety of factors, including supply chain issues and site-by-site requirements.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22"/>
          <w:szCs w:val="22"/>
          <w:color w:val="auto"/>
        </w:rPr>
        <w:t>On October 8, 2024, the EPA issued a prepublication version of the final Lead and Copper Rule Improvements (“LCRI”) which requires water systems to identify and replace lead pipes by 2037, lowers the lead action level threshold, and requires more proactive communications about lead pipes and plans for replacements, among other items. The LCRI builds upon the Lead and Copper Rule Revisions (“LCRR”) issued in 2021 and the Lead and Copper Rule (“LCR”) issued in 1992. The Company has been replacing lead service lines as part of its ongoing water main replacement and service line renewal programs, and in accordance with applicable state regulations. Pursuant to the LCRR, the Company completed the submission of its initial lead service line inventories on October 14, 2024. The Company estimates that approximately 6% of its regulated water service systems contain some lead or galvanized service lines requiring replacement. The Company currently has budgeted approximately $210,000 of capital expenditures over the next five years for lead and galvanized services line replacement. Management is still reviewing the final LCRI and its impact to the Company.</w:t>
      </w:r>
    </w:p>
    <w:p>
      <w:pPr>
        <w:spacing w:after="0" w:line="183"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22"/>
          <w:szCs w:val="22"/>
          <w:color w:val="auto"/>
        </w:rPr>
        <w:t>Capital expenditures and operating costs required as a result of water quality standards have traditionally been recognized by state utility commissions as appropriate for inclusion in establishing rates. Various federal and state funding programs are also available to help reduce costs for rate payers. The Company has been actively applying for grants and low interest loans, whenever possible, to reduce the overall cost to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Comprehensive Environmental Response, Compensation, and Liability Act</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On April 19, 2024, the U.S. Environmental Protection Agency (“EPA”) announced a final rule that designated two PFAS chemicals, perfluorooctanoic acid (“PFOA”) and perfluorooctanesulfonic acid (“PFOS”), as hazardous substances under the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EPA issued a separate CERCLA enforcement discretion policy that makes it clear that EPA will focus enforcement on parties who significantly contributed to the release of PFAS chemicals into the environment, including parties that have manufactured PFAS or used PFAS in the 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 fertilizer substitute. The potential liabilities to the Company, if any, resulting from this rule are currently being evaluated. Multiple lawsuits were filed by various companies and industry groups against the EPA's PFAS rule and are awaiting court action.</w:t>
      </w:r>
    </w:p>
    <w:p>
      <w:pPr>
        <w:spacing w:after="0" w:line="20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22"/>
          <w:szCs w:val="22"/>
          <w:color w:val="auto"/>
        </w:rPr>
        <w:t>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The Company is also monitoring ongoing litigation and settlement activity with manufacturers of PFAS in these proceedings. For more information, see Part I - Item I - Note 14 to the Company’s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06"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22"/>
          <w:szCs w:val="22"/>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condensed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8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2"/>
          <w:szCs w:val="22"/>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$622,510 for the first nine months of 2024, compared to $804,569 for the first nine months of 2023. The net change in working capital and other assets and liabilities resulted in an increase in cash from operations of $17,611 and $221,419 for the first nine months of 2024 and 2023, respectively. The change in working capital in 2024 as compared to 2023 was primarily driven by the year over year decrease in accounts receivable, unbilled revenues and deferred purchased gas cost balances, and most significantly in gas inventory. In 2023, there was a larger decline in natural gas commodity prices as compared to in 2024.</w:t>
      </w:r>
    </w:p>
    <w:p>
      <w:pPr>
        <w:spacing w:after="0" w:line="19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22"/>
          <w:szCs w:val="22"/>
          <w:color w:val="auto"/>
        </w:rPr>
        <w:t>During the first nine months of 2024, we incurred $932,498 of capital expenditures, issued $1,394,411 of long-term debt, received $167,274 from the sale of assets, repaid short-term debt, and made sinking fund contributions and other long-term debt repayments in aggregate of $1,041,828.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and proceeds from the sale of the non-utility energy projects were used for capital expenditures, repayment of existing indebtedness, and general corporate purposes. Cash flows from financing activities were higher during the first nine months of 2024 as compared to 2023, principally as a result of the decrease in the amount of the paydown of loans payable associated with the financing of inventory.</w:t>
      </w:r>
    </w:p>
    <w:p>
      <w:pPr>
        <w:spacing w:after="0" w:line="178"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On August 15, 2024, the Company issued $500,000 of senior notes, less expenses of $3,015, due in 2027, with an interest rate of 4.80%. On January 8, 2024, the Company issued $500,000 of senior notes, less expenses of $4,610, due in 2034, with an interest rate of 5.375%. In August 2023, the Company’s subsidiary, Aqua Pennsylvania, issued $225,000 in aggregate principal amount of first mortgage bonds. The bonds consisted of $175,000 of 5.48% first mortgage bonds due in 2053; and $50,000 of 5.56% first mortgage bonds due in 2061. In January 2023, Aqua Pennsylvania issued $75,000 of first mortgage bonds, due in 2043, and with an interest rate of 5.60%. The proceeds from these borrowings were used to repay existing indebtedness and for general corporate purposes.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400"/>
        <w:spacing w:after="0" w:line="230" w:lineRule="auto"/>
        <w:rPr>
          <w:sz w:val="20"/>
          <w:szCs w:val="20"/>
          <w:color w:val="auto"/>
        </w:rPr>
      </w:pPr>
      <w:r>
        <w:rPr>
          <w:rFonts w:ascii="Times New Roman" w:cs="Times New Roman" w:eastAsia="Times New Roman" w:hAnsi="Times New Roman"/>
          <w:sz w:val="22"/>
          <w:szCs w:val="22"/>
          <w:color w:val="auto"/>
        </w:rPr>
        <w:t>In March 2024, the Company filed a new universal shelf registration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w:t>
      </w:r>
    </w:p>
    <w:p>
      <w:pPr>
        <w:spacing w:after="0" w:line="19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1"/>
          <w:szCs w:val="21"/>
          <w:color w:val="auto"/>
        </w:rPr>
        <w:t>On August 13, 2024, the Company filed a prospectus supplement under the 2024 universal shelf registration statement relating to a new at-the-market equity sales program (“ATM”), under which we may issue and sell shares of our common stock up to an aggregate offering price of $1,000,000 (“2024 ATM”). This 2024 ATM replaced our previous ATM filed on October 14, 2022 (“2022 ATM”). During the three and nine months ended September 30, 2024, the Company issued 823,595 shares of common stock for net proceeds of approximately $32,000 under the 2024 ATM. As of September 30, 2024, the 2024 ATM had approximately $968,000 of equity available for issuance. As of December 31, 2023, the Company had issued 10,260,833 shares of common stock for net proceeds of $386,023 under the 2022 ATM. There were no common stock sales under the 2022 ATM in 2024. The Company used the net proceeds from the sales of shares through the 2022 and 2024 ATMs for working capital, capital expenditures, water and wastewater utility acquisitions, and repaying a portion of outstanding indebtedness.</w:t>
      </w:r>
    </w:p>
    <w:p>
      <w:pPr>
        <w:spacing w:after="0" w:line="19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22"/>
          <w:szCs w:val="22"/>
          <w:color w:val="auto"/>
        </w:rPr>
        <w:t>At September 30, 2024, we had $8,436 of cash and cash equivalents compared to $4,612 at December 31, 2023. During the first nine months of 2024, we used the proceeds from long-term debt, the proceeds from issuance of common stock, and proceeds from the sale of the non-utility energy projects, as well as internally generated funds, to fund the cash requirements discussed above and to pay dividends.</w:t>
      </w:r>
    </w:p>
    <w:p>
      <w:pPr>
        <w:spacing w:after="0" w:line="19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2"/>
          <w:szCs w:val="22"/>
          <w:color w:val="auto"/>
        </w:rPr>
        <w:t>At September 30, 2024 our $1,000,000 unsecured revolving credit facility, which expires in December 2027, had $824,226 available for borrowing. Additionally, at September 30, 2024, we had short-term lines of credit of $400,000, primarily used for working capital, of which $256,983 was available for borrowing. On June 12, 2024, Aqua Pennsylvania and Peoples Natural Gas Companies amended the terms of its respective $100,000 and $300,000 364-day revolving credit agreements by extending the maturity dates to June 10, 2025 and revised the interest rate index from the Bloomberg Short-Term Bank Yield Index (BSBY) to the Secured Overnight Financing Rate (SOFR). Our short-term lines of credit of $400,000 are subject to renewal on an annual basis. Although we believe we will be able to renew these facilities, there is no assurance that they will be renewed, or what the terms of any such renewal will be.</w:t>
      </w:r>
    </w:p>
    <w:p>
      <w:pPr>
        <w:spacing w:after="0" w:line="178"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2"/>
          <w:szCs w:val="22"/>
          <w:color w:val="auto"/>
        </w:rPr>
        <w:t>As of September 30, 2024, our credit ratings remained at investment grade levels. On March 19, 2024, S&amp;P lowered its credit rating for the Company, Aqua Pennsylvania, and Peoples Natural Gas Companies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October 3, 2024, Moody’s Investors Service (“Moody’s”) affirmed the Company’s senior unsecured notes rating of Baa2 and changed its outlook from stable to negative; and, changed Peoples Natural Gas Companies’ senior secured notes rating from</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2"/>
          <w:szCs w:val="22"/>
          <w:color w:val="auto"/>
        </w:rPr>
        <w:t>Baa1 to Baa2 and maintained a negative outlook.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Results of Operations</w:t>
      </w:r>
    </w:p>
    <w:p>
      <w:pPr>
        <w:spacing w:after="0" w:line="2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Consolidated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financial and operational highlights for the periods ended September 30, 2024 and 2023 are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 w:type="dxa"/>
            <w:vAlign w:val="bottom"/>
          </w:tcPr>
          <w:p>
            <w:pPr>
              <w:spacing w:after="0"/>
              <w:rPr>
                <w:sz w:val="19"/>
                <w:szCs w:val="19"/>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435,255</w:t>
            </w:r>
          </w:p>
        </w:tc>
        <w:tc>
          <w:tcPr>
            <w:tcW w:w="3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411,255</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1,481,730</w:t>
            </w:r>
          </w:p>
        </w:tc>
        <w:tc>
          <w:tcPr>
            <w:tcW w:w="32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1,574,405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144,368</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147,018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95"/>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423,780</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418,520</w:t>
            </w:r>
          </w:p>
        </w:tc>
        <w:tc>
          <w:tcPr>
            <w:tcW w:w="0" w:type="dxa"/>
            <w:vAlign w:val="bottom"/>
          </w:tcPr>
          <w:p>
            <w:pPr>
              <w:spacing w:after="0"/>
              <w:rPr>
                <w:sz w:val="1"/>
                <w:szCs w:val="1"/>
                <w:color w:val="auto"/>
              </w:rPr>
            </w:pPr>
          </w:p>
        </w:tc>
      </w:tr>
      <w:tr>
        <w:trPr>
          <w:trHeight w:val="169"/>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19,095</w:t>
            </w:r>
          </w:p>
        </w:tc>
        <w:tc>
          <w:tcPr>
            <w:tcW w:w="3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16,590</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95"/>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182,498</w:t>
            </w:r>
          </w:p>
        </w:tc>
        <w:tc>
          <w:tcPr>
            <w:tcW w:w="32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314,838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69,402</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80,076</w:t>
            </w:r>
          </w:p>
        </w:tc>
        <w:tc>
          <w:tcPr>
            <w:tcW w:w="18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jc w:val="right"/>
              <w:ind w:right="95"/>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410,559</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362,778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1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9"/>
        </w:trPr>
        <w:tc>
          <w:tcPr>
            <w:tcW w:w="5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17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54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172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35.7%</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28.6%</w:t>
            </w:r>
          </w:p>
        </w:tc>
        <w:tc>
          <w:tcPr>
            <w:tcW w:w="1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26.6%</w:t>
            </w:r>
          </w:p>
        </w:tc>
      </w:tr>
      <w:tr>
        <w:trPr>
          <w:trHeight w:val="189"/>
        </w:trPr>
        <w:tc>
          <w:tcPr>
            <w:tcW w:w="54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1720" w:type="dxa"/>
            <w:vAlign w:val="bottom"/>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w w:val="95"/>
              </w:rPr>
              <w:t>4.4%</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12.3%</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20.0%</w:t>
            </w:r>
          </w:p>
        </w:tc>
      </w:tr>
      <w:tr>
        <w:trPr>
          <w:trHeight w:val="189"/>
        </w:trPr>
        <w:tc>
          <w:tcPr>
            <w:tcW w:w="54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20.9%</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18.4%</w:t>
            </w:r>
          </w:p>
        </w:tc>
        <w:tc>
          <w:tcPr>
            <w:tcW w:w="1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16.2%</w:t>
            </w:r>
          </w:p>
        </w:tc>
      </w:tr>
      <w:tr>
        <w:trPr>
          <w:trHeight w:val="189"/>
        </w:trPr>
        <w:tc>
          <w:tcPr>
            <w:tcW w:w="54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1720" w:type="dxa"/>
            <w:vAlign w:val="bottom"/>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w w:val="95"/>
              </w:rPr>
              <w:t>5.5%</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89"/>
        </w:trPr>
        <w:tc>
          <w:tcPr>
            <w:tcW w:w="546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172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16.4%</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14.9%</w:t>
            </w:r>
          </w:p>
        </w:tc>
        <w:tc>
          <w:tcPr>
            <w:tcW w:w="1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13.2%</w:t>
            </w:r>
          </w:p>
        </w:tc>
      </w:tr>
      <w:tr>
        <w:trPr>
          <w:trHeight w:val="189"/>
        </w:trPr>
        <w:tc>
          <w:tcPr>
            <w:tcW w:w="54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15.9%</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19.5%</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27.7%</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23.0%</w:t>
            </w:r>
          </w:p>
        </w:tc>
      </w:tr>
      <w:tr>
        <w:trPr>
          <w:trHeight w:val="189"/>
        </w:trPr>
        <w:tc>
          <w:tcPr>
            <w:tcW w:w="5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1720" w:type="dxa"/>
            <w:vAlign w:val="bottom"/>
            <w:shd w:val="clear" w:color="auto" w:fill="CCEEFF"/>
          </w:tcPr>
          <w:p>
            <w:pPr>
              <w:jc w:val="center"/>
              <w:ind w:left="230"/>
              <w:spacing w:after="0" w:line="189" w:lineRule="exact"/>
              <w:rPr>
                <w:sz w:val="20"/>
                <w:szCs w:val="20"/>
                <w:color w:val="auto"/>
              </w:rPr>
            </w:pPr>
            <w:r>
              <w:rPr>
                <w:rFonts w:ascii="Times New Roman" w:cs="Times New Roman" w:eastAsia="Times New Roman" w:hAnsi="Times New Roman"/>
                <w:sz w:val="18"/>
                <w:szCs w:val="18"/>
                <w:color w:val="auto"/>
              </w:rPr>
              <w:t>18.6%</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4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1220" w:type="dxa"/>
            <w:vAlign w:val="bottom"/>
            <w:shd w:val="clear" w:color="auto" w:fill="CCEEFF"/>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-10.9%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2024 compared with three months ended September 30, 2023</w:t>
      </w:r>
    </w:p>
    <w:p>
      <w:pPr>
        <w:spacing w:after="0" w:line="224"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22"/>
          <w:szCs w:val="22"/>
          <w:color w:val="auto"/>
        </w:rPr>
        <w:t>Consolidated operating revenues increased by $24,000 or 5.8% as compared to the same period in 2023. Revenues from our Regulated Water and Regulated Natural Gas segments increased by $23,886 and $1,933, respectively. Revenues from our Other business segment decreased by $1,819. A detailed discussion of the factors contributing to the changes in segment revenue is included below under the section, Segment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expense decreased by $2,650 or 1.8%, primarily due to:</w:t>
      </w:r>
    </w:p>
    <w:p>
      <w:pPr>
        <w:spacing w:after="0" w:line="206" w:lineRule="exact"/>
        <w:rPr>
          <w:sz w:val="20"/>
          <w:szCs w:val="20"/>
          <w:color w:val="auto"/>
        </w:rPr>
      </w:pPr>
    </w:p>
    <w:p>
      <w:pPr>
        <w:ind w:left="340" w:right="240"/>
        <w:spacing w:after="0" w:line="229" w:lineRule="auto"/>
        <w:rPr>
          <w:sz w:val="20"/>
          <w:szCs w:val="20"/>
          <w:color w:val="auto"/>
        </w:rPr>
      </w:pPr>
      <w:r>
        <w:rPr>
          <w:rFonts w:ascii="Times New Roman" w:cs="Times New Roman" w:eastAsia="Times New Roman" w:hAnsi="Times New Roman"/>
          <w:sz w:val="22"/>
          <w:szCs w:val="22"/>
          <w:color w:val="auto"/>
        </w:rPr>
        <w:t>a decrease in operations and maintenance expense of $2,064 as a result of the sale of both the regulated natural gas utility assets in West Virginia in October 2023 and the three non-utility local microgrid and distributed energy projects in January 2024;</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 decrease in bad debt expense of $3,452; offset by</w:t>
      </w:r>
    </w:p>
    <w:p>
      <w:pPr>
        <w:spacing w:after="0" w:line="230"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$1,640;</w:t>
      </w:r>
    </w:p>
    <w:p>
      <w:pPr>
        <w:ind w:left="340" w:right="260"/>
        <w:spacing w:after="0" w:line="217" w:lineRule="auto"/>
        <w:rPr>
          <w:sz w:val="20"/>
          <w:szCs w:val="20"/>
          <w:color w:val="auto"/>
        </w:rPr>
      </w:pPr>
      <w:r>
        <w:rPr>
          <w:rFonts w:ascii="Times New Roman" w:cs="Times New Roman" w:eastAsia="Times New Roman" w:hAnsi="Times New Roman"/>
          <w:sz w:val="22"/>
          <w:szCs w:val="22"/>
          <w:color w:val="auto"/>
        </w:rPr>
        <w:t>an increase in customer assistance surcharge costs of $926 in our Regulated Natural Gas segment, which has an equivalent offsetting amount in revenues;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$259.</w:t>
      </w:r>
    </w:p>
    <w:p>
      <w:pPr>
        <w:spacing w:after="0" w:line="19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1"/>
          <w:szCs w:val="21"/>
          <w:color w:val="auto"/>
        </w:rPr>
        <w:t>Purchased gas increased by $2,505 or 15.1%. Purchased gas represents the cost of gas sold by Peoples, which for the regulated gas business has a corresponding offset in revenue. The increase is the result of an increase in the average cost of gas of $3,656 and higher gas usage of $473 during the third quarter of 2024, offset by a decrease of $1,624 from the sale of Peoples West Virginia in October 2023 and our three non-utility local microgrid and distributed energy projects in January 2024.</w:t>
      </w:r>
    </w:p>
    <w:p>
      <w:pPr>
        <w:spacing w:after="0" w:line="19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$6,566 or 7.6% principally due to continued capital expenditures to expand and improve our utility facilities and our acquisitions of new utility systems.</w:t>
      </w:r>
    </w:p>
    <w:p>
      <w:pPr>
        <w:spacing w:after="0" w:line="159"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2"/>
          <w:szCs w:val="22"/>
          <w:color w:val="auto"/>
        </w:rPr>
        <w:t>Interest expense, net of interest income, increased by $7,804 or 11.5%. Interest expense, net of interest income, increased by $4,227 in our Regulated Water segment and by $2,716 in our Regulated Natural Gas segment. Refer to Segment Results of Operations below for further details. Interest expense, net of interest income, in Other relates to our corporate operations, and this increased by $861 during the third quarter of 2024.</w:t>
      </w:r>
    </w:p>
    <w:p>
      <w:pPr>
        <w:spacing w:after="0" w:line="19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Other, net was an expense of $227 and income of $1,438 for the three months ended September 30, 2024 and 2023, respectively. The change is primarily due to the increase in the pension and post-retirement benefit non-service cost component of net periodic benefit expense in our Regulated Water segment.</w:t>
      </w:r>
    </w:p>
    <w:p>
      <w:pPr>
        <w:spacing w:after="0" w:line="192" w:lineRule="exact"/>
        <w:rPr>
          <w:sz w:val="20"/>
          <w:szCs w:val="20"/>
          <w:color w:val="auto"/>
        </w:rPr>
      </w:pPr>
    </w:p>
    <w:p>
      <w:pPr>
        <w:jc w:val="both"/>
        <w:ind w:right="60"/>
        <w:spacing w:after="0" w:line="234" w:lineRule="auto"/>
        <w:rPr>
          <w:sz w:val="20"/>
          <w:szCs w:val="20"/>
          <w:color w:val="auto"/>
        </w:rPr>
      </w:pPr>
      <w:r>
        <w:rPr>
          <w:rFonts w:ascii="Times New Roman" w:cs="Times New Roman" w:eastAsia="Times New Roman" w:hAnsi="Times New Roman"/>
          <w:sz w:val="22"/>
          <w:szCs w:val="22"/>
          <w:color w:val="auto"/>
        </w:rPr>
        <w:t>Our effective income tax rate was an expense of 18.6% and a benefit of 4.9% in the third quarter of 2024 and 2023, respectively. The change in the effective income tax rate is primarily the result of a decrease in income tax benefit associated with the repairs tax deduction for qualifying infrastructure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2024 compared with nine months ended September 30, 2023</w:t>
      </w:r>
    </w:p>
    <w:p>
      <w:pPr>
        <w:spacing w:after="0" w:line="210"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22"/>
          <w:szCs w:val="22"/>
          <w:color w:val="auto"/>
        </w:rPr>
        <w:t>Consolidated operating revenues decreased by $92,675 or 5.9% for the nine months ended September 30, 2024, as compared to the same period in 2023. Revenues from our Regulated Water segment increased by $45,287. Revenues from our Regulated Natural Gas and Other business segments decreased by $125,826 and $12,136, respectively. A detailed discussion of the factors contributing to the changes in segment net revenue is included below under the section, Segment Results of Operations. The decrease in our Other business segment revenue is due to lower revenues from our non-regulated natural gas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18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2"/>
          <w:szCs w:val="22"/>
          <w:color w:val="auto"/>
        </w:rPr>
        <w:t>operations primarily as a result of lower average gas prices and lower gas usage in the current period as compared to the prior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operations and maintenance increased by $5,260 or 1.3%, primarily due to:</w:t>
      </w:r>
    </w:p>
    <w:p>
      <w:pPr>
        <w:spacing w:after="0" w:line="206" w:lineRule="exact"/>
        <w:rPr>
          <w:sz w:val="20"/>
          <w:szCs w:val="20"/>
          <w:color w:val="auto"/>
        </w:rPr>
      </w:pPr>
    </w:p>
    <w:p>
      <w:pPr>
        <w:ind w:left="340" w:right="240"/>
        <w:spacing w:after="0" w:line="235"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$4,424, primarily due to increased purchased water, wastewater, and power costs;</w:t>
      </w:r>
    </w:p>
    <w:p>
      <w:pPr>
        <w:spacing w:after="0" w:line="1" w:lineRule="exact"/>
        <w:rPr>
          <w:sz w:val="20"/>
          <w:szCs w:val="20"/>
          <w:color w:val="auto"/>
        </w:rPr>
      </w:pPr>
    </w:p>
    <w:p>
      <w:pPr>
        <w:ind w:left="340" w:right="1060"/>
        <w:spacing w:after="0" w:line="224" w:lineRule="auto"/>
        <w:rPr>
          <w:sz w:val="20"/>
          <w:szCs w:val="20"/>
          <w:color w:val="auto"/>
        </w:rPr>
      </w:pPr>
      <w:r>
        <w:rPr>
          <w:rFonts w:ascii="Times New Roman" w:cs="Times New Roman" w:eastAsia="Times New Roman" w:hAnsi="Times New Roman"/>
          <w:sz w:val="22"/>
          <w:szCs w:val="22"/>
          <w:color w:val="auto"/>
        </w:rPr>
        <w:t>an increase in employee related costs of $2,964 primarily resulting from higher salary costs, healthcare costs, and contributions to the Company’s defined contribution plan, offset by lower pension cost;</w:t>
      </w:r>
    </w:p>
    <w:p>
      <w:pPr>
        <w:ind w:left="340" w:right="120"/>
        <w:spacing w:after="0" w:line="217"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$2,672; an increase in material and supplies expense of $2,348 in our Regulated Natural Gas segment;</w:t>
      </w:r>
    </w:p>
    <w:p>
      <w:pPr>
        <w:spacing w:after="0" w:line="1" w:lineRule="exact"/>
        <w:rPr>
          <w:sz w:val="20"/>
          <w:szCs w:val="20"/>
          <w:color w:val="auto"/>
        </w:rPr>
      </w:pPr>
    </w:p>
    <w:p>
      <w:pPr>
        <w:ind w:left="340" w:right="260"/>
        <w:spacing w:after="0" w:line="224" w:lineRule="auto"/>
        <w:rPr>
          <w:sz w:val="20"/>
          <w:szCs w:val="20"/>
          <w:color w:val="auto"/>
        </w:rPr>
      </w:pPr>
      <w:r>
        <w:rPr>
          <w:rFonts w:ascii="Times New Roman" w:cs="Times New Roman" w:eastAsia="Times New Roman" w:hAnsi="Times New Roman"/>
          <w:sz w:val="22"/>
          <w:szCs w:val="22"/>
          <w:color w:val="auto"/>
        </w:rPr>
        <w:t>an increase in customer assistance surcharge costs of $692 in our Regulated Natural Gas segment, which has an equivalent offsetting amount in revenues; offset by</w:t>
      </w:r>
    </w:p>
    <w:p>
      <w:pPr>
        <w:ind w:left="340" w:right="240"/>
        <w:spacing w:after="0" w:line="217" w:lineRule="auto"/>
        <w:rPr>
          <w:sz w:val="20"/>
          <w:szCs w:val="20"/>
          <w:color w:val="auto"/>
        </w:rPr>
      </w:pPr>
      <w:r>
        <w:rPr>
          <w:rFonts w:ascii="Times New Roman" w:cs="Times New Roman" w:eastAsia="Times New Roman" w:hAnsi="Times New Roman"/>
          <w:sz w:val="22"/>
          <w:szCs w:val="22"/>
          <w:color w:val="auto"/>
        </w:rPr>
        <w:t>a decrease in operation and maintenance expense of $6,198 as a result of the sale of both the regulated natural gas utility assets in West Virginia in October 2023 and the three non-utility local microgrid and distributed energy projects in January 2024;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bad debt expense of $1,203.</w:t>
      </w:r>
    </w:p>
    <w:p>
      <w:pPr>
        <w:spacing w:after="0" w:line="196"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22"/>
          <w:szCs w:val="22"/>
          <w:color w:val="auto"/>
        </w:rPr>
        <w:t>Purchased gas decreased by $132,340 or 42.0%. Purchased gas represents the cost of gas sold by Peoples for the Regulated Natural Gas business and has a corresponding offset in revenue. The decrease is the result of the lower average cost of gas of $103,796 during the nine month period compared to prior period, the impact of lower gas usage of $26,920 due to warmer weather conditions, and a decrease of $1,624 from the sale of Peoples West Virginia in October 2023 and our three non-utility local microgrid and distributed energy projects in January 2024.</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Depreciation and amortization expense increased by $17,561 or 6.9% principally due to continued capital expenditures to expand and improve our utility facilities and our acquisitions of new utility systems.</w:t>
      </w:r>
    </w:p>
    <w:p>
      <w:pPr>
        <w:spacing w:after="0" w:line="172"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Taxes other than income taxes increased by $3,926 or 5.8% largely due to an increase in property taxes, payroll taxes and pumping fees.</w:t>
      </w:r>
    </w:p>
    <w:p>
      <w:pPr>
        <w:spacing w:after="0" w:line="15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Interest expense, net of interest income, increased by $12,796 or 6.2% for the first nine months of 2024. Interest expense, net of interest income, increased by $13,231 in our Regulated Water segment and by $452 for our Regulated Natural Gas segment. Refer to Segment Results of Operations below for further details. Interest expense, net of interest income, in Other relates to our corporate operations, and this decreased by $887.</w:t>
      </w:r>
    </w:p>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Allowance for funds used during construction (“AFUDC”) increased by $936 or by 6.4% due to the increase in the average balance of utility plant construction work in progress, to which AFUDC is applied in our Regulated Natural Gas segment.</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Gain on sale of assets was $92,067 and $184 for the nine months ended September 30, 2024 and 2023, respectively. During the first quarter of 2024, the Company completed the sale of its interest in three non-utility local microgrid and distributed energy projects and recognized a gain of $91,236.</w:t>
      </w:r>
    </w:p>
    <w:p>
      <w:pPr>
        <w:spacing w:after="0" w:line="17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Other, net was an expense of $486 and income of $2,001 for the nine months ended September 30, 2024 and 2023, respectively. The change is primarily due to the increase in the pension and post-retirement benefit non-service cost component of net periodic benefit expense in 2024 in our Regulated Water segment.</w:t>
      </w:r>
    </w:p>
    <w:p>
      <w:pPr>
        <w:spacing w:after="0" w:line="19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22"/>
          <w:szCs w:val="22"/>
          <w:color w:val="auto"/>
        </w:rPr>
        <w:t>Our effective income tax rate was an expense of 1.7% in the first nine months of 2024 and a benefit of 10.9% in the first nine months of 2023. The decrease in the income tax benefit is primarily attributed to the gain recognized from the sale of the Company’s interest in three non-utility local microgrid and distributed energy projects in the first quarter of 2024 and a decrease in tax benefit associated with the repairs tax deduction for qualifying utility infrastructure.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Segment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Water Segment</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Water segment for the periods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30, 2024 and 2023:</w:t>
      </w:r>
    </w:p>
    <w:tbl>
      <w:tblPr>
        <w:tblLayout w:type="fixed"/>
        <w:tblInd w:w="0" w:type="dxa"/>
        <w:tblCellMar>
          <w:top w:w="0" w:type="dxa"/>
          <w:left w:w="0" w:type="dxa"/>
          <w:bottom w:w="0" w:type="dxa"/>
          <w:right w:w="0" w:type="dxa"/>
        </w:tblCellMar>
      </w:tblPr>
      <w:tr>
        <w:trPr>
          <w:trHeight w:val="201"/>
        </w:trPr>
        <w:tc>
          <w:tcPr>
            <w:tcW w:w="570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Three Months Ended September 30,</w:t>
            </w:r>
          </w:p>
        </w:tc>
        <w:tc>
          <w:tcPr>
            <w:tcW w:w="18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line="201" w:lineRule="exact"/>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2"/>
        </w:trPr>
        <w:tc>
          <w:tcPr>
            <w:tcW w:w="57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334,477</w:t>
            </w:r>
          </w:p>
        </w:tc>
        <w:tc>
          <w:tcPr>
            <w:tcW w:w="3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310,591</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916,850</w:t>
            </w:r>
          </w:p>
        </w:tc>
        <w:tc>
          <w:tcPr>
            <w:tcW w:w="32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871,563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96,369</w:t>
            </w:r>
          </w:p>
        </w:tc>
        <w:tc>
          <w:tcPr>
            <w:tcW w:w="320" w:type="dxa"/>
            <w:vAlign w:val="bottom"/>
            <w:tcBorders>
              <w:bottom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98,695</w:t>
            </w:r>
          </w:p>
        </w:tc>
        <w:tc>
          <w:tcPr>
            <w:tcW w:w="18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282,627</w:t>
            </w:r>
          </w:p>
        </w:tc>
        <w:tc>
          <w:tcPr>
            <w:tcW w:w="320" w:type="dxa"/>
            <w:vAlign w:val="bottom"/>
            <w:tcBorders>
              <w:bottom w:val="single" w:sz="8" w:color="auto"/>
            </w:tcBorders>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274,724</w:t>
            </w:r>
          </w:p>
        </w:tc>
        <w:tc>
          <w:tcPr>
            <w:tcW w:w="0" w:type="dxa"/>
            <w:vAlign w:val="bottom"/>
          </w:tcPr>
          <w:p>
            <w:pPr>
              <w:spacing w:after="0"/>
              <w:rPr>
                <w:sz w:val="1"/>
                <w:szCs w:val="1"/>
                <w:color w:val="auto"/>
              </w:rPr>
            </w:pPr>
          </w:p>
        </w:tc>
      </w:tr>
      <w:tr>
        <w:trPr>
          <w:trHeight w:val="170"/>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Segment net income</w:t>
            </w: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112,275</w:t>
            </w:r>
          </w:p>
        </w:tc>
        <w:tc>
          <w:tcPr>
            <w:tcW w:w="3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99,916</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263,859</w:t>
            </w:r>
          </w:p>
        </w:tc>
        <w:tc>
          <w:tcPr>
            <w:tcW w:w="32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267,345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Statistics</w:t>
            </w:r>
          </w:p>
        </w:tc>
        <w:tc>
          <w:tcPr>
            <w:tcW w:w="2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9"/>
        </w:trPr>
        <w:tc>
          <w:tcPr>
            <w:tcW w:w="5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2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0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2360" w:type="dxa"/>
            <w:vAlign w:val="bottom"/>
            <w:shd w:val="clear" w:color="auto" w:fill="CCEEFF"/>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28.8%</w:t>
            </w:r>
          </w:p>
        </w:tc>
        <w:tc>
          <w:tcPr>
            <w:tcW w:w="12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31.8%</w:t>
            </w:r>
          </w:p>
        </w:tc>
        <w:tc>
          <w:tcPr>
            <w:tcW w:w="13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30.8%</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31.5%</w:t>
            </w:r>
          </w:p>
        </w:tc>
      </w:tr>
      <w:tr>
        <w:trPr>
          <w:trHeight w:val="189"/>
        </w:trPr>
        <w:tc>
          <w:tcPr>
            <w:tcW w:w="50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360" w:type="dxa"/>
            <w:vAlign w:val="bottom"/>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17.3%</w:t>
            </w:r>
          </w:p>
        </w:tc>
        <w:tc>
          <w:tcPr>
            <w:tcW w:w="12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17.6%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18.8%</w:t>
            </w:r>
          </w:p>
        </w:tc>
        <w:tc>
          <w:tcPr>
            <w:tcW w:w="1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18.5%</w:t>
            </w:r>
          </w:p>
        </w:tc>
      </w:tr>
      <w:tr>
        <w:trPr>
          <w:trHeight w:val="189"/>
        </w:trPr>
        <w:tc>
          <w:tcPr>
            <w:tcW w:w="50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2360" w:type="dxa"/>
            <w:vAlign w:val="bottom"/>
            <w:shd w:val="clear" w:color="auto" w:fill="CCEEFF"/>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2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13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5.5%</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5.4%</w:t>
            </w:r>
          </w:p>
        </w:tc>
      </w:tr>
      <w:tr>
        <w:trPr>
          <w:trHeight w:val="189"/>
        </w:trPr>
        <w:tc>
          <w:tcPr>
            <w:tcW w:w="50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2360" w:type="dxa"/>
            <w:vAlign w:val="bottom"/>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2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11.4%</w:t>
            </w:r>
          </w:p>
        </w:tc>
        <w:tc>
          <w:tcPr>
            <w:tcW w:w="122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10.5%</w:t>
            </w:r>
          </w:p>
        </w:tc>
      </w:tr>
      <w:tr>
        <w:trPr>
          <w:trHeight w:val="189"/>
        </w:trPr>
        <w:tc>
          <w:tcPr>
            <w:tcW w:w="50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w:t>
            </w:r>
          </w:p>
        </w:tc>
        <w:tc>
          <w:tcPr>
            <w:tcW w:w="2360" w:type="dxa"/>
            <w:vAlign w:val="bottom"/>
            <w:shd w:val="clear" w:color="auto" w:fill="CCEEFF"/>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12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3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28.8%</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30.7%</w:t>
            </w:r>
          </w:p>
        </w:tc>
      </w:tr>
      <w:tr>
        <w:trPr>
          <w:trHeight w:val="189"/>
        </w:trPr>
        <w:tc>
          <w:tcPr>
            <w:tcW w:w="50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0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2360" w:type="dxa"/>
            <w:vAlign w:val="bottom"/>
            <w:shd w:val="clear" w:color="auto" w:fill="CCEEFF"/>
          </w:tcPr>
          <w:p>
            <w:pPr>
              <w:jc w:val="right"/>
              <w:ind w:right="347"/>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12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3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17.1%</w:t>
            </w:r>
          </w:p>
        </w:tc>
        <w:tc>
          <w:tcPr>
            <w:tcW w:w="1220" w:type="dxa"/>
            <w:vAlign w:val="bottom"/>
            <w:shd w:val="clear" w:color="auto" w:fill="CCEEFF"/>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8"/>
              </w:rPr>
              <w:t>14.6%</w:t>
            </w:r>
          </w:p>
        </w:tc>
      </w:tr>
      <w:tr>
        <w:trPr>
          <w:trHeight w:val="484"/>
        </w:trPr>
        <w:tc>
          <w:tcPr>
            <w:tcW w:w="5080" w:type="dxa"/>
            <w:vAlign w:val="bottom"/>
          </w:tcPr>
          <w:p>
            <w:pPr>
              <w:spacing w:after="0"/>
              <w:rPr>
                <w:sz w:val="24"/>
                <w:szCs w:val="24"/>
                <w:color w:val="auto"/>
              </w:rPr>
            </w:pPr>
          </w:p>
        </w:tc>
        <w:tc>
          <w:tcPr>
            <w:tcW w:w="2360" w:type="dxa"/>
            <w:vAlign w:val="bottom"/>
          </w:tcPr>
          <w:p>
            <w:pPr>
              <w:jc w:val="right"/>
              <w:ind w:right="1607"/>
              <w:spacing w:after="0"/>
              <w:rPr>
                <w:sz w:val="20"/>
                <w:szCs w:val="20"/>
                <w:color w:val="auto"/>
              </w:rPr>
            </w:pPr>
            <w:r>
              <w:rPr>
                <w:rFonts w:ascii="Times New Roman" w:cs="Times New Roman" w:eastAsia="Times New Roman" w:hAnsi="Times New Roman"/>
                <w:sz w:val="22"/>
                <w:szCs w:val="22"/>
                <w:color w:val="auto"/>
              </w:rPr>
              <w:t>38</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9"/>
        </w:trPr>
        <w:tc>
          <w:tcPr>
            <w:tcW w:w="5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2024 compared with three months ended September 30, 2023</w:t>
      </w:r>
    </w:p>
    <w:p>
      <w:pPr>
        <w:spacing w:after="0" w:line="2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Revenues from our Regulated Water segment increased by $23,886 or 7.7% for the third quarter of 2024 as compared to the same period in 2023, mainly due to the following:</w:t>
      </w:r>
    </w:p>
    <w:p>
      <w:pPr>
        <w:spacing w:after="0" w:line="186" w:lineRule="exact"/>
        <w:rPr>
          <w:sz w:val="20"/>
          <w:szCs w:val="20"/>
          <w:color w:val="auto"/>
        </w:rPr>
      </w:pPr>
    </w:p>
    <w:p>
      <w:pPr>
        <w:ind w:left="340" w:right="1920"/>
        <w:spacing w:after="0" w:line="229" w:lineRule="auto"/>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$11,014; an increase in volume consumption of $10,263; and</w:t>
      </w:r>
    </w:p>
    <w:p>
      <w:pPr>
        <w:ind w:left="340" w:right="440"/>
        <w:spacing w:after="0" w:line="237" w:lineRule="auto"/>
        <w:rPr>
          <w:sz w:val="20"/>
          <w:szCs w:val="20"/>
          <w:color w:val="auto"/>
        </w:rPr>
      </w:pPr>
      <w:r>
        <w:rPr>
          <w:rFonts w:ascii="Times New Roman" w:cs="Times New Roman" w:eastAsia="Times New Roman" w:hAnsi="Times New Roman"/>
          <w:sz w:val="22"/>
          <w:szCs w:val="22"/>
          <w:color w:val="auto"/>
        </w:rPr>
        <w:t>additional water and wastewater revenues of $1,528 associated with a larger customer base due to utility acquisitions and organic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decreased by $2,326 or 2.4% primarily due to the following: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decrease in bad debt expense of $3,709;</w:t>
      </w:r>
    </w:p>
    <w:p>
      <w:pPr>
        <w:ind w:left="340"/>
        <w:spacing w:after="0" w:line="217" w:lineRule="auto"/>
        <w:rPr>
          <w:sz w:val="20"/>
          <w:szCs w:val="20"/>
          <w:color w:val="auto"/>
        </w:rPr>
      </w:pPr>
      <w:r>
        <w:rPr>
          <w:rFonts w:ascii="Times New Roman" w:cs="Times New Roman" w:eastAsia="Times New Roman" w:hAnsi="Times New Roman"/>
          <w:sz w:val="22"/>
          <w:szCs w:val="22"/>
          <w:color w:val="auto"/>
        </w:rPr>
        <w:t>a decrease in employee related costs of $3,529 primarily resulting from lower pension cost during the quarter, offset by higher salary and healthcare costs;</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$1,640;</w:t>
      </w:r>
    </w:p>
    <w:p>
      <w:pPr>
        <w:ind w:left="340" w:right="1520"/>
        <w:spacing w:after="0" w:line="217" w:lineRule="auto"/>
        <w:rPr>
          <w:sz w:val="20"/>
          <w:szCs w:val="20"/>
          <w:color w:val="auto"/>
        </w:rPr>
      </w:pPr>
      <w:r>
        <w:rPr>
          <w:rFonts w:ascii="Times New Roman" w:cs="Times New Roman" w:eastAsia="Times New Roman" w:hAnsi="Times New Roman"/>
          <w:sz w:val="22"/>
          <w:szCs w:val="22"/>
          <w:color w:val="auto"/>
        </w:rPr>
        <w:t>an increase in outside services of $1,319 largely due to higher water testing costs and maintenance expenses; an increase in legal expenses of $1,067;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$259.</w:t>
      </w:r>
    </w:p>
    <w:p>
      <w:pPr>
        <w:spacing w:after="0" w:line="196"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$3,182 or 5.8% primarily due to continued capital investment to expand and improve our utility facilities and our acquisitions of new utility systems.</w:t>
      </w:r>
    </w:p>
    <w:p>
      <w:pPr>
        <w:spacing w:after="0" w:line="186"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$4,227 or 13.7% for the quarter primarily due to higher push down debt borrowings and operating company debt issuances for the Regulated Water segment.</w:t>
      </w:r>
    </w:p>
    <w:p>
      <w:pPr>
        <w:spacing w:after="0" w:line="172"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22"/>
          <w:szCs w:val="22"/>
          <w:color w:val="auto"/>
        </w:rPr>
        <w:t>Other, net was an expense of $287 and income of $2,419 for the three months ended September 30, 2024 and 2023, respectively. The change is primarily due to the increase in the pension and post-retirement benefit non-service cost component of net periodic benefit expense in 2024. The credit arising from the expected return of plan assets assumption was lower in 2024 as compared to 2023 for our Regulated Water segment.</w:t>
      </w:r>
    </w:p>
    <w:p>
      <w:pPr>
        <w:spacing w:after="0" w:line="192"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14.7% in the third quarter of 2024, compared to an expense of 13.9% in the third quarter of 2023. The increase in the effective tax rate is primarily the result of changes in the jurisdictional earnings mix.</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2024 compared with nine months ended September 30, 2023</w:t>
      </w:r>
    </w:p>
    <w:p>
      <w:pPr>
        <w:spacing w:after="0" w:line="22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2"/>
          <w:szCs w:val="22"/>
          <w:color w:val="auto"/>
        </w:rPr>
        <w:t>Revenues increased by $45,287 or 5.2% for the first nine months of 2024 as compared to the same period in 2023, mainly due to the following: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water and wastewater rates, including infrastructure rehabilitation surcharges, of $37,474;</w:t>
      </w:r>
    </w:p>
    <w:p>
      <w:pPr>
        <w:ind w:left="340" w:right="400"/>
        <w:spacing w:after="0" w:line="224" w:lineRule="auto"/>
        <w:rPr>
          <w:sz w:val="20"/>
          <w:szCs w:val="20"/>
          <w:color w:val="auto"/>
        </w:rPr>
      </w:pPr>
      <w:r>
        <w:rPr>
          <w:rFonts w:ascii="Times New Roman" w:cs="Times New Roman" w:eastAsia="Times New Roman" w:hAnsi="Times New Roman"/>
          <w:sz w:val="22"/>
          <w:szCs w:val="22"/>
          <w:color w:val="auto"/>
        </w:rPr>
        <w:t>additional water and wastewater revenues of $7,631 associated with a larger customer base due to utility acquisitions and organic growth; and</w:t>
      </w:r>
    </w:p>
    <w:p>
      <w:pPr>
        <w:spacing w:after="0" w:line="217" w:lineRule="auto"/>
        <w:rPr>
          <w:sz w:val="20"/>
          <w:szCs w:val="20"/>
          <w:color w:val="auto"/>
        </w:rPr>
      </w:pPr>
      <w:r>
        <w:rPr>
          <w:rFonts w:ascii="Times New Roman" w:cs="Times New Roman" w:eastAsia="Times New Roman" w:hAnsi="Times New Roman"/>
          <w:sz w:val="22"/>
          <w:szCs w:val="22"/>
          <w:color w:val="auto"/>
        </w:rPr>
        <w:t>an increase in volume consumption of $1,674; offset by</w:t>
      </w:r>
    </w:p>
    <w:p>
      <w:pPr>
        <w:spacing w:after="0"/>
        <w:rPr>
          <w:sz w:val="20"/>
          <w:szCs w:val="20"/>
          <w:color w:val="auto"/>
        </w:rPr>
      </w:pPr>
      <w:r>
        <w:rPr>
          <w:rFonts w:ascii="Times New Roman" w:cs="Times New Roman" w:eastAsia="Times New Roman" w:hAnsi="Times New Roman"/>
          <w:sz w:val="22"/>
          <w:szCs w:val="22"/>
          <w:color w:val="auto"/>
        </w:rPr>
        <w:t>a decrease in non-utility revenue of $1,549, primarily due to higher developer fees earned during the first quarter of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increased by $7,903 or 2.9% primarily due to the following:</w:t>
      </w:r>
    </w:p>
    <w:p>
      <w:pPr>
        <w:spacing w:after="0" w:line="220" w:lineRule="exact"/>
        <w:rPr>
          <w:sz w:val="20"/>
          <w:szCs w:val="20"/>
          <w:color w:val="auto"/>
        </w:rPr>
      </w:pPr>
    </w:p>
    <w:p>
      <w:pPr>
        <w:ind w:left="340" w:right="260"/>
        <w:spacing w:after="0" w:line="229" w:lineRule="auto"/>
        <w:rPr>
          <w:sz w:val="20"/>
          <w:szCs w:val="20"/>
          <w:color w:val="auto"/>
        </w:rPr>
      </w:pPr>
      <w:r>
        <w:rPr>
          <w:rFonts w:ascii="Times New Roman" w:cs="Times New Roman" w:eastAsia="Times New Roman" w:hAnsi="Times New Roman"/>
          <w:sz w:val="22"/>
          <w:szCs w:val="22"/>
          <w:color w:val="auto"/>
        </w:rPr>
        <w:t>an increase in production costs for water and wastewater operations of $4,424, primarily due to increased purchased water, wastewater, and power costs;</w:t>
      </w:r>
    </w:p>
    <w:p>
      <w:pPr>
        <w:ind w:left="340" w:right="140"/>
        <w:spacing w:after="0" w:line="224" w:lineRule="auto"/>
        <w:rPr>
          <w:sz w:val="20"/>
          <w:szCs w:val="20"/>
          <w:color w:val="auto"/>
        </w:rPr>
      </w:pPr>
      <w:r>
        <w:rPr>
          <w:rFonts w:ascii="Times New Roman" w:cs="Times New Roman" w:eastAsia="Times New Roman" w:hAnsi="Times New Roman"/>
          <w:sz w:val="22"/>
          <w:szCs w:val="22"/>
          <w:color w:val="auto"/>
        </w:rPr>
        <w:t>additional operating costs resulting from acquired water and wastewater utility systems and higher customer base of $2,672; and</w:t>
      </w:r>
    </w:p>
    <w:p>
      <w:pPr>
        <w:ind w:left="340" w:right="40"/>
        <w:spacing w:after="0" w:line="231" w:lineRule="auto"/>
        <w:rPr>
          <w:sz w:val="20"/>
          <w:szCs w:val="20"/>
          <w:color w:val="auto"/>
        </w:rPr>
      </w:pPr>
      <w:r>
        <w:rPr>
          <w:rFonts w:ascii="Times New Roman" w:cs="Times New Roman" w:eastAsia="Times New Roman" w:hAnsi="Times New Roman"/>
          <w:sz w:val="22"/>
          <w:szCs w:val="22"/>
          <w:color w:val="auto"/>
        </w:rPr>
        <w:t>an increase in employee related costs of $937 primarily resulting from higher salary costs, healthcare costs, and contributions to the Company’s defined contribution plan, offset by lower pension cost.</w:t>
      </w:r>
    </w:p>
    <w:p>
      <w:pPr>
        <w:spacing w:after="0" w:line="191" w:lineRule="exact"/>
        <w:rPr>
          <w:sz w:val="20"/>
          <w:szCs w:val="20"/>
          <w:color w:val="auto"/>
        </w:rPr>
      </w:pPr>
    </w:p>
    <w:p>
      <w:pPr>
        <w:ind w:right="700"/>
        <w:spacing w:after="0" w:line="245" w:lineRule="auto"/>
        <w:rPr>
          <w:sz w:val="20"/>
          <w:szCs w:val="20"/>
          <w:color w:val="auto"/>
        </w:rPr>
      </w:pPr>
      <w:r>
        <w:rPr>
          <w:rFonts w:ascii="Times New Roman" w:cs="Times New Roman" w:eastAsia="Times New Roman" w:hAnsi="Times New Roman"/>
          <w:sz w:val="22"/>
          <w:szCs w:val="22"/>
          <w:color w:val="auto"/>
        </w:rPr>
        <w:t>Depreciation and amortization increased by $11,303 or 7.0% primarily due to continued capital investment to expand and improve our utility facilities and our acquisitions of new utility systems.</w:t>
      </w:r>
    </w:p>
    <w:p>
      <w:pPr>
        <w:spacing w:after="0" w:line="186" w:lineRule="exact"/>
        <w:rPr>
          <w:sz w:val="20"/>
          <w:szCs w:val="20"/>
          <w:color w:val="auto"/>
        </w:rPr>
      </w:pPr>
    </w:p>
    <w:p>
      <w:pPr>
        <w:ind w:right="700"/>
        <w:spacing w:after="0" w:line="245" w:lineRule="auto"/>
        <w:rPr>
          <w:sz w:val="20"/>
          <w:szCs w:val="20"/>
          <w:color w:val="auto"/>
        </w:rPr>
      </w:pPr>
      <w:r>
        <w:rPr>
          <w:rFonts w:ascii="Times New Roman" w:cs="Times New Roman" w:eastAsia="Times New Roman" w:hAnsi="Times New Roman"/>
          <w:sz w:val="22"/>
          <w:szCs w:val="22"/>
          <w:color w:val="auto"/>
        </w:rPr>
        <w:t>Taxes other than income taxes increased by $3,607 or 7.7% largely due to an increase in property taxes, payroll taxes and pumping fees.</w:t>
      </w:r>
    </w:p>
    <w:p>
      <w:pPr>
        <w:spacing w:after="0" w:line="1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Interest expense, net of interest income, increased by $13,231 or 14.5% primarily due to higher push down debt borrowings and operating company debt issuances for the Regulated Water segment.</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Other, net was an expense of $585 and income of $2,840 for the three months ended September 30, 2024 and 2023, respectively. The change is primarily due to the increase in the pension and post-retirement benefit non-service cost component of net periodic benefit expense in 2024. The credit arising from the expected return of plan assets assumption was lower in 2024 as compared to 2023 for our Regulated Water segment.</w:t>
      </w:r>
    </w:p>
    <w:p>
      <w:pPr>
        <w:spacing w:after="0" w:line="17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Our effective income tax rate for our Regulated Water Segment was an expense of 17.1% in the first nine months of 2024 and an expense of 14.6% in the first nine months of 2023. The increase in the effective tax rate is primarily the result of changes in the jurisdictional earnings mix, decrease in the amortization of certain regulatory liabilities associated with deferred taxes and a decrease in the income tax benefit associated with the repairs tax deduction for qualifying infrastructure.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Regulated Natural Gas Segment</w:t>
      </w:r>
    </w:p>
    <w:p>
      <w:pPr>
        <w:spacing w:after="0" w:line="224"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7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following tables present selected operating results and statistics for our Regulated Natural Gas segment, for the periods ended September 30,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00" w:type="dxa"/>
            <w:vAlign w:val="bottom"/>
          </w:tcPr>
          <w:p>
            <w:pPr>
              <w:spacing w:after="0"/>
              <w:rPr>
                <w:sz w:val="19"/>
                <w:szCs w:val="19"/>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revenues</w:t>
            </w:r>
          </w:p>
        </w:tc>
        <w:tc>
          <w:tcPr>
            <w:tcW w:w="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96,731</w:t>
            </w:r>
          </w:p>
        </w:tc>
        <w:tc>
          <w:tcPr>
            <w:tcW w:w="34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94,798</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549,250</w:t>
            </w:r>
          </w:p>
        </w:tc>
        <w:tc>
          <w:tcPr>
            <w:tcW w:w="32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675,076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49,002</w:t>
            </w:r>
          </w:p>
        </w:tc>
        <w:tc>
          <w:tcPr>
            <w:tcW w:w="34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50,006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144,628</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148,270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Purchased gas</w:t>
            </w:r>
          </w:p>
        </w:tc>
        <w:tc>
          <w:tcPr>
            <w:tcW w:w="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17,603</w:t>
            </w:r>
          </w:p>
        </w:tc>
        <w:tc>
          <w:tcPr>
            <w:tcW w:w="34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14,408</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175,825</w:t>
            </w:r>
          </w:p>
        </w:tc>
        <w:tc>
          <w:tcPr>
            <w:tcW w:w="32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295,929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income (loss)</w:t>
            </w: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(30,660)</w:t>
            </w:r>
          </w:p>
        </w:tc>
        <w:tc>
          <w:tcPr>
            <w:tcW w:w="340" w:type="dxa"/>
            <w:vAlign w:val="bottom"/>
            <w:tcBorders>
              <w:bottom w:val="single" w:sz="8" w:color="auto"/>
            </w:tcBorders>
          </w:tcPr>
          <w:p>
            <w:pPr>
              <w:jc w:val="right"/>
              <w:ind w:right="7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(9,776)</w:t>
            </w:r>
          </w:p>
        </w:tc>
        <w:tc>
          <w:tcPr>
            <w:tcW w:w="2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177,563</w:t>
            </w:r>
          </w:p>
        </w:tc>
        <w:tc>
          <w:tcPr>
            <w:tcW w:w="320" w:type="dxa"/>
            <w:vAlign w:val="bottom"/>
            <w:tcBorders>
              <w:bottom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127,400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Statistics</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Selected operating results as a percentage of operating revenues: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Operations and maintenance</w:t>
            </w:r>
          </w:p>
        </w:tc>
        <w:tc>
          <w:tcPr>
            <w:tcW w:w="8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50.7%</w:t>
            </w: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Purchased gas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18.2%</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32.0%</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35.5%</w:t>
            </w: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Taxes other than income taxes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Interest expense, net of interest income</w:t>
            </w:r>
          </w:p>
        </w:tc>
        <w:tc>
          <w:tcPr>
            <w:tcW w:w="80" w:type="dxa"/>
            <w:vAlign w:val="bottom"/>
          </w:tcPr>
          <w:p>
            <w:pPr>
              <w:spacing w:after="0"/>
              <w:rPr>
                <w:sz w:val="16"/>
                <w:szCs w:val="16"/>
                <w:color w:val="auto"/>
              </w:rPr>
            </w:pPr>
          </w:p>
        </w:tc>
        <w:tc>
          <w:tcPr>
            <w:tcW w:w="132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22.9%</w:t>
            </w:r>
          </w:p>
        </w:tc>
        <w:tc>
          <w:tcPr>
            <w:tcW w:w="3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Segment net income (loss)</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-31.7%</w:t>
            </w: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-0.7%</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Three months ended September 30, 2024 compared with three months ended September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increased by $1,933 or by 2.0% due to:</w:t>
      </w:r>
    </w:p>
    <w:p>
      <w:pPr>
        <w:spacing w:after="0" w:line="220" w:lineRule="exact"/>
        <w:rPr>
          <w:sz w:val="20"/>
          <w:szCs w:val="20"/>
          <w:color w:val="auto"/>
        </w:rPr>
      </w:pPr>
    </w:p>
    <w:p>
      <w:pPr>
        <w:ind w:left="340" w:right="960"/>
        <w:spacing w:after="0" w:line="229" w:lineRule="auto"/>
        <w:rPr>
          <w:sz w:val="20"/>
          <w:szCs w:val="20"/>
          <w:color w:val="auto"/>
        </w:rPr>
      </w:pPr>
      <w:r>
        <w:rPr>
          <w:rFonts w:ascii="Times New Roman" w:cs="Times New Roman" w:eastAsia="Times New Roman" w:hAnsi="Times New Roman"/>
          <w:sz w:val="22"/>
          <w:szCs w:val="22"/>
          <w:color w:val="auto"/>
        </w:rPr>
        <w:t>an increase in purchased gas costs of $3,195; refer to purchased gas costs discussion below for further information; an increase of $159 due to higher rates and other surcharges, and</w:t>
      </w:r>
    </w:p>
    <w:p>
      <w:pPr>
        <w:ind w:left="340" w:right="1040"/>
        <w:spacing w:after="0" w:line="224" w:lineRule="auto"/>
        <w:rPr>
          <w:sz w:val="20"/>
          <w:szCs w:val="20"/>
          <w:color w:val="auto"/>
        </w:rPr>
      </w:pPr>
      <w:r>
        <w:rPr>
          <w:rFonts w:ascii="Times New Roman" w:cs="Times New Roman" w:eastAsia="Times New Roman" w:hAnsi="Times New Roman"/>
          <w:sz w:val="22"/>
          <w:szCs w:val="22"/>
          <w:color w:val="auto"/>
        </w:rPr>
        <w:t>an increase in customer assistance surcharge of $926, which has an equivalent offsetting amount in operations and maintenance expense; offset by</w:t>
      </w:r>
    </w:p>
    <w:p>
      <w:pPr>
        <w:ind w:left="340" w:right="600"/>
        <w:spacing w:after="0" w:line="217" w:lineRule="auto"/>
        <w:rPr>
          <w:sz w:val="20"/>
          <w:szCs w:val="20"/>
          <w:color w:val="auto"/>
        </w:rPr>
      </w:pPr>
      <w:r>
        <w:rPr>
          <w:rFonts w:ascii="Times New Roman" w:cs="Times New Roman" w:eastAsia="Times New Roman" w:hAnsi="Times New Roman"/>
          <w:sz w:val="22"/>
          <w:szCs w:val="22"/>
          <w:color w:val="auto"/>
        </w:rPr>
        <w:t>a decrease in other utility revenues of $2,071 resulting from the sale of the Company’s interest in three non-utility local microgrid and distributed energy projects; and</w:t>
      </w:r>
    </w:p>
    <w:p>
      <w:pPr>
        <w:spacing w:after="0" w:line="1" w:lineRule="exact"/>
        <w:rPr>
          <w:sz w:val="20"/>
          <w:szCs w:val="20"/>
          <w:color w:val="auto"/>
        </w:rPr>
      </w:pPr>
    </w:p>
    <w:p>
      <w:pPr>
        <w:ind w:left="340" w:right="80"/>
        <w:spacing w:after="0" w:line="237" w:lineRule="auto"/>
        <w:rPr>
          <w:sz w:val="20"/>
          <w:szCs w:val="20"/>
          <w:color w:val="auto"/>
        </w:rPr>
      </w:pPr>
      <w:r>
        <w:rPr>
          <w:rFonts w:ascii="Times New Roman" w:cs="Times New Roman" w:eastAsia="Times New Roman" w:hAnsi="Times New Roman"/>
          <w:sz w:val="22"/>
          <w:szCs w:val="22"/>
          <w:color w:val="auto"/>
        </w:rPr>
        <w:t>impact of lower volumes of $404 due to the sale of Peoples West Virginia in 2023 and $724 primarily due to warmer weather conditions in 2024 compared to prior period.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Operations and maintenance expense for the three months ended September 30, 2024 decreased by $1,004 or 2.0% primarily due to the following:</w:t>
      </w:r>
    </w:p>
    <w:p>
      <w:pPr>
        <w:spacing w:after="0" w:line="158" w:lineRule="exact"/>
        <w:rPr>
          <w:sz w:val="20"/>
          <w:szCs w:val="20"/>
          <w:color w:val="auto"/>
        </w:rPr>
      </w:pPr>
    </w:p>
    <w:p>
      <w:pPr>
        <w:ind w:left="340" w:right="260"/>
        <w:spacing w:after="0" w:line="229" w:lineRule="auto"/>
        <w:rPr>
          <w:sz w:val="20"/>
          <w:szCs w:val="20"/>
          <w:color w:val="auto"/>
        </w:rPr>
      </w:pPr>
      <w:r>
        <w:rPr>
          <w:rFonts w:ascii="Times New Roman" w:cs="Times New Roman" w:eastAsia="Times New Roman" w:hAnsi="Times New Roman"/>
          <w:sz w:val="22"/>
          <w:szCs w:val="22"/>
          <w:color w:val="auto"/>
        </w:rPr>
        <w:t>a decrease in operation and maintenance expense of $2,064 as a result of the sale of both the regulated natural gas utility assets in West Virginia in October 2023 and the three non-utility local microgrid and distributed energy projects in January 2024;</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 decrease in legal expenses of $1,278;</w:t>
      </w:r>
    </w:p>
    <w:p>
      <w:pPr>
        <w:spacing w:after="0" w:line="230" w:lineRule="auto"/>
        <w:rPr>
          <w:sz w:val="20"/>
          <w:szCs w:val="20"/>
          <w:color w:val="auto"/>
        </w:rPr>
      </w:pPr>
      <w:r>
        <w:rPr>
          <w:rFonts w:ascii="Times New Roman" w:cs="Times New Roman" w:eastAsia="Times New Roman" w:hAnsi="Times New Roman"/>
          <w:sz w:val="22"/>
          <w:szCs w:val="22"/>
          <w:color w:val="auto"/>
        </w:rPr>
        <w:t>a decrease in insurance expenses of $820; offset by</w:t>
      </w:r>
    </w:p>
    <w:p>
      <w:pPr>
        <w:ind w:left="340" w:right="980"/>
        <w:spacing w:after="0" w:line="217" w:lineRule="auto"/>
        <w:rPr>
          <w:sz w:val="20"/>
          <w:szCs w:val="20"/>
          <w:color w:val="auto"/>
        </w:rPr>
      </w:pPr>
      <w:r>
        <w:rPr>
          <w:rFonts w:ascii="Times New Roman" w:cs="Times New Roman" w:eastAsia="Times New Roman" w:hAnsi="Times New Roman"/>
          <w:sz w:val="22"/>
          <w:szCs w:val="22"/>
          <w:color w:val="auto"/>
        </w:rPr>
        <w:t>an increase in labor and employee benefits of $3,206 primarily due to higher salary and healthcare costs and lower capitalization during the 3rd quarter of 2024;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customer assistance surcharge costs of $926, which has an equivalent offsetting amount in revenues.</w:t>
      </w:r>
    </w:p>
    <w:p>
      <w:pPr>
        <w:spacing w:after="0" w:line="196"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2"/>
          <w:szCs w:val="22"/>
          <w:color w:val="auto"/>
        </w:rPr>
        <w:t>Our Regulated Natural Gas segment is affected by the cost of natural gas, which is passed through to customers using a purchased gas adjustment clause and includes commodity price, transportation and storage costs. These costs are reflected in the condensed consolidated statement of operations and comprehensive income as purchased gas expenses. Fluctuations in the cost of purchased gas impact operating revenues on a dollar-for-dollar basis. Purchased gas increased by $3,195 or 22.2% due to an increase in the average cost of gas of $4,707, offset by lower gas usage of $760 during the current period compared to the prior period and $752 from the sale of Peoples West Virginia in October 2023 and our three non-utility local microgrid and distributed energy projects in January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Depreciation and amortization increased by $3,177 or 10.2% primarily due to continued capital investment.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other than income taxes decreased by $1,036 or 15.7% largely due to lower sales and use taxes during the period.</w:t>
      </w:r>
    </w:p>
    <w:p>
      <w:pPr>
        <w:spacing w:after="0" w:line="2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Interest expense, net of interest income, increased by $2,716 or 14.0% primarily due to higher pushdown debt and higher average revolver borrowings.</w:t>
      </w:r>
    </w:p>
    <w:p>
      <w:pPr>
        <w:spacing w:after="0" w:line="186"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22"/>
          <w:szCs w:val="22"/>
          <w:color w:val="auto"/>
        </w:rPr>
        <w:t>Our effective income tax rate was an expense of 0.7% in the third quarter of 2024, compared to a benefit of 63.4% in the third quarter of 2023. The decrease in the income tax benefit is primarily attributed to the decrease in income tax benefit associated with the tax deduction for continued qualifying infrastructure.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Nine months ended September 30, 2024 compared with nine months ended September 30,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Operating revenues from the Regulated Natural Gas segment decreased by $125,826 or 18.6% due to:</w:t>
      </w:r>
    </w:p>
    <w:p>
      <w:pPr>
        <w:spacing w:after="0" w:line="206" w:lineRule="exact"/>
        <w:rPr>
          <w:sz w:val="20"/>
          <w:szCs w:val="20"/>
          <w:color w:val="auto"/>
        </w:rPr>
      </w:pPr>
    </w:p>
    <w:p>
      <w:pPr>
        <w:ind w:left="340" w:right="600"/>
        <w:spacing w:after="0"/>
        <w:rPr>
          <w:sz w:val="20"/>
          <w:szCs w:val="20"/>
          <w:color w:val="auto"/>
        </w:rPr>
      </w:pPr>
      <w:r>
        <w:rPr>
          <w:rFonts w:ascii="Times New Roman" w:cs="Times New Roman" w:eastAsia="Times New Roman" w:hAnsi="Times New Roman"/>
          <w:sz w:val="21"/>
          <w:szCs w:val="21"/>
          <w:color w:val="auto"/>
        </w:rPr>
        <w:t>a decrease in purchased gas costs of $120,104; refer to purchased gas costs discussion below for further information; lower gas usage of $4,043 due to the sale of Peoples West Virginia and $3,038 due to warmer weather conditions; and a decrease in other utility revenues of $5,213 resulting from the sale of the Company’s interest in three non-utility local</w:t>
      </w:r>
    </w:p>
    <w:p>
      <w:pPr>
        <w:spacing w:after="0" w:line="1" w:lineRule="exact"/>
        <w:rPr>
          <w:sz w:val="20"/>
          <w:szCs w:val="20"/>
          <w:color w:val="auto"/>
        </w:rPr>
      </w:pPr>
    </w:p>
    <w:p>
      <w:pPr>
        <w:ind w:left="340"/>
        <w:spacing w:after="0" w:line="230" w:lineRule="auto"/>
        <w:rPr>
          <w:sz w:val="20"/>
          <w:szCs w:val="20"/>
          <w:color w:val="auto"/>
        </w:rPr>
      </w:pPr>
      <w:r>
        <w:rPr>
          <w:rFonts w:ascii="Times New Roman" w:cs="Times New Roman" w:eastAsia="Times New Roman" w:hAnsi="Times New Roman"/>
          <w:sz w:val="22"/>
          <w:szCs w:val="22"/>
          <w:color w:val="auto"/>
        </w:rPr>
        <w:t>microgrid and distributed energy projects; offset by</w:t>
      </w:r>
    </w:p>
    <w:p>
      <w:pPr>
        <w:spacing w:after="0"/>
        <w:rPr>
          <w:sz w:val="20"/>
          <w:szCs w:val="20"/>
          <w:color w:val="auto"/>
        </w:rPr>
      </w:pPr>
      <w:r>
        <w:rPr>
          <w:rFonts w:ascii="Times New Roman" w:cs="Times New Roman" w:eastAsia="Times New Roman" w:hAnsi="Times New Roman"/>
          <w:sz w:val="22"/>
          <w:szCs w:val="22"/>
          <w:color w:val="auto"/>
        </w:rPr>
        <w:t>an increase of $5,906 due to higher rates and other surcharges.</w:t>
      </w:r>
    </w:p>
    <w:p>
      <w:pPr>
        <w:spacing w:after="0" w:line="18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first nine months of 2024, we experienced actual HDDs of 2,642 days, which was warmer by 10.8% than the actual HDDs of 2,963 days in the first nine months of 2023 for Pittsburgh Pennsylvania, which we use as a proxy for our western Pennsylvania service territory.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Operations and maintenance expense decreased by $3,642 or 2.5% primarily due to the following:</w:t>
      </w:r>
    </w:p>
    <w:p>
      <w:pPr>
        <w:spacing w:after="0" w:line="220" w:lineRule="exact"/>
        <w:rPr>
          <w:sz w:val="20"/>
          <w:szCs w:val="20"/>
          <w:color w:val="auto"/>
        </w:rPr>
      </w:pPr>
    </w:p>
    <w:p>
      <w:pPr>
        <w:ind w:left="340" w:right="300"/>
        <w:spacing w:after="0" w:line="229" w:lineRule="auto"/>
        <w:rPr>
          <w:sz w:val="20"/>
          <w:szCs w:val="20"/>
          <w:color w:val="auto"/>
        </w:rPr>
      </w:pPr>
      <w:r>
        <w:rPr>
          <w:rFonts w:ascii="Times New Roman" w:cs="Times New Roman" w:eastAsia="Times New Roman" w:hAnsi="Times New Roman"/>
          <w:sz w:val="22"/>
          <w:szCs w:val="22"/>
          <w:color w:val="auto"/>
        </w:rPr>
        <w:t>a decrease in operation and maintenance expense of $6,198 as a result of the sale of both the regulated natural gas utility assets in West Virginia in October 2023 and the three non-utility local microgrid and distributed energy projects in January 2024;</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a decrease in legal expenses of $2,735; and</w:t>
      </w:r>
    </w:p>
    <w:p>
      <w:pPr>
        <w:ind w:left="340" w:right="6440"/>
        <w:spacing w:after="0" w:line="232" w:lineRule="auto"/>
        <w:rPr>
          <w:sz w:val="20"/>
          <w:szCs w:val="20"/>
          <w:color w:val="auto"/>
        </w:rPr>
      </w:pPr>
      <w:r>
        <w:rPr>
          <w:rFonts w:ascii="Times New Roman" w:cs="Times New Roman" w:eastAsia="Times New Roman" w:hAnsi="Times New Roman"/>
          <w:sz w:val="21"/>
          <w:szCs w:val="21"/>
          <w:color w:val="auto"/>
        </w:rPr>
        <w:t>a decrease in bad debt expense of $1,207; offset by an increase in employee related costs of $3,777; an increase in materials and supplies of $2,121;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increase in customer assistance surcharge costs of $692, which has an equivalent offsetting amount in revenues.</w:t>
      </w:r>
    </w:p>
    <w:p>
      <w:pPr>
        <w:spacing w:after="0" w:line="18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Purchased gas decreased by $120,104 or 40.6% during the first nine months of 2024 compared with the same period in 2023 as a result of a decrease in the average cost of gas of $100,646, and lower gas usage of $13,941 due to warmer weather conditions and $5,517 due to the sale of Peoples West Virginia in October 2023 and our three non-utility local microgrid and distributed energy projects in January 2024.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ESSENTIAL UTILITIES, INC. AND SUBSIDIARIES</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MANAGEMENT’S DISCUSSION AND ANALYSIS OF</w:t>
      </w:r>
    </w:p>
    <w:p>
      <w:pPr>
        <w:jc w:val="center"/>
        <w:ind w:right="-159"/>
        <w:spacing w:after="0" w:line="231" w:lineRule="auto"/>
        <w:rPr>
          <w:sz w:val="20"/>
          <w:szCs w:val="20"/>
          <w:color w:val="auto"/>
        </w:rPr>
      </w:pPr>
      <w:r>
        <w:rPr>
          <w:rFonts w:ascii="Times New Roman" w:cs="Times New Roman" w:eastAsia="Times New Roman" w:hAnsi="Times New Roman"/>
          <w:sz w:val="22"/>
          <w:szCs w:val="22"/>
          <w:color w:val="auto"/>
        </w:rPr>
        <w:t>FINANCIAL CONDITION AND RESULTS OF OPERATIONS (continued)</w:t>
      </w:r>
    </w:p>
    <w:p>
      <w:pPr>
        <w:jc w:val="center"/>
        <w:ind w:right="-159"/>
        <w:spacing w:after="0"/>
        <w:rPr>
          <w:sz w:val="20"/>
          <w:szCs w:val="20"/>
          <w:color w:val="auto"/>
        </w:rPr>
      </w:pPr>
      <w:r>
        <w:rPr>
          <w:rFonts w:ascii="Times New Roman" w:cs="Times New Roman" w:eastAsia="Times New Roman" w:hAnsi="Times New Roman"/>
          <w:sz w:val="22"/>
          <w:szCs w:val="22"/>
          <w:color w:val="auto"/>
        </w:rPr>
        <w:t>(In thousands of dollars, except per share amounts)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and amortization increased by $5,904 or 6.3% primarily due to continued capital investment in pipe replacement.</w:t>
      </w:r>
    </w:p>
    <w:p>
      <w:pPr>
        <w:spacing w:after="0" w:line="23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AFUDC increased by $1,489 due to the increase in the average balance of utility plant construction work in progress, to which AFUDC is applied.</w:t>
      </w:r>
    </w:p>
    <w:p>
      <w:pPr>
        <w:spacing w:after="0" w:line="18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Gain on sale of assets was $91,581 and $0 as of the nine months ended September 30, 2024 and 2023, respectively. During the first quarter of 2024, the Company completed the sale of its interest in three non-utility local microgrid and distributed energy projects and recognized a gain of $91,236.</w:t>
      </w:r>
    </w:p>
    <w:p>
      <w:pPr>
        <w:spacing w:after="0" w:line="19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effective income tax rate was a benefit of 27.9% in the first nine months of 2024 and a benefit of 137.3% in the first nine months of 2023. The decrease in the income tax benefit is primarily attributed to the gain recognized from the sale of the Company’s interest in three non-utility local microgrid and distributed energy projects in the first quarter of 2024 and a decrease in tax benefit associated with the repairs tax deduction for continued qualifying infrastructure.</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u w:val="single" w:color="auto"/>
          <w:color w:val="auto"/>
        </w:rPr>
        <w:t>Impact of Recent Accounting Pronouncements</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 xml:space="preserve">We describe the impact of recent accounting pronouncements in Note 16, </w:t>
      </w:r>
      <w:r>
        <w:rPr>
          <w:rFonts w:ascii="Times New Roman" w:cs="Times New Roman" w:eastAsia="Times New Roman" w:hAnsi="Times New Roman"/>
          <w:sz w:val="22"/>
          <w:szCs w:val="22"/>
          <w:i w:val="1"/>
          <w:iCs w:val="1"/>
          <w:color w:val="auto"/>
        </w:rPr>
        <w:t>Recent Accounting Pronouncements</w:t>
      </w:r>
      <w:r>
        <w:rPr>
          <w:rFonts w:ascii="Times New Roman" w:cs="Times New Roman" w:eastAsia="Times New Roman" w:hAnsi="Times New Roman"/>
          <w:sz w:val="22"/>
          <w:szCs w:val="22"/>
          <w:color w:val="auto"/>
        </w:rPr>
        <w:t>, to the condensed consolidated financial statements in this report.</w:t>
      </w:r>
    </w:p>
    <w:p>
      <w:pPr>
        <w:spacing w:after="0" w:line="1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3 – Quantitative and Qualitative Disclosures About Market Risk</w:t>
      </w:r>
    </w:p>
    <w:p>
      <w:pPr>
        <w:spacing w:after="0" w:line="206" w:lineRule="exact"/>
        <w:rPr>
          <w:sz w:val="20"/>
          <w:szCs w:val="20"/>
          <w:color w:val="auto"/>
        </w:rPr>
      </w:pPr>
    </w:p>
    <w:p>
      <w:pPr>
        <w:jc w:val="both"/>
        <w:ind w:right="280"/>
        <w:spacing w:after="0" w:line="238" w:lineRule="auto"/>
        <w:rPr>
          <w:sz w:val="20"/>
          <w:szCs w:val="20"/>
          <w:color w:val="auto"/>
        </w:rPr>
      </w:pPr>
      <w:r>
        <w:rPr>
          <w:rFonts w:ascii="Times New Roman" w:cs="Times New Roman" w:eastAsia="Times New Roman" w:hAnsi="Times New Roman"/>
          <w:sz w:val="22"/>
          <w:szCs w:val="22"/>
          <w:color w:val="auto"/>
        </w:rPr>
        <w:t>We are subject to market risks in the normal course of business, including changes in interest rates and equity prices. Refer to Item 7A of the Company’s Annual Report on Form 10-K for the year ended December 31, 2023, filed February 29, 2024, for additional information on market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Evaluation of Disclosure Controls and Procedures</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9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Internal Control over Financial Reporting</w:t>
      </w:r>
    </w:p>
    <w:p>
      <w:pPr>
        <w:spacing w:after="0" w:line="206" w:lineRule="exact"/>
        <w:rPr>
          <w:sz w:val="20"/>
          <w:szCs w:val="20"/>
          <w:color w:val="auto"/>
        </w:rPr>
      </w:pPr>
    </w:p>
    <w:p>
      <w:pPr>
        <w:ind w:right="720"/>
        <w:spacing w:after="0" w:line="245" w:lineRule="auto"/>
        <w:rPr>
          <w:sz w:val="20"/>
          <w:szCs w:val="20"/>
          <w:color w:val="auto"/>
        </w:rPr>
      </w:pPr>
      <w:r>
        <w:rPr>
          <w:rFonts w:ascii="Times New Roman" w:cs="Times New Roman" w:eastAsia="Times New Roman" w:hAnsi="Times New Roman"/>
          <w:sz w:val="22"/>
          <w:szCs w:val="22"/>
          <w:color w:val="auto"/>
        </w:rPr>
        <w:t>No change in our internal control over financial reporting occurred during the quarter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Part II.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 – Legal Proceedings</w:t>
      </w:r>
    </w:p>
    <w:p>
      <w:pPr>
        <w:spacing w:after="0" w:line="2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For a discussion of the Company’s legal proceedings, see Part I – Item I – Note 14 to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1A – Risk Factors</w:t>
      </w:r>
    </w:p>
    <w:p>
      <w:pPr>
        <w:spacing w:after="0" w:line="2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Please review the risks disclosed in our Annual Report on Form 10-K for the year ended December 31, 2023, under “Part 1, Item 1A – Risk Factors”.</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 Chief Accounting Officer Retirement</w:t>
      </w:r>
    </w:p>
    <w:p>
      <w:pPr>
        <w:spacing w:after="0" w:line="21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On November 1, 2024, Robert A. Rubin submitted his intention to retire as Senior Vice President, Chief Accounting Officer effective in August 2025. The Company accepted his resignation notice and promoted Bradley J. Palmer, the Controller of Aqua Pennsylvania, Inc., a subsidiary of the Company, to Vice President, Deputy Chief Accounting Officer effective immediately. Mr. Palmer is expected to succeed Mr. Rubin as Vice President, Chief Accounting Officer upon Mr. Rubin’s retirement.</w:t>
      </w:r>
    </w:p>
    <w:p>
      <w:pPr>
        <w:spacing w:after="0" w:line="17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2"/>
          <w:szCs w:val="22"/>
          <w:color w:val="auto"/>
        </w:rPr>
        <w:t>Mr. Palmer, age 42, has served as Controller of Aqua Pennsylvania, Inc. since June 2021 and is a Certified Public Accountant. Prior to joining the Company, Mr. Palmer was a Senior Manager with Deloitte, where he practiced primarily in the power &amp; utilities sector from January 2018 to June 2021. Prior to this role, Mr. Palmer worked as an Accounting Manager for two large publicly traded utilities, and he also held previous roles with PricewaterhouseCoopers,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 Security Trading Plans of Directors and Executive Officers</w:t>
      </w:r>
    </w:p>
    <w:p>
      <w:pPr>
        <w:spacing w:after="0" w:line="2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During the quarter ended September 30, 2024,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 – Exhibits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1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4.1</w:t>
            </w:r>
          </w:p>
        </w:tc>
        <w:tc>
          <w:tcPr>
            <w:tcW w:w="9080" w:type="dxa"/>
            <w:vAlign w:val="bottom"/>
            <w:gridSpan w:val="12"/>
            <w:shd w:val="clear" w:color="auto" w:fill="CCEEFF"/>
          </w:tcPr>
          <w:p>
            <w:pPr>
              <w:spacing w:after="0" w:line="162" w:lineRule="exact"/>
              <w:rPr>
                <w:rFonts w:ascii="Times New Roman" w:cs="Times New Roman" w:eastAsia="Times New Roman" w:hAnsi="Times New Roman"/>
                <w:sz w:val="18"/>
                <w:szCs w:val="18"/>
                <w:color w:val="0563C1"/>
              </w:rPr>
            </w:pPr>
            <w:hyperlink r:id="rId62">
              <w:r>
                <w:rPr>
                  <w:rFonts w:ascii="Times New Roman" w:cs="Times New Roman" w:eastAsia="Times New Roman" w:hAnsi="Times New Roman"/>
                  <w:sz w:val="18"/>
                  <w:szCs w:val="18"/>
                  <w:color w:val="0563C1"/>
                </w:rPr>
                <w:t>Indenture, dated as of April 23,2019, between Aqua America, Inc. and U.S. Bank N.A., as trustee (previously filed as Exhibit</w:t>
              </w:r>
            </w:hyperlink>
          </w:p>
        </w:tc>
      </w:tr>
      <w:tr>
        <w:trPr>
          <w:trHeight w:val="189"/>
        </w:trPr>
        <w:tc>
          <w:tcPr>
            <w:tcW w:w="2160" w:type="dxa"/>
            <w:vAlign w:val="bottom"/>
            <w:tcBorders>
              <w:top w:val="single" w:sz="8" w:color="CCEEFF"/>
            </w:tcBorders>
            <w:shd w:val="clear" w:color="auto" w:fill="CCEEFF"/>
          </w:tcPr>
          <w:p>
            <w:pPr>
              <w:spacing w:after="0"/>
              <w:rPr>
                <w:sz w:val="16"/>
                <w:szCs w:val="16"/>
                <w:color w:val="auto"/>
              </w:rPr>
            </w:pPr>
          </w:p>
        </w:tc>
        <w:tc>
          <w:tcPr>
            <w:tcW w:w="9060" w:type="dxa"/>
            <w:vAlign w:val="bottom"/>
            <w:tcBorders>
              <w:top w:val="single" w:sz="8" w:color="0563C1"/>
            </w:tcBorders>
            <w:gridSpan w:val="11"/>
            <w:shd w:val="clear" w:color="auto" w:fill="CCEEFF"/>
          </w:tcPr>
          <w:p>
            <w:pPr>
              <w:spacing w:after="0" w:line="169" w:lineRule="exact"/>
              <w:rPr>
                <w:rFonts w:ascii="Times New Roman" w:cs="Times New Roman" w:eastAsia="Times New Roman" w:hAnsi="Times New Roman"/>
                <w:sz w:val="18"/>
                <w:szCs w:val="18"/>
                <w:color w:val="0563C1"/>
              </w:rPr>
            </w:pPr>
            <w:hyperlink r:id="rId62">
              <w:r>
                <w:rPr>
                  <w:rFonts w:ascii="Times New Roman" w:cs="Times New Roman" w:eastAsia="Times New Roman" w:hAnsi="Times New Roman"/>
                  <w:sz w:val="18"/>
                  <w:szCs w:val="18"/>
                  <w:color w:val="0563C1"/>
                </w:rPr>
                <w:t>4.</w:t>
              </w:r>
              <w:r>
                <w:rPr>
                  <w:rFonts w:ascii="Times New Roman" w:cs="Times New Roman" w:eastAsia="Times New Roman" w:hAnsi="Times New Roman"/>
                  <w:sz w:val="18"/>
                  <w:szCs w:val="18"/>
                  <w:u w:val="single" w:color="auto"/>
                  <w:color w:val="0563C1"/>
                </w:rPr>
                <w:t>4</w:t>
              </w:r>
              <w:r>
                <w:rPr>
                  <w:rFonts w:ascii="Times New Roman" w:cs="Times New Roman" w:eastAsia="Times New Roman" w:hAnsi="Times New Roman"/>
                  <w:sz w:val="18"/>
                  <w:szCs w:val="18"/>
                  <w:color w:val="0563C1"/>
                </w:rPr>
                <w:t xml:space="preserve"> to the Company’s current report on Form 8-K filed April 23, 2019, File No. 01-06659)</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189"/>
        </w:trPr>
        <w:tc>
          <w:tcPr>
            <w:tcW w:w="2160" w:type="dxa"/>
            <w:vAlign w:val="bottom"/>
            <w:tcBorders>
              <w:top w:val="single" w:sz="8" w:color="CCEEFF"/>
            </w:tcBorders>
          </w:tcPr>
          <w:p>
            <w:pPr>
              <w:spacing w:after="0"/>
              <w:rPr>
                <w:sz w:val="16"/>
                <w:szCs w:val="16"/>
                <w:color w:val="auto"/>
              </w:rPr>
            </w:pPr>
          </w:p>
        </w:tc>
        <w:tc>
          <w:tcPr>
            <w:tcW w:w="2200" w:type="dxa"/>
            <w:vAlign w:val="bottom"/>
            <w:tcBorders>
              <w:top w:val="single" w:sz="8" w:color="0563C1"/>
            </w:tcBorders>
          </w:tcPr>
          <w:p>
            <w:pPr>
              <w:spacing w:after="0"/>
              <w:rPr>
                <w:sz w:val="16"/>
                <w:szCs w:val="16"/>
                <w:color w:val="auto"/>
              </w:rPr>
            </w:pPr>
          </w:p>
        </w:tc>
        <w:tc>
          <w:tcPr>
            <w:tcW w:w="560" w:type="dxa"/>
            <w:vAlign w:val="bottom"/>
            <w:tcBorders>
              <w:top w:val="single" w:sz="8" w:color="0563C1"/>
            </w:tcBorders>
          </w:tcPr>
          <w:p>
            <w:pPr>
              <w:spacing w:after="0"/>
              <w:rPr>
                <w:sz w:val="16"/>
                <w:szCs w:val="16"/>
                <w:color w:val="auto"/>
              </w:rPr>
            </w:pPr>
          </w:p>
        </w:tc>
        <w:tc>
          <w:tcPr>
            <w:tcW w:w="34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260" w:type="dxa"/>
            <w:vAlign w:val="bottom"/>
            <w:tcBorders>
              <w:top w:val="single" w:sz="8" w:color="0563C1"/>
            </w:tcBorders>
          </w:tcPr>
          <w:p>
            <w:pPr>
              <w:spacing w:after="0"/>
              <w:rPr>
                <w:sz w:val="16"/>
                <w:szCs w:val="16"/>
                <w:color w:val="auto"/>
              </w:rPr>
            </w:pPr>
          </w:p>
        </w:tc>
        <w:tc>
          <w:tcPr>
            <w:tcW w:w="20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4.2</w:t>
            </w:r>
          </w:p>
        </w:tc>
        <w:tc>
          <w:tcPr>
            <w:tcW w:w="9080" w:type="dxa"/>
            <w:vAlign w:val="bottom"/>
            <w:gridSpan w:val="12"/>
            <w:shd w:val="clear" w:color="auto" w:fill="CCEEFF"/>
          </w:tcPr>
          <w:p>
            <w:pPr>
              <w:spacing w:after="0" w:line="162" w:lineRule="exact"/>
              <w:rPr>
                <w:rFonts w:ascii="Times New Roman" w:cs="Times New Roman" w:eastAsia="Times New Roman" w:hAnsi="Times New Roman"/>
                <w:sz w:val="18"/>
                <w:szCs w:val="18"/>
                <w:color w:val="0563C1"/>
              </w:rPr>
            </w:pPr>
            <w:hyperlink r:id="rId63">
              <w:r>
                <w:rPr>
                  <w:rFonts w:ascii="Times New Roman" w:cs="Times New Roman" w:eastAsia="Times New Roman" w:hAnsi="Times New Roman"/>
                  <w:sz w:val="18"/>
                  <w:szCs w:val="18"/>
                  <w:color w:val="0563C1"/>
                </w:rPr>
                <w:t>First Supplemental Indenture, dated as of April 23, 2019, between Aqua America, Inc. and U.S. Bank N.A., as trustee</w:t>
              </w:r>
            </w:hyperlink>
          </w:p>
        </w:tc>
      </w:tr>
      <w:tr>
        <w:trPr>
          <w:trHeight w:val="194"/>
        </w:trPr>
        <w:tc>
          <w:tcPr>
            <w:tcW w:w="2160" w:type="dxa"/>
            <w:vAlign w:val="bottom"/>
            <w:tcBorders>
              <w:top w:val="single" w:sz="8" w:color="CCEEFF"/>
              <w:bottom w:val="single" w:sz="8" w:color="CCEEFF"/>
            </w:tcBorders>
            <w:shd w:val="clear" w:color="auto" w:fill="CCEEFF"/>
          </w:tcPr>
          <w:p>
            <w:pPr>
              <w:spacing w:after="0"/>
              <w:rPr>
                <w:sz w:val="16"/>
                <w:szCs w:val="16"/>
                <w:color w:val="auto"/>
              </w:rPr>
            </w:pPr>
          </w:p>
        </w:tc>
        <w:tc>
          <w:tcPr>
            <w:tcW w:w="8520" w:type="dxa"/>
            <w:vAlign w:val="bottom"/>
            <w:tcBorders>
              <w:top w:val="single" w:sz="8" w:color="0563C1"/>
              <w:bottom w:val="single" w:sz="8" w:color="0563C1"/>
            </w:tcBorders>
            <w:gridSpan w:val="6"/>
            <w:shd w:val="clear" w:color="auto" w:fill="CCEEFF"/>
          </w:tcPr>
          <w:p>
            <w:pPr>
              <w:spacing w:after="0" w:line="169" w:lineRule="exact"/>
              <w:rPr>
                <w:rFonts w:ascii="Times New Roman" w:cs="Times New Roman" w:eastAsia="Times New Roman" w:hAnsi="Times New Roman"/>
                <w:sz w:val="18"/>
                <w:szCs w:val="18"/>
                <w:color w:val="0563C1"/>
                <w:w w:val="98"/>
              </w:rPr>
            </w:pPr>
            <w:hyperlink r:id="rId63">
              <w:r>
                <w:rPr>
                  <w:rFonts w:ascii="Times New Roman" w:cs="Times New Roman" w:eastAsia="Times New Roman" w:hAnsi="Times New Roman"/>
                  <w:sz w:val="18"/>
                  <w:szCs w:val="18"/>
                  <w:color w:val="0563C1"/>
                  <w:w w:val="98"/>
                </w:rPr>
                <w:t>(previously filed as Exhibit 4.5 to the Company’s current report on Form 8-K filed April 23, 2019, File No. 001-06659)</w:t>
              </w:r>
            </w:hyperlink>
          </w:p>
        </w:tc>
        <w:tc>
          <w:tcPr>
            <w:tcW w:w="80" w:type="dxa"/>
            <w:vAlign w:val="bottom"/>
            <w:tcBorders>
              <w:top w:val="single" w:sz="8" w:color="CCEEFF"/>
              <w:bottom w:val="single" w:sz="8" w:color="0563C1"/>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229"/>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4.3</w:t>
            </w:r>
          </w:p>
        </w:tc>
        <w:tc>
          <w:tcPr>
            <w:tcW w:w="9080" w:type="dxa"/>
            <w:vAlign w:val="bottom"/>
            <w:gridSpan w:val="12"/>
            <w:shd w:val="clear" w:color="auto" w:fill="CCEEFF"/>
          </w:tcPr>
          <w:p>
            <w:pPr>
              <w:spacing w:after="0" w:line="162" w:lineRule="exact"/>
              <w:rPr>
                <w:rFonts w:ascii="Times New Roman" w:cs="Times New Roman" w:eastAsia="Times New Roman" w:hAnsi="Times New Roman"/>
                <w:sz w:val="18"/>
                <w:szCs w:val="18"/>
                <w:color w:val="0563C1"/>
              </w:rPr>
            </w:pPr>
            <w:hyperlink r:id="rId64">
              <w:r>
                <w:rPr>
                  <w:rFonts w:ascii="Times New Roman" w:cs="Times New Roman" w:eastAsia="Times New Roman" w:hAnsi="Times New Roman"/>
                  <w:sz w:val="18"/>
                  <w:szCs w:val="18"/>
                  <w:color w:val="0563C1"/>
                </w:rPr>
                <w:t>Eighth Supplemental Indenture, dated as of August 15, 2024 between Essential Utilities, Inc. and U.S. Bank Trust Company,</w:t>
              </w:r>
            </w:hyperlink>
          </w:p>
        </w:tc>
      </w:tr>
      <w:tr>
        <w:trPr>
          <w:trHeight w:val="169"/>
        </w:trPr>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9020" w:type="dxa"/>
            <w:vAlign w:val="bottom"/>
            <w:tcBorders>
              <w:top w:val="single" w:sz="8" w:color="0563C1"/>
              <w:bottom w:val="single" w:sz="8" w:color="0563C1"/>
            </w:tcBorders>
            <w:gridSpan w:val="10"/>
            <w:shd w:val="clear" w:color="auto" w:fill="CCEEFF"/>
          </w:tcPr>
          <w:p>
            <w:pPr>
              <w:spacing w:after="0" w:line="169" w:lineRule="exact"/>
              <w:rPr>
                <w:rFonts w:ascii="Times New Roman" w:cs="Times New Roman" w:eastAsia="Times New Roman" w:hAnsi="Times New Roman"/>
                <w:sz w:val="18"/>
                <w:szCs w:val="18"/>
                <w:color w:val="0563C1"/>
              </w:rPr>
            </w:pPr>
            <w:hyperlink r:id="rId64">
              <w:r>
                <w:rPr>
                  <w:rFonts w:ascii="Times New Roman" w:cs="Times New Roman" w:eastAsia="Times New Roman" w:hAnsi="Times New Roman"/>
                  <w:sz w:val="18"/>
                  <w:szCs w:val="18"/>
                  <w:color w:val="0563C1"/>
                </w:rPr>
                <w:t>National Association, as successor trustee (previously filed as Exhibit 4.3 to the Company's current report on Form 8-K filed</w:t>
              </w:r>
            </w:hyperlink>
          </w:p>
        </w:tc>
        <w:tc>
          <w:tcPr>
            <w:tcW w:w="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89"/>
        </w:trPr>
        <w:tc>
          <w:tcPr>
            <w:tcW w:w="2160" w:type="dxa"/>
            <w:vAlign w:val="bottom"/>
            <w:shd w:val="clear" w:color="auto" w:fill="CCEEFF"/>
          </w:tcPr>
          <w:p>
            <w:pPr>
              <w:spacing w:after="0"/>
              <w:rPr>
                <w:sz w:val="16"/>
                <w:szCs w:val="16"/>
                <w:color w:val="auto"/>
              </w:rPr>
            </w:pPr>
          </w:p>
        </w:tc>
        <w:tc>
          <w:tcPr>
            <w:tcW w:w="9020" w:type="dxa"/>
            <w:vAlign w:val="bottom"/>
            <w:gridSpan w:val="10"/>
            <w:shd w:val="clear" w:color="auto" w:fill="CCEEFF"/>
          </w:tcPr>
          <w:p>
            <w:pPr>
              <w:spacing w:after="0" w:line="169" w:lineRule="exact"/>
              <w:rPr>
                <w:rFonts w:ascii="Times New Roman" w:cs="Times New Roman" w:eastAsia="Times New Roman" w:hAnsi="Times New Roman"/>
                <w:sz w:val="18"/>
                <w:szCs w:val="18"/>
                <w:color w:val="0563C1"/>
              </w:rPr>
            </w:pPr>
            <w:hyperlink r:id="rId64">
              <w:r>
                <w:rPr>
                  <w:rFonts w:ascii="Times New Roman" w:cs="Times New Roman" w:eastAsia="Times New Roman" w:hAnsi="Times New Roman"/>
                  <w:sz w:val="18"/>
                  <w:szCs w:val="18"/>
                  <w:color w:val="0563C1"/>
                </w:rPr>
                <w:t>August 15, 2024, File No. 001-06659)</w:t>
              </w:r>
            </w:hyperlink>
          </w:p>
        </w:tc>
        <w:tc>
          <w:tcPr>
            <w:tcW w:w="60" w:type="dxa"/>
            <w:vAlign w:val="bottom"/>
            <w:gridSpan w:val="2"/>
            <w:shd w:val="clear" w:color="auto" w:fill="CCEEFF"/>
          </w:tcPr>
          <w:p>
            <w:pPr>
              <w:spacing w:after="0"/>
              <w:rPr>
                <w:sz w:val="16"/>
                <w:szCs w:val="16"/>
                <w:color w:val="auto"/>
              </w:rPr>
            </w:pPr>
          </w:p>
        </w:tc>
      </w:tr>
      <w:tr>
        <w:trPr>
          <w:trHeight w:val="229"/>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3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4.4</w:t>
            </w:r>
          </w:p>
        </w:tc>
        <w:tc>
          <w:tcPr>
            <w:tcW w:w="9080" w:type="dxa"/>
            <w:vAlign w:val="bottom"/>
            <w:gridSpan w:val="12"/>
            <w:shd w:val="clear" w:color="auto" w:fill="CCEEFF"/>
          </w:tcPr>
          <w:p>
            <w:pPr>
              <w:spacing w:after="0" w:line="162" w:lineRule="exact"/>
              <w:rPr>
                <w:rFonts w:ascii="Times New Roman" w:cs="Times New Roman" w:eastAsia="Times New Roman" w:hAnsi="Times New Roman"/>
                <w:sz w:val="18"/>
                <w:szCs w:val="18"/>
                <w:color w:val="0563C1"/>
              </w:rPr>
            </w:pPr>
            <w:hyperlink r:id="rId64">
              <w:r>
                <w:rPr>
                  <w:rFonts w:ascii="Times New Roman" w:cs="Times New Roman" w:eastAsia="Times New Roman" w:hAnsi="Times New Roman"/>
                  <w:sz w:val="18"/>
                  <w:szCs w:val="18"/>
                  <w:color w:val="0563C1"/>
                </w:rPr>
                <w:t>Form of Global Note for the Notes (previously filed as Exhibit 4.3 to the Company's current report on Form 8-K filed August</w:t>
              </w:r>
            </w:hyperlink>
          </w:p>
        </w:tc>
      </w:tr>
      <w:tr>
        <w:trPr>
          <w:trHeight w:val="189"/>
        </w:trPr>
        <w:tc>
          <w:tcPr>
            <w:tcW w:w="2160" w:type="dxa"/>
            <w:vAlign w:val="bottom"/>
            <w:tcBorders>
              <w:top w:val="single" w:sz="8" w:color="CCEEFF"/>
            </w:tcBorders>
            <w:shd w:val="clear" w:color="auto" w:fill="CCEEFF"/>
          </w:tcPr>
          <w:p>
            <w:pPr>
              <w:spacing w:after="0"/>
              <w:rPr>
                <w:sz w:val="16"/>
                <w:szCs w:val="16"/>
                <w:color w:val="auto"/>
              </w:rPr>
            </w:pPr>
          </w:p>
        </w:tc>
        <w:tc>
          <w:tcPr>
            <w:tcW w:w="9060" w:type="dxa"/>
            <w:vAlign w:val="bottom"/>
            <w:tcBorders>
              <w:top w:val="single" w:sz="8" w:color="0563C1"/>
            </w:tcBorders>
            <w:gridSpan w:val="11"/>
            <w:shd w:val="clear" w:color="auto" w:fill="CCEEFF"/>
          </w:tcPr>
          <w:p>
            <w:pPr>
              <w:spacing w:after="0" w:line="169" w:lineRule="exact"/>
              <w:rPr>
                <w:rFonts w:ascii="Times New Roman" w:cs="Times New Roman" w:eastAsia="Times New Roman" w:hAnsi="Times New Roman"/>
                <w:sz w:val="18"/>
                <w:szCs w:val="18"/>
                <w:color w:val="0563C1"/>
              </w:rPr>
            </w:pPr>
            <w:hyperlink r:id="rId64">
              <w:r>
                <w:rPr>
                  <w:rFonts w:ascii="Times New Roman" w:cs="Times New Roman" w:eastAsia="Times New Roman" w:hAnsi="Times New Roman"/>
                  <w:sz w:val="18"/>
                  <w:szCs w:val="18"/>
                  <w:color w:val="0563C1"/>
                </w:rPr>
                <w:t>15, 2024, File No. 001-06659)</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229"/>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34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31.1*</w:t>
            </w:r>
          </w:p>
        </w:tc>
        <w:tc>
          <w:tcPr>
            <w:tcW w:w="908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3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0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31.2*</w:t>
            </w:r>
          </w:p>
        </w:tc>
        <w:tc>
          <w:tcPr>
            <w:tcW w:w="908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3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20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3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32.2*</w:t>
            </w:r>
          </w:p>
        </w:tc>
        <w:tc>
          <w:tcPr>
            <w:tcW w:w="9080" w:type="dxa"/>
            <w:vAlign w:val="bottom"/>
            <w:gridSpan w:val="1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Financial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220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3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57"/>
        </w:trPr>
        <w:tc>
          <w:tcPr>
            <w:tcW w:w="21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1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189"/>
        </w:trPr>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189"/>
        </w:trPr>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101.PRES</w:t>
            </w:r>
          </w:p>
        </w:tc>
        <w:tc>
          <w:tcPr>
            <w:tcW w:w="90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6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2024, formatted in Inline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XBRL (included in Exhibit 101)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SIGNATURES</w:t>
      </w:r>
    </w:p>
    <w:p>
      <w:pPr>
        <w:spacing w:after="0" w:line="8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executed on its behalf by the undersigned thereunto duly authorized.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6, 2024</w:t>
      </w:r>
    </w:p>
    <w:p>
      <w:pPr>
        <w:spacing w:after="0" w:line="17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Christopher H. Franklin</w:t>
      </w:r>
    </w:p>
    <w:p>
      <w:pPr>
        <w:ind w:left="6300"/>
        <w:spacing w:after="0" w:line="217" w:lineRule="auto"/>
        <w:rPr>
          <w:sz w:val="20"/>
          <w:szCs w:val="20"/>
          <w:color w:val="auto"/>
        </w:rPr>
      </w:pPr>
      <w:r>
        <w:rPr>
          <w:rFonts w:ascii="Times New Roman" w:cs="Times New Roman" w:eastAsia="Times New Roman" w:hAnsi="Times New Roman"/>
          <w:sz w:val="22"/>
          <w:szCs w:val="22"/>
          <w:color w:val="auto"/>
        </w:rPr>
        <w:t>Chairman,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2540</wp:posOffset>
            </wp:positionV>
            <wp:extent cx="3137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31" w:lineRule="auto"/>
        <w:rPr>
          <w:sz w:val="20"/>
          <w:szCs w:val="20"/>
          <w:color w:val="auto"/>
        </w:rPr>
      </w:pPr>
      <w:r>
        <w:rPr>
          <w:rFonts w:ascii="Times New Roman" w:cs="Times New Roman" w:eastAsia="Times New Roman" w:hAnsi="Times New Roman"/>
          <w:sz w:val="22"/>
          <w:szCs w:val="22"/>
          <w:color w:val="auto"/>
        </w:rPr>
        <w:t>Daniel J. Schuller</w:t>
      </w:r>
    </w:p>
    <w:p>
      <w:pPr>
        <w:ind w:left="6300"/>
        <w:spacing w:after="0" w:line="217" w:lineRule="auto"/>
        <w:rPr>
          <w:sz w:val="20"/>
          <w:szCs w:val="20"/>
          <w:color w:val="auto"/>
        </w:rPr>
      </w:pPr>
      <w:r>
        <w:rPr>
          <w:rFonts w:ascii="Times New Roman" w:cs="Times New Roman" w:eastAsia="Times New Roman" w:hAnsi="Times New Roman"/>
          <w:sz w:val="22"/>
          <w:szCs w:val="22"/>
          <w:color w:val="auto"/>
        </w:rPr>
        <w:t>Executive Vice President and</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100"/>
          </w:cols>
          <w:pgMar w:left="320" w:top="112" w:right="479" w:bottom="1440" w:gutter="0" w:footer="0" w:header="0"/>
        </w:sectPr>
      </w:pPr>
    </w:p>
    <w:bookmarkStart w:id="49" w:name="page50"/>
    <w:bookmarkEnd w:id="49"/>
    <w:p>
      <w:pPr>
        <w:ind w:left="890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4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19"/>
          <w:szCs w:val="19"/>
          <w:color w:val="auto"/>
        </w:rPr>
        <w:t>CERTIFICATION OF CHIEF EXECUTIVE OFFICER, PURSUANT TO RULE 13A-14(A) UNDER THE SECURITIES</w:t>
      </w:r>
    </w:p>
    <w:p>
      <w:pPr>
        <w:spacing w:after="0" w:line="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Christopher H. Franklin, certify that:</w:t>
      </w:r>
    </w:p>
    <w:p>
      <w:pPr>
        <w:spacing w:after="0" w:line="170" w:lineRule="exact"/>
        <w:rPr>
          <w:sz w:val="20"/>
          <w:szCs w:val="20"/>
          <w:color w:val="auto"/>
        </w:rPr>
      </w:pPr>
    </w:p>
    <w:p>
      <w:pPr>
        <w:ind w:left="324" w:hanging="324"/>
        <w:spacing w:after="0"/>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180" w:hanging="324"/>
        <w:spacing w:after="0" w:line="206"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00" w:hanging="324"/>
        <w:spacing w:after="0" w:line="206"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hanging="320"/>
        <w:spacing w:after="0" w:line="20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60" w:hanging="320"/>
        <w:spacing w:after="0" w:line="20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00" w:hanging="320"/>
        <w:spacing w:after="0" w:line="206"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40" w:hanging="320"/>
        <w:spacing w:after="0" w:line="207"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40" w:hanging="324"/>
        <w:spacing w:after="0" w:line="206" w:lineRule="auto"/>
        <w:tabs>
          <w:tab w:leader="none" w:pos="32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00" w:hanging="320"/>
        <w:spacing w:after="0" w:line="206"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80" w:hanging="320"/>
        <w:spacing w:after="0" w:line="221" w:lineRule="auto"/>
        <w:tabs>
          <w:tab w:leader="none" w:pos="6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ind w:left="124"/>
        <w:spacing w:after="0" w:line="193" w:lineRule="auto"/>
        <w:rPr>
          <w:sz w:val="20"/>
          <w:szCs w:val="20"/>
          <w:color w:val="auto"/>
        </w:rPr>
      </w:pPr>
      <w:r>
        <w:rPr>
          <w:rFonts w:ascii="Times New Roman" w:cs="Times New Roman" w:eastAsia="Times New Roman" w:hAnsi="Times New Roman"/>
          <w:sz w:val="19"/>
          <w:szCs w:val="19"/>
          <w:color w:val="auto"/>
        </w:rPr>
        <w:t>November 6, 2024</w:t>
      </w:r>
    </w:p>
    <w:p>
      <w:pPr>
        <w:sectPr>
          <w:pgSz w:w="11900" w:h="16838" w:orient="portrait"/>
          <w:cols w:equalWidth="0" w:num="1">
            <w:col w:w="9924"/>
          </w:cols>
          <w:pgMar w:left="976" w:top="76" w:right="9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156"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UNDER THE SECURITIES</w:t>
      </w:r>
    </w:p>
    <w:p>
      <w:pPr>
        <w:jc w:val="center"/>
        <w:ind w:right="96"/>
        <w:spacing w:after="0"/>
        <w:rPr>
          <w:sz w:val="20"/>
          <w:szCs w:val="20"/>
          <w:color w:val="auto"/>
        </w:rPr>
      </w:pPr>
      <w:r>
        <w:rPr>
          <w:rFonts w:ascii="Times New Roman" w:cs="Times New Roman" w:eastAsia="Times New Roman" w:hAnsi="Times New Roman"/>
          <w:sz w:val="20"/>
          <w:szCs w:val="20"/>
          <w:color w:val="auto"/>
        </w:rPr>
        <w:t>AND EXCHANGE ACT OF 1934</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I, Daniel J. Schuller, certify that:</w:t>
      </w:r>
    </w:p>
    <w:p>
      <w:pPr>
        <w:spacing w:after="0" w:line="170" w:lineRule="exact"/>
        <w:rPr>
          <w:sz w:val="20"/>
          <w:szCs w:val="20"/>
          <w:color w:val="auto"/>
        </w:rPr>
      </w:pPr>
    </w:p>
    <w:p>
      <w:pPr>
        <w:ind w:left="324" w:hanging="324"/>
        <w:spacing w:after="0"/>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24" w:right="200" w:hanging="324"/>
        <w:spacing w:after="0" w:line="206" w:lineRule="auto"/>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20"/>
          <w:szCs w:val="20"/>
          <w:color w:val="auto"/>
        </w:rPr>
      </w:pPr>
    </w:p>
    <w:p>
      <w:pPr>
        <w:ind w:left="324" w:right="120" w:hanging="324"/>
        <w:spacing w:after="0" w:line="206" w:lineRule="auto"/>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20"/>
          <w:szCs w:val="20"/>
          <w:color w:val="auto"/>
        </w:rPr>
      </w:pPr>
    </w:p>
    <w:p>
      <w:pPr>
        <w:ind w:left="644" w:right="20" w:hanging="320"/>
        <w:spacing w:after="0" w:line="207"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Times New Roman" w:cs="Times New Roman" w:eastAsia="Times New Roman" w:hAnsi="Times New Roman"/>
          <w:sz w:val="20"/>
          <w:szCs w:val="20"/>
          <w:color w:val="auto"/>
        </w:rPr>
      </w:pPr>
    </w:p>
    <w:p>
      <w:pPr>
        <w:ind w:left="644" w:right="80" w:hanging="320"/>
        <w:spacing w:after="0" w:line="207"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Times New Roman" w:cs="Times New Roman" w:eastAsia="Times New Roman" w:hAnsi="Times New Roman"/>
          <w:sz w:val="20"/>
          <w:szCs w:val="20"/>
          <w:color w:val="auto"/>
        </w:rPr>
      </w:pPr>
    </w:p>
    <w:p>
      <w:pPr>
        <w:ind w:left="644" w:right="120" w:hanging="320"/>
        <w:spacing w:after="0" w:line="206"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644" w:right="260" w:hanging="320"/>
        <w:spacing w:after="0" w:line="207"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Times New Roman" w:cs="Times New Roman" w:eastAsia="Times New Roman" w:hAnsi="Times New Roman"/>
          <w:sz w:val="20"/>
          <w:szCs w:val="20"/>
          <w:color w:val="auto"/>
        </w:rPr>
      </w:pPr>
    </w:p>
    <w:p>
      <w:pPr>
        <w:ind w:left="324" w:right="60" w:hanging="324"/>
        <w:spacing w:after="0" w:line="206" w:lineRule="auto"/>
        <w:tabs>
          <w:tab w:leader="none" w:pos="3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644" w:right="320" w:hanging="320"/>
        <w:spacing w:after="0" w:line="206"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644" w:right="100" w:hanging="320"/>
        <w:spacing w:after="0" w:line="221" w:lineRule="auto"/>
        <w:tabs>
          <w:tab w:leader="none" w:pos="644"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EXECUTIVE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60"/>
        <w:spacing w:after="0" w:line="184" w:lineRule="auto"/>
        <w:rPr>
          <w:sz w:val="20"/>
          <w:szCs w:val="20"/>
          <w:color w:val="auto"/>
        </w:rPr>
      </w:pPr>
      <w:r>
        <w:rPr>
          <w:rFonts w:ascii="Times New Roman" w:cs="Times New Roman" w:eastAsia="Times New Roman" w:hAnsi="Times New Roman"/>
          <w:sz w:val="22"/>
          <w:szCs w:val="22"/>
          <w:color w:val="auto"/>
        </w:rPr>
        <w:t>In connection with the Quarterly Report on Form 10-Q for the period ended September 30, 2024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45" w:lineRule="exact"/>
        <w:rPr>
          <w:sz w:val="20"/>
          <w:szCs w:val="20"/>
          <w:color w:val="auto"/>
        </w:rPr>
      </w:pPr>
    </w:p>
    <w:p>
      <w:pPr>
        <w:ind w:left="324" w:right="220" w:hanging="324"/>
        <w:spacing w:after="0" w:line="210" w:lineRule="auto"/>
        <w:tabs>
          <w:tab w:leader="none" w:pos="3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70" w:lineRule="exact"/>
        <w:rPr>
          <w:rFonts w:ascii="Times New Roman" w:cs="Times New Roman" w:eastAsia="Times New Roman" w:hAnsi="Times New Roman"/>
          <w:sz w:val="22"/>
          <w:szCs w:val="22"/>
          <w:color w:val="auto"/>
        </w:rPr>
      </w:pPr>
    </w:p>
    <w:p>
      <w:pPr>
        <w:ind w:left="324" w:right="320" w:hanging="324"/>
        <w:spacing w:after="0" w:line="217" w:lineRule="auto"/>
        <w:tabs>
          <w:tab w:leader="none" w:pos="3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9"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Christopher H. Franklin</w:t>
      </w:r>
    </w:p>
    <w:p>
      <w:pPr>
        <w:ind w:left="124"/>
        <w:spacing w:after="0" w:line="192" w:lineRule="auto"/>
        <w:rPr>
          <w:sz w:val="20"/>
          <w:szCs w:val="20"/>
          <w:color w:val="auto"/>
        </w:rPr>
      </w:pPr>
      <w:r>
        <w:rPr>
          <w:rFonts w:ascii="Times New Roman" w:cs="Times New Roman" w:eastAsia="Times New Roman" w:hAnsi="Times New Roman"/>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Times New Roman" w:cs="Times New Roman" w:eastAsia="Times New Roman" w:hAnsi="Times New Roman"/>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2" w:right="10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CERTIFICATION OF CHIEF FINANCIAL OFFICER PURSUANT TO</w:t>
      </w:r>
    </w:p>
    <w:p>
      <w:pPr>
        <w:jc w:val="center"/>
        <w:ind w:right="-3"/>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200" w:lineRule="exact"/>
        <w:rPr>
          <w:sz w:val="20"/>
          <w:szCs w:val="20"/>
          <w:color w:val="auto"/>
        </w:rPr>
      </w:pPr>
    </w:p>
    <w:p>
      <w:pPr>
        <w:spacing w:after="0" w:line="387" w:lineRule="exact"/>
        <w:rPr>
          <w:sz w:val="20"/>
          <w:szCs w:val="20"/>
          <w:color w:val="auto"/>
        </w:rPr>
      </w:pPr>
    </w:p>
    <w:p>
      <w:pPr>
        <w:ind w:left="4" w:right="320"/>
        <w:spacing w:after="0" w:line="197" w:lineRule="auto"/>
        <w:rPr>
          <w:sz w:val="20"/>
          <w:szCs w:val="20"/>
          <w:color w:val="auto"/>
        </w:rPr>
      </w:pPr>
      <w:r>
        <w:rPr>
          <w:rFonts w:ascii="Times New Roman" w:cs="Times New Roman" w:eastAsia="Times New Roman" w:hAnsi="Times New Roman"/>
          <w:sz w:val="21"/>
          <w:szCs w:val="21"/>
          <w:color w:val="auto"/>
        </w:rPr>
        <w:t>In connection with the Quarterly Report on Form 10-Q for the period ended September 30, 2024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47" w:lineRule="exact"/>
        <w:rPr>
          <w:sz w:val="20"/>
          <w:szCs w:val="20"/>
          <w:color w:val="auto"/>
        </w:rPr>
      </w:pPr>
    </w:p>
    <w:p>
      <w:pPr>
        <w:ind w:left="324" w:right="220" w:hanging="324"/>
        <w:spacing w:after="0" w:line="217" w:lineRule="auto"/>
        <w:tabs>
          <w:tab w:leader="none" w:pos="3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(15 U.S.C. Section 78m or Section 78o(d)); and</w:t>
      </w:r>
    </w:p>
    <w:p>
      <w:pPr>
        <w:spacing w:after="0" w:line="69" w:lineRule="exact"/>
        <w:rPr>
          <w:rFonts w:ascii="Times New Roman" w:cs="Times New Roman" w:eastAsia="Times New Roman" w:hAnsi="Times New Roman"/>
          <w:sz w:val="22"/>
          <w:szCs w:val="22"/>
          <w:color w:val="auto"/>
        </w:rPr>
      </w:pPr>
    </w:p>
    <w:p>
      <w:pPr>
        <w:ind w:left="324" w:right="320" w:hanging="324"/>
        <w:spacing w:after="0" w:line="210" w:lineRule="auto"/>
        <w:tabs>
          <w:tab w:leader="none" w:pos="3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0" w:lineRule="exact"/>
        <w:rPr>
          <w:sz w:val="20"/>
          <w:szCs w:val="20"/>
          <w:color w:val="auto"/>
        </w:rPr>
      </w:pPr>
    </w:p>
    <w:p>
      <w:pPr>
        <w:ind w:left="124"/>
        <w:spacing w:after="0"/>
        <w:rPr>
          <w:sz w:val="20"/>
          <w:szCs w:val="20"/>
          <w:color w:val="auto"/>
        </w:rPr>
      </w:pPr>
      <w:r>
        <w:rPr>
          <w:rFonts w:ascii="Times New Roman" w:cs="Times New Roman" w:eastAsia="Times New Roman" w:hAnsi="Times New Roman"/>
          <w:sz w:val="22"/>
          <w:szCs w:val="22"/>
          <w:color w:val="auto"/>
        </w:rPr>
        <w:t>/s/ Daniel J. Schuller</w:t>
      </w:r>
    </w:p>
    <w:p>
      <w:pPr>
        <w:ind w:left="124"/>
        <w:spacing w:after="0" w:line="192" w:lineRule="auto"/>
        <w:rPr>
          <w:sz w:val="20"/>
          <w:szCs w:val="20"/>
          <w:color w:val="auto"/>
        </w:rPr>
      </w:pPr>
      <w:r>
        <w:rPr>
          <w:rFonts w:ascii="Times New Roman" w:cs="Times New Roman" w:eastAsia="Times New Roman" w:hAnsi="Times New Roman"/>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24"/>
        <w:spacing w:after="0"/>
        <w:rPr>
          <w:sz w:val="20"/>
          <w:szCs w:val="20"/>
          <w:color w:val="auto"/>
        </w:rPr>
      </w:pPr>
      <w:r>
        <w:rPr>
          <w:rFonts w:ascii="Times New Roman" w:cs="Times New Roman" w:eastAsia="Times New Roman" w:hAnsi="Times New Roman"/>
          <w:sz w:val="22"/>
          <w:szCs w:val="22"/>
          <w:color w:val="auto"/>
        </w:rPr>
        <w:t>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2"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 "/>
      <w:numFmt w:val="bullet"/>
      <w:start w:val="1"/>
    </w:lvl>
  </w:abstractNum>
  <w:abstractNum w:abstractNumId="3">
    <w:nsid w:val="1F16E9E8"/>
    <w:multiLevelType w:val="hybridMultilevel"/>
    <w:lvl w:ilvl="0">
      <w:lvlJc w:val="left"/>
      <w:lvlText w:val=" "/>
      <w:numFmt w:val="bullet"/>
      <w:start w:val="1"/>
    </w:lvl>
  </w:abstractNum>
  <w:abstractNum w:abstractNumId="4">
    <w:nsid w:val="1190CDE7"/>
    <w:multiLevelType w:val="hybridMultilevel"/>
    <w:lvl w:ilvl="0">
      <w:lvlJc w:val="left"/>
      <w:lvlText w:val=" "/>
      <w:numFmt w:val="bullet"/>
      <w:start w:val="1"/>
    </w:lvl>
  </w:abstractNum>
  <w:abstractNum w:abstractNumId="5">
    <w:nsid w:val="66EF438D"/>
    <w:multiLevelType w:val="hybridMultilevel"/>
    <w:lvl w:ilvl="0">
      <w:lvlJc w:val="left"/>
      <w:lvlText w:val=" "/>
      <w:numFmt w:val="bullet"/>
      <w:start w:val="1"/>
    </w:lvl>
  </w:abstractNum>
  <w:abstractNum w:abstractNumId="6">
    <w:nsid w:val="140E0F76"/>
    <w:multiLevelType w:val="hybridMultilevel"/>
    <w:lvl w:ilvl="0">
      <w:lvlJc w:val="left"/>
      <w:lvlText w:val=" "/>
      <w:numFmt w:val="bullet"/>
      <w:start w:val="1"/>
    </w:lvl>
  </w:abstractNum>
  <w:abstractNum w:abstractNumId="7">
    <w:nsid w:val="3352255A"/>
    <w:multiLevelType w:val="hybridMultilevel"/>
    <w:lvl w:ilvl="0">
      <w:lvlJc w:val="left"/>
      <w:lvlText w:val=" "/>
      <w:numFmt w:val="bullet"/>
      <w:start w:val="1"/>
    </w:lvl>
  </w:abstractNum>
  <w:abstractNum w:abstractNumId="8">
    <w:nsid w:val="109CF92E"/>
    <w:multiLevelType w:val="hybridMultilevel"/>
    <w:lvl w:ilvl="0">
      <w:lvlJc w:val="left"/>
      <w:lvlText w:val=" "/>
      <w:numFmt w:val="bullet"/>
      <w:start w:val="1"/>
    </w:lvl>
  </w:abstractNum>
  <w:abstractNum w:abstractNumId="9">
    <w:nsid w:val="DED7263"/>
    <w:multiLevelType w:val="hybridMultilevel"/>
    <w:lvl w:ilvl="0">
      <w:lvlJc w:val="left"/>
      <w:lvlText w:val=" "/>
      <w:numFmt w:val="bullet"/>
      <w:start w:val="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 "/>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62" Type="http://schemas.openxmlformats.org/officeDocument/2006/relationships/hyperlink" Target="https://www.sec.gov/Archives/edgar/data/78128/000155278119000189/e19232_ex4-4.htm" TargetMode="External"/><Relationship Id="rId63" Type="http://schemas.openxmlformats.org/officeDocument/2006/relationships/hyperlink" Target="https://www.sec.gov/Archives/edgar/data/78128/000155278119000189/e19232_ex4-5.htm" TargetMode="External"/><Relationship Id="rId64" Type="http://schemas.openxmlformats.org/officeDocument/2006/relationships/hyperlink" Target="https://www.sec.gov/Archives/edgar/data/0000078128/000155278124000496/e24344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2024-11-06T13:54:46Z</dcterms:created>
  <dcterms:modified xsi:type="dcterms:W3CDTF">2024-11-06T13:54:46Z</dcterms:modified>
</cp:coreProperties>
</file>